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BA87F" w14:textId="77777777" w:rsidR="00286618" w:rsidRPr="00CE622A" w:rsidRDefault="00286618" w:rsidP="00D36147">
      <w:pPr>
        <w:spacing w:after="0" w:line="276" w:lineRule="auto"/>
        <w:jc w:val="center"/>
        <w:rPr>
          <w:rFonts w:cs="Times New Roman"/>
          <w:b/>
          <w:color w:val="FF0000"/>
          <w:sz w:val="28"/>
          <w:szCs w:val="28"/>
        </w:rPr>
      </w:pPr>
      <w:r w:rsidRPr="00CE622A">
        <w:rPr>
          <w:rFonts w:cs="Times New Roman"/>
          <w:b/>
          <w:bCs/>
          <w:noProof/>
          <w:color w:val="FF0000"/>
          <w:szCs w:val="24"/>
          <w:lang w:val="en-US"/>
        </w:rPr>
        <w:drawing>
          <wp:inline distT="0" distB="0" distL="0" distR="0" wp14:anchorId="4D97DA23" wp14:editId="55983E90">
            <wp:extent cx="435256" cy="57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5256" cy="576000"/>
                    </a:xfrm>
                    <a:prstGeom prst="rect">
                      <a:avLst/>
                    </a:prstGeom>
                  </pic:spPr>
                </pic:pic>
              </a:graphicData>
            </a:graphic>
          </wp:inline>
        </w:drawing>
      </w:r>
    </w:p>
    <w:p w14:paraId="089C0B06" w14:textId="77777777" w:rsidR="00286618" w:rsidRPr="00FC64BF" w:rsidRDefault="00286618" w:rsidP="00D36147">
      <w:pPr>
        <w:spacing w:after="0" w:line="276" w:lineRule="auto"/>
        <w:jc w:val="center"/>
        <w:rPr>
          <w:rFonts w:cs="Times New Roman"/>
          <w:b/>
          <w:sz w:val="28"/>
          <w:szCs w:val="28"/>
        </w:rPr>
      </w:pPr>
      <w:r w:rsidRPr="00FC64BF">
        <w:rPr>
          <w:rFonts w:cs="Times New Roman"/>
          <w:b/>
          <w:sz w:val="28"/>
          <w:szCs w:val="28"/>
        </w:rPr>
        <w:t>Vlada Republike Hrvatske</w:t>
      </w:r>
    </w:p>
    <w:p w14:paraId="655F9475" w14:textId="77777777" w:rsidR="00286618" w:rsidRPr="00FC64BF" w:rsidRDefault="00286618" w:rsidP="00D36147">
      <w:pPr>
        <w:spacing w:after="0" w:line="276" w:lineRule="auto"/>
        <w:jc w:val="center"/>
        <w:rPr>
          <w:rFonts w:cs="Times New Roman"/>
          <w:b/>
          <w:sz w:val="28"/>
          <w:szCs w:val="28"/>
        </w:rPr>
      </w:pPr>
      <w:r w:rsidRPr="00FC64BF">
        <w:rPr>
          <w:rFonts w:cs="Times New Roman"/>
          <w:b/>
          <w:sz w:val="28"/>
          <w:szCs w:val="28"/>
        </w:rPr>
        <w:t>Ured za ljudska prava i prava nacionalnih manjina</w:t>
      </w:r>
    </w:p>
    <w:p w14:paraId="1ECF3DF3" w14:textId="77777777" w:rsidR="00286618" w:rsidRPr="00FC64BF" w:rsidRDefault="00286618" w:rsidP="00D36147">
      <w:pPr>
        <w:spacing w:after="0" w:line="276" w:lineRule="auto"/>
        <w:rPr>
          <w:rFonts w:cs="Times New Roman"/>
          <w:sz w:val="18"/>
          <w:szCs w:val="18"/>
        </w:rPr>
      </w:pPr>
    </w:p>
    <w:p w14:paraId="0F8846E8" w14:textId="77777777" w:rsidR="00286618" w:rsidRPr="00FC64BF" w:rsidRDefault="00286618" w:rsidP="00D36147">
      <w:pPr>
        <w:spacing w:after="0" w:line="276" w:lineRule="auto"/>
        <w:rPr>
          <w:rFonts w:cs="Times New Roman"/>
          <w:sz w:val="18"/>
          <w:szCs w:val="18"/>
        </w:rPr>
      </w:pPr>
    </w:p>
    <w:p w14:paraId="7A14EB86" w14:textId="77777777" w:rsidR="00286618" w:rsidRPr="00FC64BF" w:rsidRDefault="00286618" w:rsidP="00D36147">
      <w:pPr>
        <w:spacing w:after="0" w:line="276" w:lineRule="auto"/>
        <w:rPr>
          <w:rFonts w:cs="Times New Roman"/>
          <w:sz w:val="18"/>
          <w:szCs w:val="18"/>
        </w:rPr>
      </w:pPr>
    </w:p>
    <w:p w14:paraId="0F9C6B32" w14:textId="5E24FAC4" w:rsidR="00286618" w:rsidRPr="00FC64BF" w:rsidRDefault="001E793B" w:rsidP="00D36147">
      <w:pPr>
        <w:spacing w:after="0" w:line="276" w:lineRule="auto"/>
        <w:rPr>
          <w:rFonts w:cs="Times New Roman"/>
          <w:sz w:val="22"/>
        </w:rPr>
      </w:pP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18"/>
          <w:szCs w:val="18"/>
        </w:rPr>
        <w:tab/>
      </w:r>
      <w:r w:rsidRPr="00FC64BF">
        <w:rPr>
          <w:rFonts w:cs="Times New Roman"/>
          <w:sz w:val="22"/>
        </w:rPr>
        <w:t>Prijedlog</w:t>
      </w:r>
    </w:p>
    <w:p w14:paraId="7EC905D9" w14:textId="77777777" w:rsidR="00286618" w:rsidRPr="00FC64BF" w:rsidRDefault="00286618" w:rsidP="00D36147">
      <w:pPr>
        <w:spacing w:after="0" w:line="276" w:lineRule="auto"/>
        <w:rPr>
          <w:rFonts w:cs="Times New Roman"/>
          <w:sz w:val="18"/>
          <w:szCs w:val="18"/>
        </w:rPr>
      </w:pPr>
    </w:p>
    <w:p w14:paraId="715F5158" w14:textId="6E362E75" w:rsidR="00286618" w:rsidRPr="00FC64BF" w:rsidRDefault="00286618" w:rsidP="00D36147">
      <w:pPr>
        <w:spacing w:after="0" w:line="276" w:lineRule="auto"/>
        <w:rPr>
          <w:rFonts w:cs="Times New Roman"/>
          <w:sz w:val="18"/>
          <w:szCs w:val="18"/>
        </w:rPr>
      </w:pPr>
    </w:p>
    <w:p w14:paraId="70C09AB2" w14:textId="2DB52251" w:rsidR="00286618" w:rsidRDefault="00286618" w:rsidP="00D36147">
      <w:pPr>
        <w:spacing w:after="0" w:line="276" w:lineRule="auto"/>
        <w:rPr>
          <w:rFonts w:cs="Times New Roman"/>
          <w:sz w:val="18"/>
          <w:szCs w:val="18"/>
        </w:rPr>
      </w:pPr>
    </w:p>
    <w:p w14:paraId="18F24B6E" w14:textId="1B77A1F4" w:rsidR="00F4411E" w:rsidRDefault="00F4411E" w:rsidP="00D36147">
      <w:pPr>
        <w:spacing w:after="0" w:line="276" w:lineRule="auto"/>
        <w:rPr>
          <w:rFonts w:cs="Times New Roman"/>
          <w:sz w:val="18"/>
          <w:szCs w:val="18"/>
        </w:rPr>
      </w:pPr>
    </w:p>
    <w:p w14:paraId="578CC756" w14:textId="4EC802D6" w:rsidR="00571464" w:rsidRDefault="00571464" w:rsidP="00D36147">
      <w:pPr>
        <w:spacing w:after="0" w:line="276" w:lineRule="auto"/>
        <w:rPr>
          <w:rFonts w:cs="Times New Roman"/>
          <w:sz w:val="18"/>
          <w:szCs w:val="18"/>
        </w:rPr>
      </w:pPr>
    </w:p>
    <w:p w14:paraId="6A21A85A" w14:textId="28447204" w:rsidR="00571464" w:rsidRDefault="00571464" w:rsidP="00D36147">
      <w:pPr>
        <w:spacing w:after="0" w:line="276" w:lineRule="auto"/>
        <w:rPr>
          <w:rFonts w:cs="Times New Roman"/>
          <w:sz w:val="18"/>
          <w:szCs w:val="18"/>
        </w:rPr>
      </w:pPr>
    </w:p>
    <w:p w14:paraId="64D6DDD1" w14:textId="77777777" w:rsidR="00571464" w:rsidRPr="00FC64BF" w:rsidRDefault="00571464" w:rsidP="00D36147">
      <w:pPr>
        <w:spacing w:after="0" w:line="276" w:lineRule="auto"/>
        <w:rPr>
          <w:rFonts w:cs="Times New Roman"/>
          <w:sz w:val="18"/>
          <w:szCs w:val="18"/>
        </w:rPr>
      </w:pPr>
    </w:p>
    <w:p w14:paraId="27FB9713" w14:textId="77777777" w:rsidR="00286618" w:rsidRPr="00FC64BF" w:rsidRDefault="00286618" w:rsidP="00D36147">
      <w:pPr>
        <w:spacing w:after="0" w:line="276" w:lineRule="auto"/>
        <w:rPr>
          <w:rFonts w:cs="Times New Roman"/>
          <w:sz w:val="18"/>
          <w:szCs w:val="18"/>
        </w:rPr>
      </w:pPr>
    </w:p>
    <w:p w14:paraId="79DF89D8" w14:textId="23CB13F8" w:rsidR="00286618" w:rsidRPr="00571464" w:rsidRDefault="00286618" w:rsidP="00571464">
      <w:pPr>
        <w:spacing w:after="0" w:line="276" w:lineRule="auto"/>
        <w:jc w:val="center"/>
        <w:rPr>
          <w:rFonts w:cs="Times New Roman"/>
          <w:b/>
          <w:sz w:val="28"/>
          <w:szCs w:val="32"/>
        </w:rPr>
      </w:pPr>
      <w:r w:rsidRPr="00571464">
        <w:rPr>
          <w:rFonts w:cs="Times New Roman"/>
          <w:b/>
          <w:sz w:val="28"/>
          <w:szCs w:val="32"/>
        </w:rPr>
        <w:t xml:space="preserve">IZVJEŠĆE </w:t>
      </w:r>
      <w:r w:rsidR="00044BCB" w:rsidRPr="00571464">
        <w:rPr>
          <w:rFonts w:cs="Times New Roman"/>
          <w:b/>
          <w:sz w:val="28"/>
          <w:szCs w:val="32"/>
        </w:rPr>
        <w:t xml:space="preserve">O PROVOĐENJU </w:t>
      </w:r>
      <w:r w:rsidR="00571464" w:rsidRPr="00571464">
        <w:rPr>
          <w:rFonts w:cs="Times New Roman"/>
          <w:b/>
          <w:sz w:val="28"/>
          <w:szCs w:val="32"/>
        </w:rPr>
        <w:t>AKCIJSKOG PLANA ZA PROVEDBU NACIONALNOG PLANA ZA UKLJUČIVANJE ROMA, ZA RAZDOBLJE OD 2021. DO 2027.</w:t>
      </w:r>
      <w:r w:rsidR="00571464">
        <w:rPr>
          <w:rFonts w:cs="Times New Roman"/>
          <w:b/>
          <w:sz w:val="28"/>
          <w:szCs w:val="32"/>
        </w:rPr>
        <w:t xml:space="preserve"> GODINE</w:t>
      </w:r>
      <w:r w:rsidR="00571464" w:rsidRPr="00571464">
        <w:rPr>
          <w:rFonts w:cs="Times New Roman"/>
          <w:b/>
          <w:sz w:val="28"/>
          <w:szCs w:val="32"/>
        </w:rPr>
        <w:t xml:space="preserve">, </w:t>
      </w:r>
      <w:r w:rsidRPr="00571464">
        <w:rPr>
          <w:rFonts w:cs="Times New Roman"/>
          <w:b/>
          <w:sz w:val="28"/>
          <w:szCs w:val="32"/>
        </w:rPr>
        <w:t>ZA 202</w:t>
      </w:r>
      <w:r w:rsidR="00CE622A" w:rsidRPr="00571464">
        <w:rPr>
          <w:rFonts w:cs="Times New Roman"/>
          <w:b/>
          <w:sz w:val="28"/>
          <w:szCs w:val="32"/>
        </w:rPr>
        <w:t>4</w:t>
      </w:r>
      <w:r w:rsidRPr="00571464">
        <w:rPr>
          <w:rFonts w:cs="Times New Roman"/>
          <w:b/>
          <w:sz w:val="28"/>
          <w:szCs w:val="32"/>
        </w:rPr>
        <w:t xml:space="preserve">. GODINU </w:t>
      </w:r>
    </w:p>
    <w:p w14:paraId="0FB80A6C" w14:textId="77777777" w:rsidR="00286618" w:rsidRPr="00FC64BF" w:rsidRDefault="00286618" w:rsidP="00AB12E9">
      <w:pPr>
        <w:spacing w:after="0" w:line="276" w:lineRule="auto"/>
        <w:jc w:val="center"/>
        <w:rPr>
          <w:rFonts w:cs="Times New Roman"/>
          <w:sz w:val="28"/>
          <w:szCs w:val="32"/>
        </w:rPr>
      </w:pPr>
    </w:p>
    <w:p w14:paraId="6E66E582" w14:textId="77777777" w:rsidR="00286618" w:rsidRPr="00FC64BF" w:rsidRDefault="00286618" w:rsidP="00D36147">
      <w:pPr>
        <w:spacing w:after="0" w:line="276" w:lineRule="auto"/>
        <w:rPr>
          <w:rFonts w:cs="Times New Roman"/>
          <w:sz w:val="18"/>
          <w:szCs w:val="18"/>
        </w:rPr>
      </w:pPr>
    </w:p>
    <w:p w14:paraId="62EB1F90" w14:textId="77777777" w:rsidR="00286618" w:rsidRPr="005173A5" w:rsidRDefault="00286618" w:rsidP="00D36147">
      <w:pPr>
        <w:spacing w:after="0" w:line="276" w:lineRule="auto"/>
        <w:rPr>
          <w:rFonts w:cs="Times New Roman"/>
          <w:b/>
          <w:sz w:val="18"/>
          <w:szCs w:val="18"/>
        </w:rPr>
      </w:pPr>
    </w:p>
    <w:p w14:paraId="7126C5D4" w14:textId="77777777" w:rsidR="00286618" w:rsidRPr="005173A5" w:rsidRDefault="00286618" w:rsidP="00D36147">
      <w:pPr>
        <w:spacing w:after="0" w:line="276" w:lineRule="auto"/>
        <w:rPr>
          <w:rFonts w:cs="Times New Roman"/>
          <w:b/>
          <w:sz w:val="18"/>
          <w:szCs w:val="18"/>
        </w:rPr>
      </w:pPr>
    </w:p>
    <w:p w14:paraId="77805325" w14:textId="77777777" w:rsidR="00286618" w:rsidRPr="00FC64BF" w:rsidRDefault="00286618" w:rsidP="00D36147">
      <w:pPr>
        <w:spacing w:after="0" w:line="276" w:lineRule="auto"/>
        <w:rPr>
          <w:rFonts w:cs="Times New Roman"/>
          <w:sz w:val="18"/>
          <w:szCs w:val="18"/>
        </w:rPr>
      </w:pPr>
    </w:p>
    <w:p w14:paraId="11029979" w14:textId="77777777" w:rsidR="00286618" w:rsidRPr="00FC64BF" w:rsidRDefault="00286618" w:rsidP="00D36147">
      <w:pPr>
        <w:spacing w:after="0" w:line="276" w:lineRule="auto"/>
        <w:rPr>
          <w:rFonts w:cs="Times New Roman"/>
          <w:sz w:val="18"/>
          <w:szCs w:val="18"/>
        </w:rPr>
      </w:pPr>
    </w:p>
    <w:p w14:paraId="2BC66125" w14:textId="77777777" w:rsidR="00286618" w:rsidRPr="00FC64BF" w:rsidRDefault="00286618" w:rsidP="00D36147">
      <w:pPr>
        <w:spacing w:after="0" w:line="276" w:lineRule="auto"/>
        <w:rPr>
          <w:rFonts w:cs="Times New Roman"/>
          <w:sz w:val="18"/>
          <w:szCs w:val="18"/>
        </w:rPr>
      </w:pPr>
    </w:p>
    <w:p w14:paraId="3D9E5CEC" w14:textId="77777777" w:rsidR="004A3B23" w:rsidRPr="00FC64BF" w:rsidRDefault="004A3B23" w:rsidP="00D36147">
      <w:pPr>
        <w:spacing w:after="0" w:line="276" w:lineRule="auto"/>
        <w:rPr>
          <w:rFonts w:cs="Times New Roman"/>
          <w:sz w:val="18"/>
          <w:szCs w:val="18"/>
        </w:rPr>
      </w:pPr>
    </w:p>
    <w:p w14:paraId="7F5F9363" w14:textId="77777777" w:rsidR="004A3B23" w:rsidRPr="00FC64BF" w:rsidRDefault="004A3B23" w:rsidP="00D36147">
      <w:pPr>
        <w:spacing w:after="0" w:line="276" w:lineRule="auto"/>
        <w:rPr>
          <w:rFonts w:cs="Times New Roman"/>
          <w:sz w:val="18"/>
          <w:szCs w:val="18"/>
        </w:rPr>
      </w:pPr>
    </w:p>
    <w:p w14:paraId="10A62C03" w14:textId="77777777" w:rsidR="004A3B23" w:rsidRPr="00FC64BF" w:rsidRDefault="004A3B23" w:rsidP="00D36147">
      <w:pPr>
        <w:spacing w:after="0" w:line="276" w:lineRule="auto"/>
        <w:rPr>
          <w:rFonts w:cs="Times New Roman"/>
          <w:sz w:val="18"/>
          <w:szCs w:val="18"/>
        </w:rPr>
      </w:pPr>
    </w:p>
    <w:p w14:paraId="51F32A0F" w14:textId="77777777" w:rsidR="004A3B23" w:rsidRPr="00FC64BF" w:rsidRDefault="004A3B23" w:rsidP="00D36147">
      <w:pPr>
        <w:spacing w:after="0" w:line="276" w:lineRule="auto"/>
        <w:rPr>
          <w:rFonts w:cs="Times New Roman"/>
          <w:sz w:val="18"/>
          <w:szCs w:val="18"/>
        </w:rPr>
      </w:pPr>
    </w:p>
    <w:p w14:paraId="78A15969" w14:textId="77777777" w:rsidR="004A3B23" w:rsidRPr="00FC64BF" w:rsidRDefault="004A3B23" w:rsidP="00D36147">
      <w:pPr>
        <w:spacing w:after="0" w:line="276" w:lineRule="auto"/>
        <w:rPr>
          <w:rFonts w:cs="Times New Roman"/>
          <w:sz w:val="18"/>
          <w:szCs w:val="18"/>
        </w:rPr>
      </w:pPr>
    </w:p>
    <w:p w14:paraId="60F01AC9" w14:textId="77777777" w:rsidR="004A3B23" w:rsidRPr="00FC64BF" w:rsidRDefault="004A3B23" w:rsidP="00D36147">
      <w:pPr>
        <w:spacing w:after="0" w:line="276" w:lineRule="auto"/>
        <w:rPr>
          <w:rFonts w:cs="Times New Roman"/>
          <w:sz w:val="18"/>
          <w:szCs w:val="18"/>
        </w:rPr>
      </w:pPr>
    </w:p>
    <w:p w14:paraId="764084C8" w14:textId="77777777" w:rsidR="004A3B23" w:rsidRPr="00FC64BF" w:rsidRDefault="004A3B23" w:rsidP="00D36147">
      <w:pPr>
        <w:spacing w:after="0" w:line="276" w:lineRule="auto"/>
        <w:rPr>
          <w:rFonts w:cs="Times New Roman"/>
          <w:sz w:val="18"/>
          <w:szCs w:val="18"/>
        </w:rPr>
      </w:pPr>
    </w:p>
    <w:p w14:paraId="2432DED9" w14:textId="77777777" w:rsidR="004A3B23" w:rsidRPr="00FC64BF" w:rsidRDefault="004A3B23" w:rsidP="00D36147">
      <w:pPr>
        <w:spacing w:after="0" w:line="276" w:lineRule="auto"/>
        <w:rPr>
          <w:rFonts w:cs="Times New Roman"/>
          <w:sz w:val="18"/>
          <w:szCs w:val="18"/>
        </w:rPr>
      </w:pPr>
    </w:p>
    <w:p w14:paraId="4E9BFDC7" w14:textId="77777777" w:rsidR="004A3B23" w:rsidRPr="00FC64BF" w:rsidRDefault="004A3B23" w:rsidP="00D36147">
      <w:pPr>
        <w:spacing w:after="0" w:line="276" w:lineRule="auto"/>
        <w:rPr>
          <w:rFonts w:cs="Times New Roman"/>
          <w:sz w:val="18"/>
          <w:szCs w:val="18"/>
        </w:rPr>
      </w:pPr>
    </w:p>
    <w:p w14:paraId="5163980E" w14:textId="77777777" w:rsidR="004A3B23" w:rsidRPr="00FC64BF" w:rsidRDefault="004A3B23" w:rsidP="00D36147">
      <w:pPr>
        <w:spacing w:after="0" w:line="276" w:lineRule="auto"/>
        <w:rPr>
          <w:rFonts w:cs="Times New Roman"/>
          <w:sz w:val="18"/>
          <w:szCs w:val="18"/>
        </w:rPr>
      </w:pPr>
    </w:p>
    <w:p w14:paraId="3D47ED2C" w14:textId="77777777" w:rsidR="004A3B23" w:rsidRPr="00FC64BF" w:rsidRDefault="004A3B23" w:rsidP="00D36147">
      <w:pPr>
        <w:spacing w:after="0" w:line="276" w:lineRule="auto"/>
        <w:rPr>
          <w:rFonts w:cs="Times New Roman"/>
          <w:sz w:val="18"/>
          <w:szCs w:val="18"/>
        </w:rPr>
      </w:pPr>
    </w:p>
    <w:p w14:paraId="0B628CED" w14:textId="77777777" w:rsidR="004A3B23" w:rsidRPr="00FC64BF" w:rsidRDefault="004A3B23" w:rsidP="00D36147">
      <w:pPr>
        <w:spacing w:after="0" w:line="276" w:lineRule="auto"/>
        <w:rPr>
          <w:rFonts w:cs="Times New Roman"/>
          <w:sz w:val="18"/>
          <w:szCs w:val="18"/>
        </w:rPr>
      </w:pPr>
    </w:p>
    <w:p w14:paraId="5EC50EB4" w14:textId="77777777" w:rsidR="004A3B23" w:rsidRPr="00FC64BF" w:rsidRDefault="004A3B23" w:rsidP="00D36147">
      <w:pPr>
        <w:spacing w:after="0" w:line="276" w:lineRule="auto"/>
        <w:rPr>
          <w:rFonts w:cs="Times New Roman"/>
          <w:sz w:val="18"/>
          <w:szCs w:val="18"/>
        </w:rPr>
      </w:pPr>
    </w:p>
    <w:p w14:paraId="48D1E87B" w14:textId="77777777" w:rsidR="004A3B23" w:rsidRPr="00FC64BF" w:rsidRDefault="004A3B23" w:rsidP="00D36147">
      <w:pPr>
        <w:spacing w:after="0" w:line="276" w:lineRule="auto"/>
        <w:rPr>
          <w:rFonts w:cs="Times New Roman"/>
          <w:sz w:val="18"/>
          <w:szCs w:val="18"/>
        </w:rPr>
      </w:pPr>
    </w:p>
    <w:p w14:paraId="37D08F66" w14:textId="77777777" w:rsidR="004A3B23" w:rsidRPr="00FC64BF" w:rsidRDefault="004A3B23" w:rsidP="00D36147">
      <w:pPr>
        <w:spacing w:after="0" w:line="276" w:lineRule="auto"/>
        <w:rPr>
          <w:rFonts w:cs="Times New Roman"/>
          <w:sz w:val="18"/>
          <w:szCs w:val="18"/>
        </w:rPr>
      </w:pPr>
    </w:p>
    <w:p w14:paraId="571A184A" w14:textId="77777777" w:rsidR="004A3B23" w:rsidRPr="00FC64BF" w:rsidRDefault="004A3B23" w:rsidP="00D36147">
      <w:pPr>
        <w:spacing w:after="0" w:line="276" w:lineRule="auto"/>
        <w:rPr>
          <w:rFonts w:cs="Times New Roman"/>
          <w:sz w:val="18"/>
          <w:szCs w:val="18"/>
        </w:rPr>
      </w:pPr>
    </w:p>
    <w:p w14:paraId="13220B2E" w14:textId="77777777" w:rsidR="004A3B23" w:rsidRPr="00FC64BF" w:rsidRDefault="004A3B23" w:rsidP="00D36147">
      <w:pPr>
        <w:spacing w:after="0" w:line="276" w:lineRule="auto"/>
        <w:rPr>
          <w:rFonts w:cs="Times New Roman"/>
          <w:sz w:val="18"/>
          <w:szCs w:val="18"/>
        </w:rPr>
      </w:pPr>
    </w:p>
    <w:p w14:paraId="74898608" w14:textId="77777777" w:rsidR="00286618" w:rsidRPr="00FC64BF" w:rsidRDefault="00286618" w:rsidP="00D36147">
      <w:pPr>
        <w:spacing w:after="0" w:line="276" w:lineRule="auto"/>
        <w:rPr>
          <w:rFonts w:cs="Times New Roman"/>
          <w:sz w:val="18"/>
          <w:szCs w:val="18"/>
        </w:rPr>
      </w:pPr>
    </w:p>
    <w:p w14:paraId="5AE7C695" w14:textId="77777777" w:rsidR="00286618" w:rsidRPr="00FC64BF" w:rsidRDefault="00286618" w:rsidP="00D36147">
      <w:pPr>
        <w:spacing w:after="0" w:line="276" w:lineRule="auto"/>
        <w:rPr>
          <w:rFonts w:cs="Times New Roman"/>
          <w:sz w:val="18"/>
          <w:szCs w:val="18"/>
        </w:rPr>
      </w:pPr>
    </w:p>
    <w:p w14:paraId="08BA2EB4" w14:textId="77777777" w:rsidR="00286618" w:rsidRPr="00FC64BF" w:rsidRDefault="00286618" w:rsidP="00D36147">
      <w:pPr>
        <w:spacing w:after="0" w:line="276" w:lineRule="auto"/>
        <w:rPr>
          <w:rFonts w:cs="Times New Roman"/>
          <w:sz w:val="18"/>
          <w:szCs w:val="18"/>
        </w:rPr>
      </w:pPr>
    </w:p>
    <w:p w14:paraId="699E6A6F" w14:textId="77777777" w:rsidR="00286618" w:rsidRPr="00FC64BF" w:rsidRDefault="00286618" w:rsidP="00D36147">
      <w:pPr>
        <w:spacing w:after="0" w:line="276" w:lineRule="auto"/>
        <w:rPr>
          <w:rFonts w:cs="Times New Roman"/>
          <w:sz w:val="18"/>
          <w:szCs w:val="18"/>
        </w:rPr>
      </w:pPr>
    </w:p>
    <w:p w14:paraId="7D660341" w14:textId="74610314" w:rsidR="00286618" w:rsidRPr="00FC64BF" w:rsidRDefault="00286618" w:rsidP="00D36147">
      <w:pPr>
        <w:spacing w:after="0" w:line="276" w:lineRule="auto"/>
        <w:jc w:val="center"/>
        <w:rPr>
          <w:rFonts w:cs="Times New Roman"/>
          <w:szCs w:val="24"/>
        </w:rPr>
      </w:pPr>
      <w:r w:rsidRPr="00FC64BF">
        <w:rPr>
          <w:rFonts w:cs="Times New Roman"/>
          <w:b/>
          <w:szCs w:val="24"/>
        </w:rPr>
        <w:t xml:space="preserve">ZAGREB, </w:t>
      </w:r>
      <w:r w:rsidR="00471ABF">
        <w:rPr>
          <w:rFonts w:cs="Times New Roman"/>
          <w:b/>
          <w:szCs w:val="24"/>
        </w:rPr>
        <w:t>SVIBANJ</w:t>
      </w:r>
      <w:r w:rsidR="006C1E39" w:rsidRPr="00FC64BF">
        <w:rPr>
          <w:rFonts w:cs="Times New Roman"/>
          <w:b/>
          <w:szCs w:val="24"/>
        </w:rPr>
        <w:t xml:space="preserve"> </w:t>
      </w:r>
      <w:r w:rsidRPr="00FC64BF">
        <w:rPr>
          <w:rFonts w:cs="Times New Roman"/>
          <w:b/>
          <w:szCs w:val="24"/>
        </w:rPr>
        <w:t>202</w:t>
      </w:r>
      <w:r w:rsidR="00CE622A" w:rsidRPr="00FC64BF">
        <w:rPr>
          <w:rFonts w:cs="Times New Roman"/>
          <w:b/>
          <w:szCs w:val="24"/>
        </w:rPr>
        <w:t>5</w:t>
      </w:r>
      <w:r w:rsidRPr="00FC64BF">
        <w:rPr>
          <w:rFonts w:cs="Times New Roman"/>
          <w:b/>
          <w:szCs w:val="24"/>
        </w:rPr>
        <w:t>.</w:t>
      </w:r>
      <w:r w:rsidRPr="00FC64BF">
        <w:rPr>
          <w:rFonts w:cs="Times New Roman"/>
          <w:szCs w:val="24"/>
        </w:rPr>
        <w:br w:type="page"/>
      </w:r>
    </w:p>
    <w:sdt>
      <w:sdtPr>
        <w:rPr>
          <w:rFonts w:cs="Times New Roman"/>
          <w:sz w:val="18"/>
          <w:szCs w:val="18"/>
        </w:rPr>
        <w:id w:val="-836997939"/>
        <w:docPartObj>
          <w:docPartGallery w:val="Table of Contents"/>
          <w:docPartUnique/>
        </w:docPartObj>
      </w:sdtPr>
      <w:sdtEndPr/>
      <w:sdtContent>
        <w:p w14:paraId="1E6215AD" w14:textId="5EC317EE" w:rsidR="00FA5637" w:rsidRPr="00FC64BF" w:rsidRDefault="00FA5637" w:rsidP="00D36147">
          <w:pPr>
            <w:spacing w:after="0" w:line="276" w:lineRule="auto"/>
            <w:jc w:val="both"/>
            <w:rPr>
              <w:rFonts w:cs="Times New Roman"/>
              <w:sz w:val="18"/>
              <w:szCs w:val="18"/>
            </w:rPr>
          </w:pPr>
        </w:p>
        <w:p w14:paraId="1407B257" w14:textId="32F4E044" w:rsidR="000635E0" w:rsidRPr="00FC64BF" w:rsidRDefault="006624C5" w:rsidP="002A04BF">
          <w:pPr>
            <w:tabs>
              <w:tab w:val="left" w:pos="1945"/>
            </w:tabs>
            <w:spacing w:after="0" w:line="276" w:lineRule="auto"/>
            <w:jc w:val="both"/>
            <w:rPr>
              <w:rFonts w:cs="Times New Roman"/>
              <w:b/>
              <w:szCs w:val="24"/>
            </w:rPr>
          </w:pPr>
          <w:r w:rsidRPr="00FC64BF">
            <w:rPr>
              <w:rFonts w:cs="Times New Roman"/>
              <w:b/>
              <w:szCs w:val="24"/>
            </w:rPr>
            <w:t>Sadržaj:</w:t>
          </w:r>
          <w:r w:rsidR="002A04BF" w:rsidRPr="00FC64BF">
            <w:rPr>
              <w:rFonts w:cs="Times New Roman"/>
              <w:b/>
              <w:szCs w:val="24"/>
            </w:rPr>
            <w:tab/>
          </w:r>
        </w:p>
        <w:p w14:paraId="06515FF8" w14:textId="77777777" w:rsidR="000635E0" w:rsidRPr="00FC64BF" w:rsidRDefault="000635E0" w:rsidP="00D36147">
          <w:pPr>
            <w:spacing w:after="0" w:line="276" w:lineRule="auto"/>
            <w:jc w:val="both"/>
            <w:rPr>
              <w:rFonts w:cs="Times New Roman"/>
              <w:b/>
              <w:szCs w:val="24"/>
            </w:rPr>
          </w:pPr>
        </w:p>
        <w:p w14:paraId="3D96FC20" w14:textId="3217E87D" w:rsidR="000A48D6" w:rsidRPr="00FC64BF" w:rsidRDefault="006624C5" w:rsidP="002A04BF">
          <w:pPr>
            <w:pStyle w:val="TOC2"/>
            <w:tabs>
              <w:tab w:val="right" w:leader="dot" w:pos="9062"/>
            </w:tabs>
            <w:spacing w:after="0" w:line="360" w:lineRule="auto"/>
            <w:rPr>
              <w:rFonts w:eastAsiaTheme="minorEastAsia" w:cs="Times New Roman"/>
              <w:noProof/>
              <w:sz w:val="22"/>
              <w:lang w:eastAsia="hr-HR"/>
            </w:rPr>
          </w:pPr>
          <w:r w:rsidRPr="00FC64BF">
            <w:rPr>
              <w:rFonts w:cs="Times New Roman"/>
              <w:szCs w:val="24"/>
            </w:rPr>
            <w:fldChar w:fldCharType="begin"/>
          </w:r>
          <w:r w:rsidRPr="00FC64BF">
            <w:rPr>
              <w:rFonts w:cs="Times New Roman"/>
              <w:szCs w:val="24"/>
            </w:rPr>
            <w:instrText xml:space="preserve"> TOC \o "1-3" \h \z \u </w:instrText>
          </w:r>
          <w:r w:rsidRPr="00FC64BF">
            <w:rPr>
              <w:rFonts w:cs="Times New Roman"/>
              <w:szCs w:val="24"/>
            </w:rPr>
            <w:fldChar w:fldCharType="separate"/>
          </w:r>
          <w:hyperlink w:anchor="_Toc132988313" w:history="1">
            <w:r w:rsidR="000A48D6" w:rsidRPr="00FC64BF">
              <w:rPr>
                <w:rStyle w:val="Hyperlink"/>
                <w:rFonts w:cs="Times New Roman"/>
                <w:b/>
                <w:noProof/>
                <w:color w:val="auto"/>
              </w:rPr>
              <w:t>UVOD</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_Toc132988313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2</w:t>
            </w:r>
            <w:r w:rsidR="000A48D6" w:rsidRPr="00FC64BF">
              <w:rPr>
                <w:rFonts w:cs="Times New Roman"/>
                <w:noProof/>
                <w:webHidden/>
              </w:rPr>
              <w:fldChar w:fldCharType="end"/>
            </w:r>
          </w:hyperlink>
        </w:p>
        <w:p w14:paraId="64531C42" w14:textId="63499B60" w:rsidR="000A48D6" w:rsidRPr="00FC64BF" w:rsidRDefault="00E95A61" w:rsidP="002A04BF">
          <w:pPr>
            <w:pStyle w:val="TOC2"/>
            <w:tabs>
              <w:tab w:val="right" w:leader="dot" w:pos="9062"/>
            </w:tabs>
            <w:spacing w:after="0" w:line="360" w:lineRule="auto"/>
            <w:rPr>
              <w:rFonts w:eastAsiaTheme="minorEastAsia" w:cs="Times New Roman"/>
              <w:noProof/>
              <w:sz w:val="22"/>
              <w:lang w:eastAsia="hr-HR"/>
            </w:rPr>
          </w:pPr>
          <w:hyperlink w:anchor="_Toc132988314" w:history="1">
            <w:r w:rsidR="000A48D6" w:rsidRPr="00FC64BF">
              <w:rPr>
                <w:rStyle w:val="Hyperlink"/>
                <w:rFonts w:cs="Times New Roman"/>
                <w:b/>
                <w:noProof/>
                <w:color w:val="auto"/>
              </w:rPr>
              <w:t>SAŽETAK</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_Toc132988314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4</w:t>
            </w:r>
            <w:r w:rsidR="000A48D6" w:rsidRPr="00FC64BF">
              <w:rPr>
                <w:rFonts w:cs="Times New Roman"/>
                <w:noProof/>
                <w:webHidden/>
              </w:rPr>
              <w:fldChar w:fldCharType="end"/>
            </w:r>
          </w:hyperlink>
        </w:p>
        <w:p w14:paraId="636FF880" w14:textId="557EB1C5" w:rsidR="000A48D6" w:rsidRPr="00FC64BF" w:rsidRDefault="00E95A61" w:rsidP="00C2786F">
          <w:pPr>
            <w:pStyle w:val="TOC1"/>
            <w:numPr>
              <w:ilvl w:val="0"/>
              <w:numId w:val="11"/>
            </w:numPr>
            <w:spacing w:after="0" w:line="360" w:lineRule="auto"/>
            <w:jc w:val="both"/>
            <w:rPr>
              <w:rFonts w:eastAsiaTheme="minorEastAsia" w:cs="Times New Roman"/>
              <w:noProof/>
              <w:sz w:val="22"/>
              <w:lang w:eastAsia="hr-HR"/>
            </w:rPr>
          </w:pPr>
          <w:hyperlink w:anchor="_Toc132988315" w:history="1">
            <w:r w:rsidR="000A48D6" w:rsidRPr="00FC64BF">
              <w:rPr>
                <w:rStyle w:val="Hyperlink"/>
                <w:rFonts w:cs="Times New Roman"/>
                <w:noProof/>
                <w:color w:val="auto"/>
              </w:rPr>
              <w:t>MJERE I AKTIVNOSTI U HORIZONTALNOM CILJU BORBA PROTIV ANTIROMSKOG RASIZMA I DISKRIMINACIJE</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_Toc132988315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17</w:t>
            </w:r>
            <w:r w:rsidR="000A48D6" w:rsidRPr="00FC64BF">
              <w:rPr>
                <w:rFonts w:cs="Times New Roman"/>
                <w:noProof/>
                <w:webHidden/>
              </w:rPr>
              <w:fldChar w:fldCharType="end"/>
            </w:r>
          </w:hyperlink>
        </w:p>
        <w:p w14:paraId="599D2F40" w14:textId="5F168D6E" w:rsidR="000A48D6" w:rsidRPr="00FC64BF" w:rsidRDefault="00E95A61" w:rsidP="00FC64BF">
          <w:pPr>
            <w:pStyle w:val="TOC1"/>
            <w:numPr>
              <w:ilvl w:val="0"/>
              <w:numId w:val="11"/>
            </w:numPr>
            <w:spacing w:after="0" w:line="360" w:lineRule="auto"/>
            <w:jc w:val="both"/>
            <w:rPr>
              <w:rFonts w:eastAsiaTheme="minorEastAsia" w:cs="Times New Roman"/>
              <w:noProof/>
              <w:sz w:val="22"/>
              <w:lang w:eastAsia="hr-HR"/>
            </w:rPr>
          </w:pPr>
          <w:hyperlink w:anchor="_Toc132988316" w:history="1">
            <w:r w:rsidR="000A48D6" w:rsidRPr="00FC64BF">
              <w:rPr>
                <w:rStyle w:val="Hyperlink"/>
                <w:rFonts w:cs="Times New Roman"/>
                <w:noProof/>
                <w:color w:val="auto"/>
              </w:rPr>
              <w:t>MJERE I AKTIVNOSTI U HORIZONTALNOM CILJU SMANJIVANJE SIROMAŠTVA I SOCIJALNE ISKLJUČENOSTI ROMA KAKO BI SE SMANJIO DRUŠTVENO-EKONOMSKI JAZ IZMEĐU ROMA I OPĆE POPULACIJE</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_Toc132988316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26</w:t>
            </w:r>
            <w:r w:rsidR="000A48D6" w:rsidRPr="00FC64BF">
              <w:rPr>
                <w:rFonts w:cs="Times New Roman"/>
                <w:noProof/>
                <w:webHidden/>
              </w:rPr>
              <w:fldChar w:fldCharType="end"/>
            </w:r>
          </w:hyperlink>
        </w:p>
        <w:p w14:paraId="7E2A818A" w14:textId="2891873E" w:rsidR="000A48D6" w:rsidRPr="00FC64BF" w:rsidRDefault="00E95A61" w:rsidP="00FC64BF">
          <w:pPr>
            <w:pStyle w:val="TOC1"/>
            <w:numPr>
              <w:ilvl w:val="0"/>
              <w:numId w:val="11"/>
            </w:numPr>
            <w:spacing w:after="0" w:line="360" w:lineRule="auto"/>
            <w:jc w:val="both"/>
            <w:rPr>
              <w:rFonts w:eastAsiaTheme="minorEastAsia" w:cs="Times New Roman"/>
              <w:noProof/>
              <w:sz w:val="22"/>
              <w:lang w:eastAsia="hr-HR"/>
            </w:rPr>
          </w:pPr>
          <w:hyperlink w:anchor="_Toc132988317" w:history="1">
            <w:r w:rsidR="000A48D6" w:rsidRPr="00FC64BF">
              <w:rPr>
                <w:rStyle w:val="Hyperlink"/>
                <w:rFonts w:cs="Times New Roman"/>
                <w:noProof/>
                <w:color w:val="auto"/>
              </w:rPr>
              <w:t>MJERE I AKTIVNOSTI U HORIZONTALNOM CILJU POTICATI PARTICIPACIJU ROMA KROZ OSNAŽIVANJE, SURADNJU I POVJERENJE ROMA U JAVNE INSTITUCIJE</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_Toc132988317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31</w:t>
            </w:r>
            <w:r w:rsidR="000A48D6" w:rsidRPr="00FC64BF">
              <w:rPr>
                <w:rFonts w:cs="Times New Roman"/>
                <w:noProof/>
                <w:webHidden/>
              </w:rPr>
              <w:fldChar w:fldCharType="end"/>
            </w:r>
          </w:hyperlink>
        </w:p>
        <w:p w14:paraId="3FB87C6D" w14:textId="30E06BD3" w:rsidR="000A48D6" w:rsidRPr="00FC64BF" w:rsidRDefault="00E95A61" w:rsidP="00FC64BF">
          <w:pPr>
            <w:pStyle w:val="TOC1"/>
            <w:numPr>
              <w:ilvl w:val="0"/>
              <w:numId w:val="11"/>
            </w:numPr>
            <w:spacing w:after="0" w:line="360" w:lineRule="auto"/>
            <w:jc w:val="both"/>
            <w:rPr>
              <w:rFonts w:eastAsiaTheme="minorEastAsia" w:cs="Times New Roman"/>
              <w:noProof/>
              <w:sz w:val="22"/>
              <w:lang w:eastAsia="hr-HR"/>
            </w:rPr>
          </w:pPr>
          <w:hyperlink w:anchor="_Toc132988318" w:history="1">
            <w:r w:rsidR="000A48D6" w:rsidRPr="00FC64BF">
              <w:rPr>
                <w:rStyle w:val="Hyperlink"/>
                <w:rFonts w:cs="Times New Roman"/>
                <w:noProof/>
                <w:color w:val="auto"/>
              </w:rPr>
              <w:t>MJERE I AKTIVNOSTI U SEKTORSKOM CILJU UČINKOVIT I JEDNAK PRISTUP ROMA KVALITETNOM, UKLJUČIVOM OBRAZOVANJU</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_Toc132988318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45</w:t>
            </w:r>
            <w:r w:rsidR="000A48D6" w:rsidRPr="00FC64BF">
              <w:rPr>
                <w:rFonts w:cs="Times New Roman"/>
                <w:noProof/>
                <w:webHidden/>
              </w:rPr>
              <w:fldChar w:fldCharType="end"/>
            </w:r>
          </w:hyperlink>
        </w:p>
        <w:p w14:paraId="238A2DA7" w14:textId="600C84DF" w:rsidR="000A48D6" w:rsidRPr="00FC64BF" w:rsidRDefault="00E95A61" w:rsidP="00FC64BF">
          <w:pPr>
            <w:pStyle w:val="TOC1"/>
            <w:numPr>
              <w:ilvl w:val="0"/>
              <w:numId w:val="11"/>
            </w:numPr>
            <w:spacing w:after="0" w:line="360" w:lineRule="auto"/>
            <w:jc w:val="both"/>
            <w:rPr>
              <w:rFonts w:eastAsiaTheme="minorEastAsia" w:cs="Times New Roman"/>
              <w:noProof/>
              <w:sz w:val="22"/>
              <w:lang w:eastAsia="hr-HR"/>
            </w:rPr>
          </w:pPr>
          <w:hyperlink w:anchor="_Toc132988319" w:history="1">
            <w:r w:rsidR="000A48D6" w:rsidRPr="00FC64BF">
              <w:rPr>
                <w:rStyle w:val="Hyperlink"/>
                <w:rFonts w:cs="Times New Roman"/>
                <w:noProof/>
                <w:color w:val="auto"/>
              </w:rPr>
              <w:t>MJERE I AKTIVNOSTI U SEKTORSKOM CILJU UČINKOVIT I JEDNAK PRISTUP ROMA KVALITETNOM, ODRŽIVOM ZAPOŠLJAVANJU</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_Toc132988319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70</w:t>
            </w:r>
            <w:r w:rsidR="000A48D6" w:rsidRPr="00FC64BF">
              <w:rPr>
                <w:rFonts w:cs="Times New Roman"/>
                <w:noProof/>
                <w:webHidden/>
              </w:rPr>
              <w:fldChar w:fldCharType="end"/>
            </w:r>
          </w:hyperlink>
        </w:p>
        <w:p w14:paraId="07062129" w14:textId="5C357129" w:rsidR="000A48D6" w:rsidRPr="00FC64BF" w:rsidRDefault="00E95A61" w:rsidP="00FC64BF">
          <w:pPr>
            <w:pStyle w:val="TOC1"/>
            <w:numPr>
              <w:ilvl w:val="0"/>
              <w:numId w:val="11"/>
            </w:numPr>
            <w:spacing w:after="0" w:line="360" w:lineRule="auto"/>
            <w:jc w:val="both"/>
            <w:rPr>
              <w:rFonts w:eastAsiaTheme="minorEastAsia" w:cs="Times New Roman"/>
              <w:noProof/>
              <w:sz w:val="22"/>
              <w:lang w:eastAsia="hr-HR"/>
            </w:rPr>
          </w:pPr>
          <w:hyperlink w:anchor="_Toc132988320" w:history="1">
            <w:r w:rsidR="000A48D6" w:rsidRPr="00FC64BF">
              <w:rPr>
                <w:rStyle w:val="Hyperlink"/>
                <w:rFonts w:cs="Times New Roman"/>
                <w:noProof/>
                <w:color w:val="auto"/>
              </w:rPr>
              <w:t>MJERE I AKTIVNOSTI U SEKTORSKOM CILJU POBOLJŠANO ZDRAVLJE ROMA I UČINKOVIT, JEDNAK PRISTUP ROMA KVALITETNIM USLUGAMA ZDRAVSTVENE SKRBI</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_Toc132988320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79</w:t>
            </w:r>
            <w:r w:rsidR="000A48D6" w:rsidRPr="00FC64BF">
              <w:rPr>
                <w:rFonts w:cs="Times New Roman"/>
                <w:noProof/>
                <w:webHidden/>
              </w:rPr>
              <w:fldChar w:fldCharType="end"/>
            </w:r>
          </w:hyperlink>
        </w:p>
        <w:p w14:paraId="1132CBEF" w14:textId="79DF2FF7" w:rsidR="000A48D6" w:rsidRPr="00FC64BF" w:rsidRDefault="00E95A61" w:rsidP="00FC64BF">
          <w:pPr>
            <w:pStyle w:val="TOC1"/>
            <w:numPr>
              <w:ilvl w:val="0"/>
              <w:numId w:val="11"/>
            </w:numPr>
            <w:spacing w:after="0" w:line="360" w:lineRule="auto"/>
            <w:jc w:val="both"/>
            <w:rPr>
              <w:rFonts w:eastAsiaTheme="minorEastAsia" w:cs="Times New Roman"/>
              <w:noProof/>
              <w:sz w:val="22"/>
              <w:lang w:eastAsia="hr-HR"/>
            </w:rPr>
          </w:pPr>
          <w:hyperlink w:anchor="_Toc132988321" w:history="1">
            <w:r w:rsidR="000A48D6" w:rsidRPr="00FC64BF">
              <w:rPr>
                <w:rStyle w:val="Hyperlink"/>
                <w:rFonts w:cs="Times New Roman"/>
                <w:noProof/>
                <w:color w:val="auto"/>
              </w:rPr>
              <w:t>MJERE I AKTIVNOSTI U SEKTORSKOM CILJU UČINKOVIT I JEDNAK PRISTUP ROMA PRIKLADNOM, DESEGREGIRANOM STANOVANJU I OSNOVNIM USLUGAMA</w:t>
            </w:r>
            <w:r w:rsidR="000A48D6" w:rsidRPr="00FC64BF">
              <w:rPr>
                <w:rFonts w:cs="Times New Roman"/>
                <w:noProof/>
                <w:webHidden/>
              </w:rPr>
              <w:tab/>
            </w:r>
            <w:r w:rsidR="000A48D6" w:rsidRPr="00FC64BF">
              <w:rPr>
                <w:rFonts w:cs="Times New Roman"/>
                <w:noProof/>
                <w:webHidden/>
              </w:rPr>
              <w:fldChar w:fldCharType="begin"/>
            </w:r>
            <w:r w:rsidR="000A48D6" w:rsidRPr="00FC64BF">
              <w:rPr>
                <w:rFonts w:cs="Times New Roman"/>
                <w:noProof/>
                <w:webHidden/>
              </w:rPr>
              <w:instrText xml:space="preserve"> PAGEREF _Toc132988321 \h </w:instrText>
            </w:r>
            <w:r w:rsidR="000A48D6" w:rsidRPr="00FC64BF">
              <w:rPr>
                <w:rFonts w:cs="Times New Roman"/>
                <w:noProof/>
                <w:webHidden/>
              </w:rPr>
            </w:r>
            <w:r w:rsidR="000A48D6" w:rsidRPr="00FC64BF">
              <w:rPr>
                <w:rFonts w:cs="Times New Roman"/>
                <w:noProof/>
                <w:webHidden/>
              </w:rPr>
              <w:fldChar w:fldCharType="separate"/>
            </w:r>
            <w:r w:rsidR="00390240">
              <w:rPr>
                <w:rFonts w:cs="Times New Roman"/>
                <w:noProof/>
                <w:webHidden/>
              </w:rPr>
              <w:t>82</w:t>
            </w:r>
            <w:r w:rsidR="000A48D6" w:rsidRPr="00FC64BF">
              <w:rPr>
                <w:rFonts w:cs="Times New Roman"/>
                <w:noProof/>
                <w:webHidden/>
              </w:rPr>
              <w:fldChar w:fldCharType="end"/>
            </w:r>
          </w:hyperlink>
        </w:p>
        <w:p w14:paraId="3CDCEE90" w14:textId="77777777" w:rsidR="00E30DA9" w:rsidRDefault="00E30DA9" w:rsidP="00E30DA9">
          <w:pPr>
            <w:pStyle w:val="ListParagraph"/>
            <w:rPr>
              <w:noProof/>
            </w:rPr>
          </w:pPr>
        </w:p>
        <w:p w14:paraId="3D477734" w14:textId="6D5B3BFC" w:rsidR="00D607E1" w:rsidRPr="00FC64BF" w:rsidRDefault="006624C5" w:rsidP="00E30DA9">
          <w:pPr>
            <w:pStyle w:val="ListParagraph"/>
            <w:rPr>
              <w:sz w:val="22"/>
            </w:rPr>
          </w:pPr>
          <w:r w:rsidRPr="00FC64BF">
            <w:fldChar w:fldCharType="end"/>
          </w:r>
          <w:r w:rsidR="00D607E1" w:rsidRPr="00FC64BF">
            <w:rPr>
              <w:b/>
              <w:bCs/>
              <w:sz w:val="22"/>
            </w:rPr>
            <w:t xml:space="preserve">PRILOG </w:t>
          </w:r>
          <w:r w:rsidR="00E30DA9">
            <w:rPr>
              <w:b/>
              <w:bCs/>
              <w:sz w:val="22"/>
            </w:rPr>
            <w:t>1</w:t>
          </w:r>
          <w:r w:rsidR="00D607E1" w:rsidRPr="00FC64BF">
            <w:rPr>
              <w:b/>
              <w:bCs/>
              <w:sz w:val="22"/>
            </w:rPr>
            <w:t>.:</w:t>
          </w:r>
          <w:r w:rsidR="00D607E1" w:rsidRPr="00FC64BF">
            <w:rPr>
              <w:sz w:val="22"/>
            </w:rPr>
            <w:t xml:space="preserve"> SAŽETAK IZVJEŠĆA JEDINICA LOKALNE I PODRUČNE (REGIONALNE)</w:t>
          </w:r>
          <w:r w:rsidR="00E30DA9">
            <w:rPr>
              <w:sz w:val="22"/>
            </w:rPr>
            <w:t xml:space="preserve"> </w:t>
          </w:r>
          <w:r w:rsidR="00D607E1" w:rsidRPr="00FC64BF">
            <w:rPr>
              <w:sz w:val="22"/>
            </w:rPr>
            <w:t>SAMOUPRAVE....</w:t>
          </w:r>
          <w:r w:rsidR="00E30DA9">
            <w:rPr>
              <w:sz w:val="22"/>
            </w:rPr>
            <w:t>...........</w:t>
          </w:r>
          <w:r w:rsidR="00D607E1" w:rsidRPr="00FC64BF">
            <w:rPr>
              <w:sz w:val="22"/>
            </w:rPr>
            <w:t>..........................................................................9</w:t>
          </w:r>
          <w:r w:rsidR="00390240">
            <w:rPr>
              <w:sz w:val="22"/>
            </w:rPr>
            <w:t>0</w:t>
          </w:r>
          <w:bookmarkStart w:id="0" w:name="_GoBack"/>
          <w:bookmarkEnd w:id="0"/>
        </w:p>
        <w:p w14:paraId="689C885C" w14:textId="44E47825" w:rsidR="006624C5" w:rsidRPr="00FC64BF" w:rsidRDefault="00E95A61" w:rsidP="00D36147">
          <w:pPr>
            <w:spacing w:after="0" w:line="276" w:lineRule="auto"/>
            <w:jc w:val="both"/>
            <w:rPr>
              <w:rFonts w:cs="Times New Roman"/>
              <w:sz w:val="18"/>
              <w:szCs w:val="18"/>
            </w:rPr>
          </w:pPr>
        </w:p>
      </w:sdtContent>
    </w:sdt>
    <w:p w14:paraId="303AC9C0" w14:textId="77777777" w:rsidR="006625E4" w:rsidRPr="00FC64BF" w:rsidRDefault="006625E4" w:rsidP="00AF43CC">
      <w:bookmarkStart w:id="1" w:name="_Hlk66118250"/>
    </w:p>
    <w:p w14:paraId="134F2575" w14:textId="49DBEB81" w:rsidR="00697933" w:rsidRPr="00FC64BF" w:rsidRDefault="00697933" w:rsidP="004A3B23">
      <w:pPr>
        <w:pStyle w:val="Heading2"/>
        <w:spacing w:before="0" w:line="276" w:lineRule="auto"/>
        <w:jc w:val="both"/>
        <w:rPr>
          <w:rFonts w:cs="Times New Roman"/>
          <w:b w:val="0"/>
        </w:rPr>
      </w:pPr>
      <w:bookmarkStart w:id="2" w:name="_Toc132988313"/>
      <w:r w:rsidRPr="00FC64BF">
        <w:rPr>
          <w:rFonts w:cs="Times New Roman"/>
        </w:rPr>
        <w:t>UVOD</w:t>
      </w:r>
      <w:bookmarkEnd w:id="2"/>
    </w:p>
    <w:p w14:paraId="14E68769" w14:textId="77777777" w:rsidR="00697933" w:rsidRPr="00CE622A" w:rsidRDefault="00697933" w:rsidP="00AB12E9">
      <w:pPr>
        <w:spacing w:after="0" w:line="276" w:lineRule="auto"/>
        <w:jc w:val="both"/>
        <w:rPr>
          <w:rFonts w:cs="Times New Roman"/>
          <w:b/>
          <w:color w:val="FF0000"/>
        </w:rPr>
      </w:pPr>
    </w:p>
    <w:p w14:paraId="555018A8" w14:textId="2EBEBC6F" w:rsidR="00632392" w:rsidRPr="00FC64BF" w:rsidRDefault="00632392" w:rsidP="00D36147">
      <w:pPr>
        <w:spacing w:after="0" w:line="276" w:lineRule="auto"/>
        <w:jc w:val="both"/>
        <w:rPr>
          <w:rFonts w:cs="Times New Roman"/>
          <w:szCs w:val="24"/>
        </w:rPr>
      </w:pPr>
      <w:r w:rsidRPr="00FC64BF">
        <w:rPr>
          <w:rFonts w:cs="Times New Roman"/>
          <w:szCs w:val="24"/>
        </w:rPr>
        <w:t>Vlada Republike Hrvatske je 23. lipnja 2021. donijela Nacionalni plan za uključivanje Roma, za razdoblje od 2021. do 2027. godine (u daljnjem tekstu: Nacionalni plan) i prateći Akcijski plan za provedbu Nacionalnog plana, za 2021. i 2022.</w:t>
      </w:r>
      <w:r w:rsidR="00391DA5">
        <w:rPr>
          <w:rFonts w:cs="Times New Roman"/>
          <w:szCs w:val="24"/>
        </w:rPr>
        <w:t xml:space="preserve"> godinu</w:t>
      </w:r>
      <w:r w:rsidRPr="00FC64BF">
        <w:rPr>
          <w:rFonts w:cs="Times New Roman"/>
          <w:szCs w:val="24"/>
        </w:rPr>
        <w:t xml:space="preserve">, a potom i Akcijski plan za </w:t>
      </w:r>
      <w:r w:rsidRPr="00FC64BF">
        <w:rPr>
          <w:rFonts w:cs="Times New Roman"/>
          <w:szCs w:val="24"/>
        </w:rPr>
        <w:lastRenderedPageBreak/>
        <w:t>provedbu Nacionalnog plana za uključivanje Roma, za razdoblje od 2021. do 2027.</w:t>
      </w:r>
      <w:r w:rsidR="00391DA5">
        <w:rPr>
          <w:rFonts w:cs="Times New Roman"/>
          <w:szCs w:val="24"/>
        </w:rPr>
        <w:t xml:space="preserve"> godine</w:t>
      </w:r>
      <w:r w:rsidRPr="00FC64BF">
        <w:rPr>
          <w:rFonts w:cs="Times New Roman"/>
          <w:szCs w:val="24"/>
        </w:rPr>
        <w:t>, za 2023. – 2025.</w:t>
      </w:r>
      <w:r w:rsidR="00391DA5">
        <w:rPr>
          <w:rFonts w:cs="Times New Roman"/>
          <w:szCs w:val="24"/>
        </w:rPr>
        <w:t xml:space="preserve"> </w:t>
      </w:r>
      <w:r w:rsidR="00F646BA">
        <w:rPr>
          <w:rFonts w:cs="Times New Roman"/>
          <w:szCs w:val="24"/>
        </w:rPr>
        <w:t xml:space="preserve"> </w:t>
      </w:r>
    </w:p>
    <w:p w14:paraId="56CE02EA" w14:textId="77777777" w:rsidR="00A42BAD" w:rsidRPr="00FC64BF" w:rsidRDefault="00A42BAD" w:rsidP="00D36147">
      <w:pPr>
        <w:spacing w:after="0" w:line="276" w:lineRule="auto"/>
        <w:jc w:val="both"/>
        <w:rPr>
          <w:rFonts w:cs="Times New Roman"/>
          <w:szCs w:val="24"/>
        </w:rPr>
      </w:pPr>
    </w:p>
    <w:p w14:paraId="02A5B802" w14:textId="62DEF538" w:rsidR="00632392" w:rsidRPr="00FC64BF" w:rsidRDefault="00632392" w:rsidP="00D36147">
      <w:pPr>
        <w:spacing w:after="0" w:line="276" w:lineRule="auto"/>
        <w:jc w:val="both"/>
        <w:rPr>
          <w:rFonts w:cs="Times New Roman"/>
          <w:szCs w:val="24"/>
        </w:rPr>
      </w:pPr>
      <w:r w:rsidRPr="00FC64BF">
        <w:rPr>
          <w:rFonts w:cs="Times New Roman"/>
          <w:szCs w:val="24"/>
        </w:rPr>
        <w:t>Nacionalnim planom</w:t>
      </w:r>
      <w:r w:rsidR="005B4F82">
        <w:rPr>
          <w:rFonts w:cs="Times New Roman"/>
          <w:szCs w:val="24"/>
        </w:rPr>
        <w:t xml:space="preserve"> </w:t>
      </w:r>
      <w:r w:rsidRPr="00FC64BF">
        <w:rPr>
          <w:rFonts w:cs="Times New Roman"/>
          <w:szCs w:val="24"/>
        </w:rPr>
        <w:t>postavljen je strateški okvir za razvoj jednakosti, uključivanja i sudjelovanja pripadnika romske nacionalne manjine u Republici Hrvatskoj do 2027.</w:t>
      </w:r>
      <w:r w:rsidR="00391DA5">
        <w:rPr>
          <w:rFonts w:cs="Times New Roman"/>
          <w:szCs w:val="24"/>
        </w:rPr>
        <w:t xml:space="preserve"> godine</w:t>
      </w:r>
      <w:r w:rsidRPr="00FC64BF">
        <w:rPr>
          <w:rFonts w:cs="Times New Roman"/>
          <w:szCs w:val="24"/>
        </w:rPr>
        <w:t>, a njegov primarni cilj je unaprjeđenje ukupne integracije pripadnika romske nacionalne manjine u Republici Hrvatskoj te smanjivanje jaza između pripadnika romske nacionalne manjine i ostatka populacije u ključnim područjima intervencije usklađenim sa Strateškim okvirom Europske unije za jednakost, uključivanje i participaciju Roma do 2030.</w:t>
      </w:r>
      <w:r w:rsidR="00391DA5">
        <w:rPr>
          <w:rFonts w:cs="Times New Roman"/>
          <w:szCs w:val="24"/>
        </w:rPr>
        <w:t xml:space="preserve"> godine</w:t>
      </w:r>
      <w:r w:rsidRPr="00FC64BF">
        <w:rPr>
          <w:rFonts w:cs="Times New Roman"/>
          <w:szCs w:val="24"/>
        </w:rPr>
        <w:t xml:space="preserve"> kao i Nacionalnom razvojnom strategijom Republike Hrvatske do 2030. godine. </w:t>
      </w:r>
    </w:p>
    <w:p w14:paraId="3852B5DB" w14:textId="77777777" w:rsidR="00A42BAD" w:rsidRPr="00FC64BF" w:rsidRDefault="00A42BAD" w:rsidP="00D36147">
      <w:pPr>
        <w:spacing w:after="0" w:line="276" w:lineRule="auto"/>
        <w:jc w:val="both"/>
        <w:rPr>
          <w:rFonts w:cs="Times New Roman"/>
          <w:szCs w:val="24"/>
        </w:rPr>
      </w:pPr>
    </w:p>
    <w:p w14:paraId="362F1999" w14:textId="3010CE6E" w:rsidR="00632392" w:rsidRPr="00FC64BF" w:rsidRDefault="00632392" w:rsidP="00D36147">
      <w:pPr>
        <w:spacing w:after="0" w:line="276" w:lineRule="auto"/>
        <w:jc w:val="both"/>
        <w:rPr>
          <w:rFonts w:cs="Times New Roman"/>
          <w:szCs w:val="24"/>
        </w:rPr>
      </w:pPr>
      <w:r w:rsidRPr="00FC64BF">
        <w:rPr>
          <w:rFonts w:cs="Times New Roman"/>
          <w:szCs w:val="24"/>
        </w:rPr>
        <w:t>U skladu sa Strateškim okvirom Europske unije za ravnopravnost, uključivanje i sudjelovanje Roma do 2030.</w:t>
      </w:r>
      <w:r w:rsidR="00391DA5">
        <w:rPr>
          <w:rFonts w:cs="Times New Roman"/>
          <w:szCs w:val="24"/>
        </w:rPr>
        <w:t xml:space="preserve"> godine</w:t>
      </w:r>
      <w:r w:rsidRPr="00FC64BF">
        <w:rPr>
          <w:rFonts w:cs="Times New Roman"/>
          <w:szCs w:val="24"/>
        </w:rPr>
        <w:t>, horizontalni ciljevi Nacionalnog plana uključuju područje diskriminacije, siromaštva i socijalne isključenosti te participacije, dok sektorski ciljevi Nacionalnog plana obuhvaćaju područje obrazovanja, zapošljavanja, zdravlja i socijalne skrbi te stanovanja. Uz posebne ciljeve Nacionalni plan definira i mjere unutar svakog posebnog cilja koje pridonose ispunjavanju posebnih ciljeva te su predložene moguće aktivnosti koje će se provoditi u cilju njihovog ostvarenja.</w:t>
      </w:r>
    </w:p>
    <w:p w14:paraId="58176D25" w14:textId="77777777" w:rsidR="00A42BAD" w:rsidRPr="00FC64BF" w:rsidRDefault="00A42BAD" w:rsidP="00D36147">
      <w:pPr>
        <w:spacing w:after="0" w:line="276" w:lineRule="auto"/>
        <w:jc w:val="both"/>
        <w:rPr>
          <w:rFonts w:cs="Times New Roman"/>
          <w:szCs w:val="24"/>
        </w:rPr>
      </w:pPr>
    </w:p>
    <w:p w14:paraId="25DFF728" w14:textId="5FD16018" w:rsidR="00632392" w:rsidRPr="00FC64BF" w:rsidRDefault="00632392" w:rsidP="00D36147">
      <w:pPr>
        <w:spacing w:after="0" w:line="276" w:lineRule="auto"/>
        <w:jc w:val="both"/>
        <w:rPr>
          <w:rFonts w:cs="Times New Roman"/>
          <w:szCs w:val="24"/>
        </w:rPr>
      </w:pPr>
      <w:r w:rsidRPr="00FC64BF">
        <w:rPr>
          <w:rFonts w:cs="Times New Roman"/>
          <w:szCs w:val="24"/>
        </w:rPr>
        <w:t>U svrhu daljnje provedbe i ispunjavanja posebnih ciljeva i mjera Nacionalnog plana, Vlada Republike Hrvatske je 25. listopada 2023.</w:t>
      </w:r>
      <w:r w:rsidR="00391DA5">
        <w:rPr>
          <w:rFonts w:cs="Times New Roman"/>
          <w:szCs w:val="24"/>
        </w:rPr>
        <w:t xml:space="preserve"> </w:t>
      </w:r>
      <w:r w:rsidRPr="00FC64BF">
        <w:rPr>
          <w:rFonts w:cs="Times New Roman"/>
          <w:szCs w:val="24"/>
        </w:rPr>
        <w:t>donijela Odluku o donošenju Akcijskog plana za provedbu Nacionalnog plana za uključivanje Roma, za razdoblje od 2021. do 2027. godine, za 2023. – 2025.</w:t>
      </w:r>
      <w:r w:rsidR="00391DA5">
        <w:rPr>
          <w:rFonts w:cs="Times New Roman"/>
          <w:szCs w:val="24"/>
        </w:rPr>
        <w:t xml:space="preserve"> </w:t>
      </w:r>
    </w:p>
    <w:p w14:paraId="15C31570" w14:textId="77777777" w:rsidR="00A42BAD" w:rsidRPr="00FC64BF" w:rsidRDefault="00A42BAD" w:rsidP="00D36147">
      <w:pPr>
        <w:spacing w:after="0" w:line="276" w:lineRule="auto"/>
        <w:jc w:val="both"/>
        <w:rPr>
          <w:rFonts w:cs="Times New Roman"/>
          <w:szCs w:val="24"/>
        </w:rPr>
      </w:pPr>
    </w:p>
    <w:p w14:paraId="1F8F16E8" w14:textId="5CD22FE4" w:rsidR="00D607E1" w:rsidRPr="00FC64BF" w:rsidRDefault="00632392" w:rsidP="00D36147">
      <w:pPr>
        <w:spacing w:after="0" w:line="276" w:lineRule="auto"/>
        <w:jc w:val="both"/>
        <w:rPr>
          <w:rFonts w:cs="Times New Roman"/>
          <w:szCs w:val="24"/>
        </w:rPr>
      </w:pPr>
      <w:r w:rsidRPr="00FC64BF">
        <w:rPr>
          <w:rFonts w:cs="Times New Roman"/>
          <w:szCs w:val="24"/>
        </w:rPr>
        <w:t>Izradu Izvješća o provedbi Akcijskog plana za provedbu Nacionalnog plana za uključivanje Roma, za razdoblje od 2021. do 2027.</w:t>
      </w:r>
      <w:r w:rsidR="00391DA5">
        <w:rPr>
          <w:rFonts w:cs="Times New Roman"/>
          <w:szCs w:val="24"/>
        </w:rPr>
        <w:t xml:space="preserve"> godine</w:t>
      </w:r>
      <w:r w:rsidRPr="00FC64BF">
        <w:rPr>
          <w:rFonts w:cs="Times New Roman"/>
          <w:szCs w:val="24"/>
        </w:rPr>
        <w:t xml:space="preserve">, za </w:t>
      </w:r>
      <w:r w:rsidR="00CE622A" w:rsidRPr="00FC64BF">
        <w:rPr>
          <w:rFonts w:cs="Times New Roman"/>
          <w:szCs w:val="24"/>
        </w:rPr>
        <w:t>2024.</w:t>
      </w:r>
      <w:r w:rsidRPr="00FC64BF">
        <w:rPr>
          <w:rFonts w:cs="Times New Roman"/>
          <w:szCs w:val="24"/>
        </w:rPr>
        <w:t xml:space="preserve"> godinu koordinirao je Ured za ljudska prava i prava nacionalnih manjina</w:t>
      </w:r>
      <w:r w:rsidR="00982427">
        <w:rPr>
          <w:rFonts w:cs="Times New Roman"/>
          <w:szCs w:val="24"/>
        </w:rPr>
        <w:t xml:space="preserve"> (u daljnjem tekstu: Ured)</w:t>
      </w:r>
      <w:r w:rsidRPr="00FC64BF">
        <w:rPr>
          <w:rFonts w:cs="Times New Roman"/>
          <w:szCs w:val="24"/>
        </w:rPr>
        <w:t>, a podatke su dostavili nositelji aktivnosti: Ministarstvo vanjskih i europskih poslova, Ministarstvo unutarnjih poslova, Ministarstvo pravosuđa</w:t>
      </w:r>
      <w:r w:rsidR="005B4F82">
        <w:rPr>
          <w:rFonts w:cs="Times New Roman"/>
          <w:szCs w:val="24"/>
        </w:rPr>
        <w:t xml:space="preserve">, </w:t>
      </w:r>
      <w:r w:rsidRPr="00FC64BF">
        <w:rPr>
          <w:rFonts w:cs="Times New Roman"/>
          <w:szCs w:val="24"/>
        </w:rPr>
        <w:t>uprave</w:t>
      </w:r>
      <w:r w:rsidR="005B4F82">
        <w:rPr>
          <w:rFonts w:cs="Times New Roman"/>
          <w:szCs w:val="24"/>
        </w:rPr>
        <w:t xml:space="preserve"> i digitalne transformacije</w:t>
      </w:r>
      <w:r w:rsidRPr="00FC64BF">
        <w:rPr>
          <w:rFonts w:cs="Times New Roman"/>
          <w:szCs w:val="24"/>
        </w:rPr>
        <w:t xml:space="preserve">, </w:t>
      </w:r>
      <w:r w:rsidR="00F36CF1" w:rsidRPr="00FC64BF">
        <w:rPr>
          <w:rFonts w:cs="Times New Roman"/>
          <w:szCs w:val="24"/>
        </w:rPr>
        <w:t>Ministarstvo znanosti, obrazovanja i mladih</w:t>
      </w:r>
      <w:r w:rsidR="00215117" w:rsidRPr="00FC64BF">
        <w:rPr>
          <w:rFonts w:cs="Times New Roman"/>
          <w:szCs w:val="24"/>
        </w:rPr>
        <w:t>,</w:t>
      </w:r>
      <w:r w:rsidRPr="00FC64BF">
        <w:rPr>
          <w:rFonts w:cs="Times New Roman"/>
          <w:szCs w:val="24"/>
        </w:rPr>
        <w:t xml:space="preserve"> Ministarstvo turizma i sporta, Ministarstvo regionalnoga razvoja i fondova Europske unije, Ministarstvo rada, mirovinskoga sustava, obitelji i socijalne politike, Ministarstvo prostornoga uređenja, graditeljstva i državne imovine, Ured za udruge, Ured za ravnopravnost spolova, Savjet za nacionalne manjine, Hrvatski zavod za zapošljavanje, Agencija za odgoj i obrazovanje te Ured</w:t>
      </w:r>
      <w:r w:rsidR="00982427">
        <w:rPr>
          <w:rFonts w:cs="Times New Roman"/>
          <w:szCs w:val="24"/>
        </w:rPr>
        <w:t>.</w:t>
      </w:r>
      <w:r w:rsidRPr="00FC64BF">
        <w:rPr>
          <w:rFonts w:cs="Times New Roman"/>
          <w:szCs w:val="24"/>
        </w:rPr>
        <w:t xml:space="preserve"> </w:t>
      </w:r>
    </w:p>
    <w:p w14:paraId="6F20A829" w14:textId="692334EB" w:rsidR="00697933" w:rsidRPr="00CE622A" w:rsidRDefault="00CD327C" w:rsidP="00D36147">
      <w:pPr>
        <w:spacing w:after="0" w:line="276" w:lineRule="auto"/>
        <w:jc w:val="both"/>
        <w:rPr>
          <w:rFonts w:cs="Times New Roman"/>
          <w:color w:val="FF0000"/>
        </w:rPr>
      </w:pPr>
      <w:r w:rsidRPr="00FC64BF">
        <w:rPr>
          <w:rFonts w:cs="Times New Roman"/>
          <w:szCs w:val="24"/>
        </w:rPr>
        <w:t>Z</w:t>
      </w:r>
      <w:r w:rsidR="00CA5E5E" w:rsidRPr="00FC64BF">
        <w:rPr>
          <w:rFonts w:cs="Times New Roman"/>
          <w:szCs w:val="24"/>
        </w:rPr>
        <w:t xml:space="preserve">a provođenje Akcijskog plana u </w:t>
      </w:r>
      <w:r w:rsidR="00CE622A" w:rsidRPr="00FC64BF">
        <w:rPr>
          <w:rFonts w:cs="Times New Roman"/>
          <w:szCs w:val="24"/>
        </w:rPr>
        <w:t>2024.</w:t>
      </w:r>
      <w:r w:rsidR="00CA5E5E" w:rsidRPr="00FC64BF">
        <w:rPr>
          <w:rFonts w:cs="Times New Roman"/>
          <w:szCs w:val="24"/>
        </w:rPr>
        <w:t xml:space="preserve"> na pozicijama nadležnih tijela i nositelja mjera utrošena su sredstva u ukupnom </w:t>
      </w:r>
      <w:r w:rsidR="00CA5E5E" w:rsidRPr="000B764D">
        <w:rPr>
          <w:rFonts w:cs="Times New Roman"/>
          <w:szCs w:val="24"/>
        </w:rPr>
        <w:t xml:space="preserve">iznosu od </w:t>
      </w:r>
      <w:r w:rsidR="00C7631B">
        <w:rPr>
          <w:rFonts w:cs="Times New Roman"/>
          <w:szCs w:val="24"/>
        </w:rPr>
        <w:t>7.733.952,01</w:t>
      </w:r>
      <w:r w:rsidR="00C7631B" w:rsidRPr="007D3AE6">
        <w:rPr>
          <w:rFonts w:cs="Times New Roman"/>
          <w:szCs w:val="24"/>
        </w:rPr>
        <w:t xml:space="preserve"> EUR</w:t>
      </w:r>
      <w:r w:rsidR="00CA5E5E" w:rsidRPr="000B764D">
        <w:rPr>
          <w:rFonts w:cs="Times New Roman"/>
          <w:szCs w:val="24"/>
        </w:rPr>
        <w:t>.</w:t>
      </w:r>
      <w:r w:rsidR="00697933" w:rsidRPr="00CE622A">
        <w:rPr>
          <w:rFonts w:cs="Times New Roman"/>
          <w:color w:val="FF0000"/>
        </w:rPr>
        <w:br w:type="page"/>
      </w:r>
    </w:p>
    <w:p w14:paraId="52E02D8C" w14:textId="76F66F0B" w:rsidR="00697933" w:rsidRPr="00FC64BF" w:rsidRDefault="00697933" w:rsidP="00D36147">
      <w:pPr>
        <w:pStyle w:val="Heading2"/>
        <w:spacing w:before="0" w:line="276" w:lineRule="auto"/>
        <w:jc w:val="both"/>
        <w:rPr>
          <w:rFonts w:cs="Times New Roman"/>
          <w:b w:val="0"/>
        </w:rPr>
      </w:pPr>
      <w:bookmarkStart w:id="3" w:name="_Toc132988314"/>
      <w:r w:rsidRPr="00FC64BF">
        <w:rPr>
          <w:rFonts w:cs="Times New Roman"/>
        </w:rPr>
        <w:lastRenderedPageBreak/>
        <w:t>SAŽETAK</w:t>
      </w:r>
      <w:bookmarkEnd w:id="3"/>
    </w:p>
    <w:p w14:paraId="512D2247" w14:textId="77777777" w:rsidR="00B16F61" w:rsidRPr="00FC64BF" w:rsidRDefault="00B16F61" w:rsidP="00D36147">
      <w:pPr>
        <w:spacing w:after="0" w:line="276" w:lineRule="auto"/>
        <w:jc w:val="both"/>
        <w:rPr>
          <w:rFonts w:cs="Times New Roman"/>
        </w:rPr>
      </w:pPr>
    </w:p>
    <w:p w14:paraId="7ECEB834" w14:textId="0C75F4D6" w:rsidR="00315F2E" w:rsidRPr="00FC64BF" w:rsidRDefault="00315F2E" w:rsidP="00D36147">
      <w:pPr>
        <w:spacing w:after="0" w:line="276" w:lineRule="auto"/>
        <w:jc w:val="both"/>
        <w:rPr>
          <w:rFonts w:cs="Times New Roman"/>
        </w:rPr>
      </w:pPr>
      <w:r w:rsidRPr="00FC64BF">
        <w:rPr>
          <w:rFonts w:cs="Times New Roman"/>
        </w:rPr>
        <w:t>Vlada Republike Hrvatske, na 259. sjednici, održanoj 25. listopada 2023.</w:t>
      </w:r>
      <w:r w:rsidR="00391DA5">
        <w:rPr>
          <w:rFonts w:cs="Times New Roman"/>
        </w:rPr>
        <w:t xml:space="preserve"> </w:t>
      </w:r>
      <w:r w:rsidRPr="00FC64BF">
        <w:rPr>
          <w:rFonts w:cs="Times New Roman"/>
        </w:rPr>
        <w:t>donijela je Odluku o donošenju Akcijskog plana za provedbu Nacionalnog plana za uključivanje Roma za razdoblje od 2021. do 2027. godine, za 2023. – 2025.</w:t>
      </w:r>
      <w:r w:rsidR="00030FFE" w:rsidRPr="00FC64BF">
        <w:rPr>
          <w:rFonts w:cs="Times New Roman"/>
        </w:rPr>
        <w:t>,</w:t>
      </w:r>
      <w:r w:rsidRPr="00FC64BF">
        <w:rPr>
          <w:rFonts w:cs="Times New Roman"/>
        </w:rPr>
        <w:t xml:space="preserve"> koja je objavljena 26. listopada 2023.</w:t>
      </w:r>
      <w:r w:rsidR="00391DA5">
        <w:rPr>
          <w:rFonts w:cs="Times New Roman"/>
        </w:rPr>
        <w:t xml:space="preserve"> </w:t>
      </w:r>
      <w:r w:rsidRPr="00FC64BF">
        <w:rPr>
          <w:rFonts w:cs="Times New Roman"/>
        </w:rPr>
        <w:t>u Narodnim novinama (</w:t>
      </w:r>
      <w:r w:rsidR="004A3B23" w:rsidRPr="00FC64BF">
        <w:rPr>
          <w:rFonts w:cs="Times New Roman"/>
        </w:rPr>
        <w:t xml:space="preserve">„Narodne novine“, </w:t>
      </w:r>
      <w:r w:rsidR="005B4F82">
        <w:rPr>
          <w:rFonts w:cs="Times New Roman"/>
        </w:rPr>
        <w:t>br</w:t>
      </w:r>
      <w:r w:rsidR="0012183D">
        <w:rPr>
          <w:rFonts w:cs="Times New Roman"/>
        </w:rPr>
        <w:t>oj</w:t>
      </w:r>
      <w:r w:rsidR="0012183D" w:rsidRPr="00FC64BF">
        <w:rPr>
          <w:rFonts w:cs="Times New Roman"/>
        </w:rPr>
        <w:t xml:space="preserve"> </w:t>
      </w:r>
      <w:r w:rsidRPr="00FC64BF">
        <w:rPr>
          <w:rFonts w:cs="Times New Roman"/>
        </w:rPr>
        <w:t>125/23</w:t>
      </w:r>
      <w:r w:rsidR="0012183D">
        <w:rPr>
          <w:rFonts w:cs="Times New Roman"/>
        </w:rPr>
        <w:t>.</w:t>
      </w:r>
      <w:r w:rsidRPr="00FC64BF">
        <w:rPr>
          <w:rFonts w:cs="Times New Roman"/>
        </w:rPr>
        <w:t xml:space="preserve">). </w:t>
      </w:r>
    </w:p>
    <w:p w14:paraId="1C5F2B9F" w14:textId="77777777" w:rsidR="00A42BAD" w:rsidRPr="00FC64BF" w:rsidRDefault="00A42BAD" w:rsidP="00D36147">
      <w:pPr>
        <w:spacing w:after="0" w:line="276" w:lineRule="auto"/>
        <w:jc w:val="both"/>
        <w:rPr>
          <w:rFonts w:cs="Times New Roman"/>
        </w:rPr>
      </w:pPr>
    </w:p>
    <w:p w14:paraId="6BCFDE6B" w14:textId="5C2D6819" w:rsidR="006A7511" w:rsidRPr="00A86FA4" w:rsidRDefault="00315F2E" w:rsidP="00FB25C9">
      <w:pPr>
        <w:spacing w:after="0" w:line="276" w:lineRule="auto"/>
        <w:jc w:val="both"/>
        <w:rPr>
          <w:rFonts w:cs="Times New Roman"/>
        </w:rPr>
      </w:pPr>
      <w:r w:rsidRPr="00FC64BF">
        <w:rPr>
          <w:rFonts w:cs="Times New Roman"/>
        </w:rPr>
        <w:t>Akcijski plan prati strukturu Nacionalnog plana te se sastoji od 24 mjere i 58 aktivnosti koje služe za ostvarenje sedam posebnih ciljeva - tri horizontalna cilja (Borba protiv antiromskog rasizma i diskriminacije; Smanjivanje siromaštva i socijalne isključenosti</w:t>
      </w:r>
      <w:r w:rsidR="002E135F" w:rsidRPr="00FC64BF">
        <w:rPr>
          <w:rFonts w:cs="Times New Roman"/>
        </w:rPr>
        <w:t xml:space="preserve"> Roma</w:t>
      </w:r>
      <w:r w:rsidR="00AC0902" w:rsidRPr="00FC64BF">
        <w:rPr>
          <w:rFonts w:cs="Times New Roman"/>
        </w:rPr>
        <w:t xml:space="preserve"> </w:t>
      </w:r>
      <w:r w:rsidRPr="00FC64BF">
        <w:rPr>
          <w:rFonts w:cs="Times New Roman"/>
        </w:rPr>
        <w:t>kako bi se smanjio društveno-ekonomski jaz između Roma i opće populacije i Poticanje participacije</w:t>
      </w:r>
      <w:r w:rsidR="002E135F" w:rsidRPr="00FC64BF">
        <w:rPr>
          <w:rFonts w:cs="Times New Roman"/>
        </w:rPr>
        <w:t xml:space="preserve"> Roma</w:t>
      </w:r>
      <w:r w:rsidRPr="00FC64BF">
        <w:rPr>
          <w:rFonts w:cs="Times New Roman"/>
        </w:rPr>
        <w:t xml:space="preserve"> kroz osnaživanje, suradnju i povjerenje </w:t>
      </w:r>
      <w:r w:rsidR="002E135F" w:rsidRPr="00FC64BF">
        <w:rPr>
          <w:rFonts w:cs="Times New Roman"/>
        </w:rPr>
        <w:t xml:space="preserve">Roma </w:t>
      </w:r>
      <w:r w:rsidRPr="00FC64BF">
        <w:rPr>
          <w:rFonts w:cs="Times New Roman"/>
        </w:rPr>
        <w:t xml:space="preserve">u javne institucije) i četiri sektorska cilja (Učinkovit i jednak pristup </w:t>
      </w:r>
      <w:r w:rsidR="002E135F" w:rsidRPr="00FC64BF">
        <w:rPr>
          <w:rFonts w:cs="Times New Roman"/>
        </w:rPr>
        <w:t xml:space="preserve">Roma </w:t>
      </w:r>
      <w:r w:rsidRPr="00FC64BF">
        <w:rPr>
          <w:rFonts w:cs="Times New Roman"/>
        </w:rPr>
        <w:t>kvalitetnom, uključivom</w:t>
      </w:r>
      <w:r w:rsidR="00C11941" w:rsidRPr="00FC64BF">
        <w:rPr>
          <w:rFonts w:cs="Times New Roman"/>
        </w:rPr>
        <w:t xml:space="preserve"> </w:t>
      </w:r>
      <w:r w:rsidRPr="00FC64BF">
        <w:rPr>
          <w:rFonts w:cs="Times New Roman"/>
        </w:rPr>
        <w:t xml:space="preserve">obrazovanju; Učinkovit i jednak </w:t>
      </w:r>
      <w:r w:rsidRPr="00A86FA4">
        <w:rPr>
          <w:rFonts w:cs="Times New Roman"/>
        </w:rPr>
        <w:t xml:space="preserve">pristup </w:t>
      </w:r>
      <w:r w:rsidR="002E135F" w:rsidRPr="00A86FA4">
        <w:rPr>
          <w:rFonts w:cs="Times New Roman"/>
        </w:rPr>
        <w:t xml:space="preserve">Roma </w:t>
      </w:r>
      <w:r w:rsidRPr="00A86FA4">
        <w:rPr>
          <w:rFonts w:cs="Times New Roman"/>
        </w:rPr>
        <w:t>kvalitetnom</w:t>
      </w:r>
      <w:r w:rsidR="003531C7" w:rsidRPr="00A86FA4">
        <w:rPr>
          <w:rFonts w:cs="Times New Roman"/>
        </w:rPr>
        <w:t xml:space="preserve"> i</w:t>
      </w:r>
      <w:r w:rsidRPr="00A86FA4">
        <w:rPr>
          <w:rFonts w:cs="Times New Roman"/>
        </w:rPr>
        <w:t xml:space="preserve"> održivom zapošljavanju; Poboljšano </w:t>
      </w:r>
      <w:r w:rsidR="003531C7" w:rsidRPr="00A86FA4">
        <w:rPr>
          <w:rFonts w:cs="Times New Roman"/>
        </w:rPr>
        <w:t xml:space="preserve">zdravlje Roma </w:t>
      </w:r>
      <w:r w:rsidRPr="00A86FA4">
        <w:rPr>
          <w:rFonts w:cs="Times New Roman"/>
        </w:rPr>
        <w:t xml:space="preserve">i učinkovit i jednak pristup </w:t>
      </w:r>
      <w:r w:rsidR="003531C7" w:rsidRPr="00A86FA4">
        <w:rPr>
          <w:rFonts w:cs="Times New Roman"/>
        </w:rPr>
        <w:t xml:space="preserve">Roma </w:t>
      </w:r>
      <w:r w:rsidRPr="00A86FA4">
        <w:rPr>
          <w:rFonts w:cs="Times New Roman"/>
        </w:rPr>
        <w:t>kvalitetnim uslugama zdravstvene skrbi te Učinkovit i jednak pristup</w:t>
      </w:r>
      <w:r w:rsidR="003531C7" w:rsidRPr="00A86FA4">
        <w:rPr>
          <w:rFonts w:cs="Times New Roman"/>
        </w:rPr>
        <w:t xml:space="preserve"> Roma</w:t>
      </w:r>
      <w:r w:rsidRPr="00A86FA4">
        <w:rPr>
          <w:rFonts w:cs="Times New Roman"/>
        </w:rPr>
        <w:t xml:space="preserve"> prikladnom desegregiranom stanovanju i osnovnim uslugama). </w:t>
      </w:r>
    </w:p>
    <w:p w14:paraId="0A1941D1" w14:textId="77777777" w:rsidR="00A42BAD" w:rsidRPr="00A86FA4" w:rsidRDefault="00A42BAD">
      <w:pPr>
        <w:spacing w:after="0" w:line="276" w:lineRule="auto"/>
        <w:jc w:val="both"/>
        <w:rPr>
          <w:rFonts w:cs="Times New Roman"/>
        </w:rPr>
      </w:pPr>
    </w:p>
    <w:p w14:paraId="1DF7A0F4" w14:textId="44EC4ADA" w:rsidR="00854C05" w:rsidRPr="00FC64BF" w:rsidRDefault="006A7511" w:rsidP="00FC64BF">
      <w:pPr>
        <w:spacing w:after="200" w:line="276" w:lineRule="auto"/>
        <w:jc w:val="both"/>
        <w:rPr>
          <w:rFonts w:cs="Times New Roman"/>
        </w:rPr>
      </w:pPr>
      <w:bookmarkStart w:id="4" w:name="_Hlk170208752"/>
      <w:r w:rsidRPr="00A86FA4">
        <w:rPr>
          <w:rFonts w:cs="Times New Roman"/>
        </w:rPr>
        <w:t xml:space="preserve">Ciljevi Nacionalnog plana ostvaruju se i putem mjera i aktivnosti općih politika u nadležnosti tijela </w:t>
      </w:r>
      <w:r w:rsidRPr="00FC64BF">
        <w:rPr>
          <w:rFonts w:cs="Times New Roman"/>
        </w:rPr>
        <w:t xml:space="preserve">državne uprave </w:t>
      </w:r>
      <w:r w:rsidR="00026107">
        <w:rPr>
          <w:rFonts w:cs="Times New Roman"/>
        </w:rPr>
        <w:t xml:space="preserve">( u daljnjem tekstu: TDU) </w:t>
      </w:r>
      <w:r w:rsidRPr="00FC64BF">
        <w:rPr>
          <w:rFonts w:cs="Times New Roman"/>
        </w:rPr>
        <w:t>i drugih tijela</w:t>
      </w:r>
      <w:r w:rsidR="00854C05" w:rsidRPr="00FC64BF">
        <w:rPr>
          <w:rFonts w:cs="Times New Roman"/>
        </w:rPr>
        <w:t xml:space="preserve">, a osobito </w:t>
      </w:r>
      <w:r w:rsidR="00C053C7">
        <w:rPr>
          <w:rFonts w:cs="Times New Roman"/>
        </w:rPr>
        <w:t>Operativnim</w:t>
      </w:r>
      <w:r w:rsidR="00C053C7" w:rsidRPr="00C053C7">
        <w:rPr>
          <w:rFonts w:cs="Times New Roman"/>
        </w:rPr>
        <w:t xml:space="preserve"> program</w:t>
      </w:r>
      <w:r w:rsidR="00C053C7">
        <w:rPr>
          <w:rFonts w:cs="Times New Roman"/>
        </w:rPr>
        <w:t>im</w:t>
      </w:r>
      <w:r w:rsidR="00C053C7" w:rsidRPr="00C053C7">
        <w:rPr>
          <w:rFonts w:cs="Times New Roman"/>
        </w:rPr>
        <w:t>a nacionalnih manjina za razdoblje 2024. – 2028. (u daljnjem tekstu: Operativni programi</w:t>
      </w:r>
      <w:r w:rsidR="00C053C7" w:rsidRPr="00C053C7">
        <w:rPr>
          <w:rFonts w:cs="Times New Roman"/>
          <w:vertAlign w:val="superscript"/>
        </w:rPr>
        <w:footnoteReference w:id="1"/>
      </w:r>
      <w:r w:rsidR="00C053C7" w:rsidRPr="00C053C7">
        <w:rPr>
          <w:rFonts w:cs="Times New Roman"/>
        </w:rPr>
        <w:t>) kojima se određuju mehanizmi osiguranja zaštite prava nacionalnih manjina te podrške djelovanju njihovih tijela, sukladno Ustavnom zakonu o pravima nacionalnih manjina i drugim posebnim propisima kojima će se nastaviti dosljedno štititi i unaprjeđivati ljudska i manjinska prava</w:t>
      </w:r>
      <w:r w:rsidR="00C053C7">
        <w:rPr>
          <w:rFonts w:cs="Times New Roman"/>
        </w:rPr>
        <w:t>.</w:t>
      </w:r>
    </w:p>
    <w:p w14:paraId="59FB962C" w14:textId="7640C405" w:rsidR="006A7511" w:rsidRPr="00FC64BF" w:rsidRDefault="006A7511">
      <w:pPr>
        <w:spacing w:after="0" w:line="276" w:lineRule="auto"/>
        <w:jc w:val="both"/>
        <w:rPr>
          <w:rFonts w:cs="Times New Roman"/>
        </w:rPr>
      </w:pPr>
      <w:r w:rsidRPr="00FC64BF">
        <w:rPr>
          <w:rFonts w:cs="Times New Roman"/>
        </w:rPr>
        <w:t xml:space="preserve">Nadalje, s obzirom na to da je Republika Hrvatska, sukladno Preporukama Vijeća EU i </w:t>
      </w:r>
      <w:r w:rsidR="00247F36" w:rsidRPr="00FC64BF">
        <w:rPr>
          <w:rFonts w:cs="Times New Roman"/>
        </w:rPr>
        <w:t xml:space="preserve">Strateškom okviru </w:t>
      </w:r>
      <w:r w:rsidRPr="00FC64BF">
        <w:rPr>
          <w:rFonts w:cs="Times New Roman"/>
        </w:rPr>
        <w:t>EU za jednakost, uključivanje i participaciju</w:t>
      </w:r>
      <w:r w:rsidR="00247F36" w:rsidRPr="00FC64BF">
        <w:rPr>
          <w:rFonts w:cs="Times New Roman"/>
        </w:rPr>
        <w:t xml:space="preserve"> Roma</w:t>
      </w:r>
      <w:r w:rsidRPr="00FC64BF">
        <w:rPr>
          <w:rFonts w:cs="Times New Roman"/>
        </w:rPr>
        <w:t xml:space="preserve">, dužna detaljno izvještavati Europsku komisiju o svim relevantnim aktivnostima poduzetim za ispunjavanje Preporuka, </w:t>
      </w:r>
      <w:r w:rsidR="00841CC7">
        <w:rPr>
          <w:rFonts w:cs="Times New Roman"/>
        </w:rPr>
        <w:t>Ured</w:t>
      </w:r>
      <w:r w:rsidR="00BD4696">
        <w:rPr>
          <w:rFonts w:cs="Times New Roman"/>
        </w:rPr>
        <w:t xml:space="preserve"> </w:t>
      </w:r>
      <w:r w:rsidRPr="00FC64BF">
        <w:rPr>
          <w:rFonts w:cs="Times New Roman"/>
        </w:rPr>
        <w:t xml:space="preserve">je i za </w:t>
      </w:r>
      <w:r w:rsidR="00CE622A" w:rsidRPr="00FC64BF">
        <w:rPr>
          <w:rFonts w:cs="Times New Roman"/>
        </w:rPr>
        <w:t>2024.</w:t>
      </w:r>
      <w:r w:rsidRPr="00FC64BF">
        <w:rPr>
          <w:rFonts w:cs="Times New Roman"/>
        </w:rPr>
        <w:t xml:space="preserve"> </w:t>
      </w:r>
      <w:r w:rsidR="0012183D">
        <w:rPr>
          <w:rFonts w:cs="Times New Roman"/>
        </w:rPr>
        <w:t xml:space="preserve">godinu </w:t>
      </w:r>
      <w:r w:rsidRPr="00FC64BF">
        <w:rPr>
          <w:rFonts w:cs="Times New Roman"/>
        </w:rPr>
        <w:t xml:space="preserve">prikupio podatke tijela jedinica lokalne i područne (regionalne) samouprave </w:t>
      </w:r>
      <w:r w:rsidR="00026107">
        <w:rPr>
          <w:rFonts w:cs="Times New Roman"/>
        </w:rPr>
        <w:t xml:space="preserve">(u daljnjem tekstu JLP(R)S) </w:t>
      </w:r>
      <w:r w:rsidRPr="00FC64BF">
        <w:rPr>
          <w:rFonts w:cs="Times New Roman"/>
        </w:rPr>
        <w:t xml:space="preserve">s većim brojem pripadnika romske nacionalne manjine koji su sažeto prikazani u Prilogu </w:t>
      </w:r>
      <w:r w:rsidR="00C053C7" w:rsidRPr="00FB25C9">
        <w:rPr>
          <w:rFonts w:cs="Times New Roman"/>
        </w:rPr>
        <w:t>1</w:t>
      </w:r>
      <w:r w:rsidRPr="00FC64BF">
        <w:rPr>
          <w:rFonts w:cs="Times New Roman"/>
        </w:rPr>
        <w:t>.</w:t>
      </w:r>
      <w:bookmarkEnd w:id="4"/>
      <w:r w:rsidR="000A2629" w:rsidRPr="00FC64BF">
        <w:rPr>
          <w:rFonts w:cs="Times New Roman"/>
        </w:rPr>
        <w:t xml:space="preserve"> </w:t>
      </w:r>
    </w:p>
    <w:p w14:paraId="2294A94B" w14:textId="77777777" w:rsidR="00A42BAD" w:rsidRPr="00FC64BF" w:rsidRDefault="00A42BAD">
      <w:pPr>
        <w:spacing w:after="0" w:line="276" w:lineRule="auto"/>
        <w:jc w:val="both"/>
        <w:rPr>
          <w:rFonts w:cs="Times New Roman"/>
          <w:bCs/>
        </w:rPr>
      </w:pPr>
    </w:p>
    <w:p w14:paraId="4474B767" w14:textId="02FA82F8" w:rsidR="001D7745" w:rsidRDefault="00AF5160" w:rsidP="00162EED">
      <w:pPr>
        <w:spacing w:after="0" w:line="276" w:lineRule="auto"/>
        <w:jc w:val="both"/>
        <w:rPr>
          <w:rFonts w:eastAsia="Times New Roman" w:cs="Times New Roman"/>
          <w:bCs/>
          <w:szCs w:val="24"/>
          <w:lang w:eastAsia="hr-HR"/>
        </w:rPr>
      </w:pPr>
      <w:bookmarkStart w:id="5" w:name="_Hlk166755411"/>
      <w:r w:rsidRPr="00FC64BF">
        <w:rPr>
          <w:rFonts w:cs="Times New Roman"/>
        </w:rPr>
        <w:t xml:space="preserve">U okviru horizontalnog </w:t>
      </w:r>
      <w:r w:rsidRPr="0012183D">
        <w:rPr>
          <w:rFonts w:cs="Times New Roman"/>
        </w:rPr>
        <w:t>cilja</w:t>
      </w:r>
      <w:r w:rsidRPr="00FC64BF">
        <w:rPr>
          <w:rFonts w:cs="Times New Roman"/>
          <w:b/>
          <w:i/>
        </w:rPr>
        <w:t xml:space="preserve"> borba protiv antiromskog rasizma i diskriminacije</w:t>
      </w:r>
      <w:r w:rsidRPr="00FC64BF">
        <w:rPr>
          <w:rFonts w:cs="Times New Roman"/>
        </w:rPr>
        <w:t xml:space="preserve"> Ministarstvo unutarnjih poslova je </w:t>
      </w:r>
      <w:r w:rsidR="00C053C7">
        <w:rPr>
          <w:rFonts w:cs="Times New Roman"/>
        </w:rPr>
        <w:t xml:space="preserve">i </w:t>
      </w:r>
      <w:r w:rsidRPr="00FC64BF">
        <w:rPr>
          <w:rFonts w:cs="Times New Roman"/>
        </w:rPr>
        <w:t xml:space="preserve">tijekom </w:t>
      </w:r>
      <w:r w:rsidR="00CE622A" w:rsidRPr="00FC64BF">
        <w:rPr>
          <w:rFonts w:cs="Times New Roman"/>
        </w:rPr>
        <w:t>2024.</w:t>
      </w:r>
      <w:r w:rsidR="00391DA5">
        <w:rPr>
          <w:rFonts w:cs="Times New Roman"/>
        </w:rPr>
        <w:t xml:space="preserve"> </w:t>
      </w:r>
      <w:r w:rsidR="0012183D">
        <w:rPr>
          <w:rFonts w:cs="Times New Roman"/>
        </w:rPr>
        <w:t xml:space="preserve">godine </w:t>
      </w:r>
      <w:r w:rsidRPr="00FC64BF">
        <w:rPr>
          <w:rFonts w:cs="Times New Roman"/>
        </w:rPr>
        <w:t xml:space="preserve">nastavilo provedbu </w:t>
      </w:r>
      <w:r w:rsidR="008B491F" w:rsidRPr="00FC64BF">
        <w:rPr>
          <w:rFonts w:cs="Times New Roman"/>
        </w:rPr>
        <w:t xml:space="preserve">edukacije studenata te </w:t>
      </w:r>
      <w:r w:rsidRPr="00FC64BF">
        <w:rPr>
          <w:rFonts w:cs="Times New Roman"/>
        </w:rPr>
        <w:t>dugoročnih preventivnih akcija i aktivnosti usmjerenih jačanju i promicanju sigurnosti u zajednici, sprječavanju nasilja nad ženama i borbi protiv govora mržnje</w:t>
      </w:r>
      <w:r w:rsidR="00ED032E" w:rsidRPr="00FC64BF">
        <w:rPr>
          <w:rFonts w:cs="Times New Roman"/>
        </w:rPr>
        <w:t xml:space="preserve">, </w:t>
      </w:r>
      <w:r w:rsidR="008B491F" w:rsidRPr="00FC64BF">
        <w:rPr>
          <w:rFonts w:eastAsia="Times New Roman" w:cs="Times New Roman"/>
          <w:bCs/>
          <w:szCs w:val="24"/>
          <w:lang w:eastAsia="hr-HR"/>
        </w:rPr>
        <w:t>različitih i društveno neprihvatljivih ponašanja djece i mladih, zlouporabe droga i ostalih sredstava ovisnosti, smanjenje rizika trgovanja i krijumčarenja ljudi</w:t>
      </w:r>
      <w:r w:rsidR="00C053C7">
        <w:rPr>
          <w:rFonts w:eastAsia="Times New Roman" w:cs="Times New Roman"/>
          <w:bCs/>
          <w:szCs w:val="24"/>
          <w:lang w:eastAsia="hr-HR"/>
        </w:rPr>
        <w:t>ma</w:t>
      </w:r>
      <w:r w:rsidR="008B491F" w:rsidRPr="00FC64BF">
        <w:rPr>
          <w:rFonts w:eastAsia="Times New Roman" w:cs="Times New Roman"/>
          <w:bCs/>
          <w:szCs w:val="24"/>
          <w:lang w:eastAsia="hr-HR"/>
        </w:rPr>
        <w:t xml:space="preserve"> te jačanja prometne kulture</w:t>
      </w:r>
      <w:r w:rsidR="00AE69E4" w:rsidRPr="00FC64BF">
        <w:rPr>
          <w:rFonts w:eastAsia="Times New Roman" w:cs="Times New Roman"/>
          <w:bCs/>
          <w:szCs w:val="24"/>
          <w:lang w:eastAsia="hr-HR"/>
        </w:rPr>
        <w:t>.</w:t>
      </w:r>
      <w:r w:rsidR="00113304" w:rsidRPr="00FC64BF">
        <w:rPr>
          <w:rFonts w:eastAsia="Times New Roman" w:cs="Times New Roman"/>
          <w:bCs/>
          <w:szCs w:val="24"/>
          <w:lang w:eastAsia="hr-HR"/>
        </w:rPr>
        <w:t xml:space="preserve"> </w:t>
      </w:r>
      <w:r w:rsidR="00AE69E4" w:rsidRPr="00FC64BF">
        <w:rPr>
          <w:rFonts w:eastAsia="Times New Roman" w:cs="Times New Roman"/>
          <w:bCs/>
          <w:szCs w:val="24"/>
          <w:lang w:eastAsia="hr-HR"/>
        </w:rPr>
        <w:t xml:space="preserve">Ministarstvo unutarnjih poslova je u </w:t>
      </w:r>
      <w:r w:rsidR="00CE622A" w:rsidRPr="00FC64BF">
        <w:rPr>
          <w:rFonts w:eastAsia="Times New Roman" w:cs="Times New Roman"/>
          <w:bCs/>
          <w:szCs w:val="24"/>
          <w:lang w:eastAsia="hr-HR"/>
        </w:rPr>
        <w:t>2024.</w:t>
      </w:r>
      <w:r w:rsidR="00AE69E4" w:rsidRPr="00FC64BF">
        <w:rPr>
          <w:rFonts w:eastAsia="Times New Roman" w:cs="Times New Roman"/>
          <w:bCs/>
          <w:szCs w:val="24"/>
          <w:lang w:eastAsia="hr-HR"/>
        </w:rPr>
        <w:t xml:space="preserve"> </w:t>
      </w:r>
      <w:r w:rsidR="0012183D">
        <w:rPr>
          <w:rFonts w:eastAsia="Times New Roman" w:cs="Times New Roman"/>
          <w:bCs/>
          <w:szCs w:val="24"/>
          <w:lang w:eastAsia="hr-HR"/>
        </w:rPr>
        <w:t xml:space="preserve">godini </w:t>
      </w:r>
      <w:r w:rsidR="00AE69E4" w:rsidRPr="00FC64BF">
        <w:rPr>
          <w:rFonts w:eastAsia="Times New Roman" w:cs="Times New Roman"/>
          <w:bCs/>
          <w:szCs w:val="24"/>
          <w:lang w:eastAsia="hr-HR"/>
        </w:rPr>
        <w:t xml:space="preserve">u okviru </w:t>
      </w:r>
      <w:r w:rsidR="00113304" w:rsidRPr="00FC64BF">
        <w:rPr>
          <w:rFonts w:cs="Times New Roman"/>
        </w:rPr>
        <w:t>aktivnosti</w:t>
      </w:r>
      <w:r w:rsidR="00AE69E4" w:rsidRPr="00FC64BF">
        <w:rPr>
          <w:rFonts w:eastAsia="Times New Roman" w:cs="Times New Roman"/>
          <w:bCs/>
          <w:szCs w:val="24"/>
          <w:lang w:eastAsia="hr-HR"/>
        </w:rPr>
        <w:t xml:space="preserve"> Jačanje i promicanje </w:t>
      </w:r>
      <w:r w:rsidR="003F4583" w:rsidRPr="00FC64BF">
        <w:rPr>
          <w:rFonts w:eastAsia="Times New Roman" w:cs="Times New Roman"/>
          <w:bCs/>
          <w:szCs w:val="24"/>
          <w:lang w:eastAsia="hr-HR"/>
        </w:rPr>
        <w:t xml:space="preserve">sigurnosti u zajednici, organiziralo događanja </w:t>
      </w:r>
      <w:r w:rsidR="00226EDE" w:rsidRPr="00FC64BF">
        <w:rPr>
          <w:rFonts w:eastAsia="Times New Roman" w:cs="Times New Roman"/>
          <w:bCs/>
          <w:szCs w:val="24"/>
          <w:lang w:eastAsia="hr-HR"/>
        </w:rPr>
        <w:t xml:space="preserve">uz znatno </w:t>
      </w:r>
      <w:r w:rsidR="00C053C7">
        <w:rPr>
          <w:rFonts w:eastAsia="Times New Roman" w:cs="Times New Roman"/>
          <w:bCs/>
          <w:szCs w:val="24"/>
          <w:lang w:eastAsia="hr-HR"/>
        </w:rPr>
        <w:t xml:space="preserve">veći broj i događanja </w:t>
      </w:r>
      <w:r w:rsidR="001D7745">
        <w:rPr>
          <w:rFonts w:eastAsia="Times New Roman" w:cs="Times New Roman"/>
          <w:bCs/>
          <w:szCs w:val="24"/>
          <w:lang w:eastAsia="hr-HR"/>
        </w:rPr>
        <w:t>(</w:t>
      </w:r>
      <w:r w:rsidR="001D7745" w:rsidRPr="001D7745">
        <w:rPr>
          <w:rFonts w:eastAsia="Times New Roman" w:cs="Times New Roman"/>
          <w:bCs/>
          <w:szCs w:val="24"/>
          <w:lang w:eastAsia="hr-HR"/>
        </w:rPr>
        <w:t>planirano 25</w:t>
      </w:r>
      <w:r w:rsidR="001D7745">
        <w:rPr>
          <w:rFonts w:eastAsia="Times New Roman" w:cs="Times New Roman"/>
          <w:bCs/>
          <w:szCs w:val="24"/>
          <w:lang w:eastAsia="hr-HR"/>
        </w:rPr>
        <w:t xml:space="preserve">, održana 324), </w:t>
      </w:r>
      <w:r w:rsidR="00C053C7">
        <w:rPr>
          <w:rFonts w:eastAsia="Times New Roman" w:cs="Times New Roman"/>
          <w:bCs/>
          <w:szCs w:val="24"/>
          <w:lang w:eastAsia="hr-HR"/>
        </w:rPr>
        <w:t xml:space="preserve">sudionika </w:t>
      </w:r>
      <w:r w:rsidR="001D7745">
        <w:rPr>
          <w:rFonts w:eastAsia="Times New Roman" w:cs="Times New Roman"/>
          <w:bCs/>
          <w:szCs w:val="24"/>
          <w:lang w:eastAsia="hr-HR"/>
        </w:rPr>
        <w:t>(planirano 309, ostvareno 11 778) te popratnih medijskih objava (planirano 15, objavljeno 24)</w:t>
      </w:r>
      <w:r w:rsidR="007D084F">
        <w:rPr>
          <w:rFonts w:eastAsia="Times New Roman" w:cs="Times New Roman"/>
          <w:bCs/>
          <w:szCs w:val="24"/>
          <w:lang w:eastAsia="hr-HR"/>
        </w:rPr>
        <w:t xml:space="preserve"> </w:t>
      </w:r>
      <w:r w:rsidR="00C053C7">
        <w:rPr>
          <w:rFonts w:eastAsia="Times New Roman" w:cs="Times New Roman"/>
          <w:bCs/>
          <w:szCs w:val="24"/>
          <w:lang w:eastAsia="hr-HR"/>
        </w:rPr>
        <w:t>od planiranog broja</w:t>
      </w:r>
      <w:r w:rsidR="001D7745">
        <w:rPr>
          <w:rFonts w:eastAsia="Times New Roman" w:cs="Times New Roman"/>
          <w:bCs/>
          <w:szCs w:val="24"/>
          <w:lang w:eastAsia="hr-HR"/>
        </w:rPr>
        <w:t>.</w:t>
      </w:r>
    </w:p>
    <w:p w14:paraId="5C89BD13" w14:textId="1F3839E5" w:rsidR="001D7745" w:rsidRPr="001D7745" w:rsidRDefault="001D7745" w:rsidP="00162EED">
      <w:pPr>
        <w:spacing w:after="0" w:line="276" w:lineRule="auto"/>
        <w:jc w:val="both"/>
        <w:rPr>
          <w:rFonts w:eastAsia="Times New Roman" w:cs="Times New Roman"/>
          <w:bCs/>
          <w:iCs/>
          <w:szCs w:val="24"/>
          <w:lang w:eastAsia="hr-HR"/>
        </w:rPr>
      </w:pPr>
      <w:r w:rsidRPr="001D7745">
        <w:rPr>
          <w:rFonts w:eastAsia="Times New Roman" w:cs="Times New Roman"/>
          <w:bCs/>
          <w:iCs/>
          <w:szCs w:val="24"/>
          <w:lang w:eastAsia="hr-HR"/>
        </w:rPr>
        <w:lastRenderedPageBreak/>
        <w:t xml:space="preserve">Povodom obilježavanja Svjetskog dana Roma, 18. travnja 2024. na Policijskoj akademiji „Prvi hrvatski redarstvenik“ održan je Okrugli stol „Rad policije u manjinskim zajednicama - naglasak na romske zajednice“. Cilj okruglog stola bio je, kroz otvorenu raspravu različitih dionika i prezentaciju primjera dobre prakse u Hrvatskoj i Sloveniji, doprinijeti ostvarivanju vizije Nacionalnog plana, doprinijeti boljem razumijevanju uloge različitih institucija važnih za manjinske i romske zajednice, ali i unaprijeđenu postupanja i pristupa policije u radu u manjinskim, </w:t>
      </w:r>
      <w:r w:rsidRPr="00FB25C9">
        <w:rPr>
          <w:rFonts w:eastAsia="Times New Roman" w:cs="Times New Roman"/>
          <w:bCs/>
          <w:iCs/>
          <w:szCs w:val="24"/>
          <w:lang w:eastAsia="hr-HR"/>
        </w:rPr>
        <w:t>multietničkim i multikulturnim zajednicama.</w:t>
      </w:r>
      <w:r w:rsidRPr="001D7745">
        <w:rPr>
          <w:rFonts w:eastAsia="Times New Roman" w:cs="Times New Roman"/>
          <w:bCs/>
          <w:iCs/>
          <w:szCs w:val="24"/>
          <w:lang w:eastAsia="hr-HR"/>
        </w:rPr>
        <w:t xml:space="preserve"> Okrugli stol okupio je široki krug dionika te su u njemu aktivno sudjelovali predstavnici akademske zajednice, Ureda</w:t>
      </w:r>
      <w:r w:rsidR="00BD4696">
        <w:rPr>
          <w:rFonts w:eastAsia="Times New Roman" w:cs="Times New Roman"/>
          <w:bCs/>
          <w:iCs/>
          <w:szCs w:val="24"/>
          <w:lang w:eastAsia="hr-HR"/>
        </w:rPr>
        <w:t xml:space="preserve"> za ljudska prava i prava nacionalnih manjina</w:t>
      </w:r>
      <w:r w:rsidRPr="001D7745">
        <w:rPr>
          <w:rFonts w:eastAsia="Times New Roman" w:cs="Times New Roman"/>
          <w:bCs/>
          <w:iCs/>
          <w:szCs w:val="24"/>
          <w:lang w:eastAsia="hr-HR"/>
        </w:rPr>
        <w:t>, nevladinih romskih udruga i centara za pružanje usluga u zajednici.</w:t>
      </w:r>
    </w:p>
    <w:p w14:paraId="185D0821" w14:textId="537C8712" w:rsidR="00C053C7" w:rsidRPr="00FC64BF" w:rsidRDefault="008B491F" w:rsidP="00162EED">
      <w:pPr>
        <w:spacing w:after="0" w:line="276" w:lineRule="auto"/>
        <w:jc w:val="both"/>
        <w:rPr>
          <w:rFonts w:eastAsia="Calibri" w:cs="Times New Roman"/>
          <w:szCs w:val="24"/>
        </w:rPr>
      </w:pPr>
      <w:r w:rsidRPr="00FC64BF">
        <w:rPr>
          <w:rFonts w:cs="Times New Roman"/>
        </w:rPr>
        <w:t xml:space="preserve">Uz to, </w:t>
      </w:r>
      <w:r w:rsidRPr="00FC64BF">
        <w:rPr>
          <w:rFonts w:eastAsia="Calibri" w:cs="Times New Roman"/>
          <w:szCs w:val="24"/>
        </w:rPr>
        <w:t>Ministarstvo unutarnjih poslova nastavlja pozivati na pojačano poticanje pripadnika romske nacionalne manjine na zapošljavanje u policiji.</w:t>
      </w:r>
      <w:r w:rsidR="00763298" w:rsidRPr="00FC64BF">
        <w:rPr>
          <w:rFonts w:eastAsia="Calibri" w:cs="Times New Roman"/>
          <w:szCs w:val="24"/>
        </w:rPr>
        <w:t xml:space="preserve"> </w:t>
      </w:r>
    </w:p>
    <w:p w14:paraId="18D2EE19" w14:textId="4ED5C8AB" w:rsidR="00A42BAD" w:rsidRPr="00FC64BF" w:rsidRDefault="00A42BAD" w:rsidP="00162EED">
      <w:pPr>
        <w:spacing w:after="0" w:line="276" w:lineRule="auto"/>
        <w:jc w:val="both"/>
        <w:rPr>
          <w:rFonts w:cs="Times New Roman"/>
        </w:rPr>
      </w:pPr>
    </w:p>
    <w:p w14:paraId="7180A01F" w14:textId="77777777" w:rsidR="001D7745" w:rsidRPr="00FC64BF" w:rsidRDefault="00AF5160">
      <w:pPr>
        <w:spacing w:after="0" w:line="276" w:lineRule="auto"/>
        <w:jc w:val="both"/>
        <w:rPr>
          <w:rFonts w:cs="Times New Roman"/>
        </w:rPr>
      </w:pPr>
      <w:bookmarkStart w:id="6" w:name="_Hlk166755461"/>
      <w:bookmarkEnd w:id="5"/>
      <w:r w:rsidRPr="00FC64BF">
        <w:rPr>
          <w:rFonts w:cs="Times New Roman"/>
        </w:rPr>
        <w:t xml:space="preserve">Nadalje, u okviru ovog horizontalnog cilja provedene </w:t>
      </w:r>
      <w:r w:rsidR="00763298" w:rsidRPr="00FC64BF">
        <w:rPr>
          <w:rFonts w:cs="Times New Roman"/>
        </w:rPr>
        <w:t xml:space="preserve">su </w:t>
      </w:r>
      <w:r w:rsidRPr="00FC64BF">
        <w:rPr>
          <w:rFonts w:cs="Times New Roman"/>
        </w:rPr>
        <w:t xml:space="preserve">aktivnosti vezane uz osnaživanje provedbe međunarodnih dokumenata i ugovora u području zaštite prava nacionalnih manjina i izradu izvješća prema različitim međunarodnim mehanizmima kojima se štite prava nacionalnih manjina. </w:t>
      </w:r>
    </w:p>
    <w:p w14:paraId="26B92738" w14:textId="77777777" w:rsidR="001D7745" w:rsidRPr="00FC64BF" w:rsidRDefault="001D7745">
      <w:pPr>
        <w:spacing w:after="0" w:line="276" w:lineRule="auto"/>
        <w:jc w:val="both"/>
        <w:rPr>
          <w:rFonts w:cs="Times New Roman"/>
        </w:rPr>
      </w:pPr>
    </w:p>
    <w:p w14:paraId="21E765BA" w14:textId="34DC5D62" w:rsidR="001D7745" w:rsidRPr="00FC64BF" w:rsidRDefault="001D7745" w:rsidP="001D7745">
      <w:pPr>
        <w:spacing w:after="0" w:line="276" w:lineRule="auto"/>
        <w:jc w:val="both"/>
        <w:rPr>
          <w:rFonts w:cs="Times New Roman"/>
        </w:rPr>
      </w:pPr>
      <w:r w:rsidRPr="00FC64BF">
        <w:rPr>
          <w:rFonts w:cs="Times New Roman"/>
        </w:rPr>
        <w:t xml:space="preserve">Suradnja u okviru EU nastavljena je kroz </w:t>
      </w:r>
      <w:r>
        <w:rPr>
          <w:rFonts w:cs="Times New Roman"/>
        </w:rPr>
        <w:t xml:space="preserve">dva sastanka </w:t>
      </w:r>
      <w:r w:rsidRPr="00FC64BF">
        <w:rPr>
          <w:rFonts w:cs="Times New Roman"/>
        </w:rPr>
        <w:t>mrež</w:t>
      </w:r>
      <w:r>
        <w:rPr>
          <w:rFonts w:cs="Times New Roman"/>
        </w:rPr>
        <w:t>e</w:t>
      </w:r>
      <w:r w:rsidRPr="00FC64BF">
        <w:rPr>
          <w:rFonts w:cs="Times New Roman"/>
        </w:rPr>
        <w:t xml:space="preserve"> Nacionalnih kontakt točaka za Rome</w:t>
      </w:r>
      <w:r>
        <w:rPr>
          <w:rFonts w:cs="Times New Roman"/>
        </w:rPr>
        <w:t xml:space="preserve"> te </w:t>
      </w:r>
      <w:r w:rsidRPr="001D7745">
        <w:rPr>
          <w:rFonts w:cs="Times New Roman"/>
        </w:rPr>
        <w:t>na mrežnoj konferenciji „Osiguranje političke participacije Roma na lokalnoj, nacionalnoj i europskoj razini. Identificiranje zapreka, rješenja i dobrih praksi.“ 14. ožujka 2024.</w:t>
      </w:r>
      <w:r w:rsidR="0012183D">
        <w:rPr>
          <w:rFonts w:cs="Times New Roman"/>
          <w:color w:val="5B9BD5" w:themeColor="accent1"/>
        </w:rPr>
        <w:t xml:space="preserve"> </w:t>
      </w:r>
      <w:r w:rsidRPr="001D7745">
        <w:rPr>
          <w:rFonts w:cs="Times New Roman"/>
        </w:rPr>
        <w:t xml:space="preserve">Predstavnici Ureda </w:t>
      </w:r>
      <w:r w:rsidR="00BD4696">
        <w:rPr>
          <w:rFonts w:cs="Times New Roman"/>
        </w:rPr>
        <w:t xml:space="preserve">za ljudska prava i prava nacionalnih manjina </w:t>
      </w:r>
      <w:r w:rsidRPr="001D7745">
        <w:rPr>
          <w:rFonts w:cs="Times New Roman"/>
        </w:rPr>
        <w:t>su također sudjelovali u izradi pripremnih dokumenata te Prijedloga zaključaka Vijeća EU o poboljšanju dostupnosti usluga zbog smanjenja teritorijalnih nejednakosti i promocije socijalnog uključivanja</w:t>
      </w:r>
      <w:r w:rsidRPr="00FC64BF">
        <w:rPr>
          <w:rFonts w:cs="Times New Roman"/>
        </w:rPr>
        <w:t xml:space="preserve">. Predstavnici Ureda, drugih nadležnih tijela, Grada Belog Manastira i romskog civilnog društva su sudjelovali i na 17. sastanku Europske platforme za uključivanje Roma, održanom u Bruxellesu, 1. prosinca 2024. </w:t>
      </w:r>
    </w:p>
    <w:p w14:paraId="45364625" w14:textId="465315D4" w:rsidR="001D7745" w:rsidRPr="00FC64BF" w:rsidRDefault="001D7745" w:rsidP="001D7745">
      <w:pPr>
        <w:spacing w:after="0" w:line="276" w:lineRule="auto"/>
        <w:jc w:val="both"/>
        <w:rPr>
          <w:rFonts w:cs="Times New Roman"/>
        </w:rPr>
      </w:pPr>
      <w:r w:rsidRPr="00FC64BF">
        <w:rPr>
          <w:rFonts w:cs="Times New Roman"/>
        </w:rPr>
        <w:t>Ured je 19. siječnja 2024.</w:t>
      </w:r>
      <w:r w:rsidRPr="005F1DBF">
        <w:rPr>
          <w:rFonts w:cs="Times New Roman"/>
          <w:color w:val="5B9BD5" w:themeColor="accent1"/>
        </w:rPr>
        <w:t xml:space="preserve"> </w:t>
      </w:r>
      <w:r w:rsidRPr="00FC64BF">
        <w:rPr>
          <w:rFonts w:cs="Times New Roman"/>
        </w:rPr>
        <w:t>dostavio Europskoj komisiji dopunu Izvješća o provedbi Okvira EU za uključivanje Roma za 2023. godinu.</w:t>
      </w:r>
    </w:p>
    <w:p w14:paraId="4E2DCE69" w14:textId="5F435108" w:rsidR="001D7745" w:rsidRPr="00FC64BF" w:rsidRDefault="001D7745" w:rsidP="001D7745">
      <w:pPr>
        <w:spacing w:after="0" w:line="276" w:lineRule="auto"/>
        <w:jc w:val="both"/>
        <w:rPr>
          <w:rFonts w:cs="Times New Roman"/>
        </w:rPr>
      </w:pPr>
      <w:r w:rsidRPr="00FC64BF">
        <w:rPr>
          <w:rFonts w:cs="Times New Roman"/>
        </w:rPr>
        <w:t xml:space="preserve">Ravnatelj Ureda </w:t>
      </w:r>
      <w:r w:rsidR="00BD4696">
        <w:rPr>
          <w:rFonts w:cs="Times New Roman"/>
        </w:rPr>
        <w:t xml:space="preserve">za ljudska prava i prava nacionalnih manjina </w:t>
      </w:r>
      <w:r w:rsidRPr="00FC64BF">
        <w:rPr>
          <w:rFonts w:cs="Times New Roman"/>
        </w:rPr>
        <w:t>sudjelovao je</w:t>
      </w:r>
      <w:r>
        <w:rPr>
          <w:rFonts w:cs="Times New Roman"/>
        </w:rPr>
        <w:t xml:space="preserve"> na dva</w:t>
      </w:r>
      <w:r w:rsidRPr="00FC64BF">
        <w:rPr>
          <w:rFonts w:cs="Times New Roman"/>
        </w:rPr>
        <w:t xml:space="preserve"> sastank</w:t>
      </w:r>
      <w:r>
        <w:rPr>
          <w:rFonts w:cs="Times New Roman"/>
        </w:rPr>
        <w:t>a</w:t>
      </w:r>
      <w:r w:rsidRPr="00FC64BF">
        <w:rPr>
          <w:rFonts w:cs="Times New Roman"/>
        </w:rPr>
        <w:t xml:space="preserve"> skupine stručnjaka za Rome Vijeća Europe (ADI-ROM), </w:t>
      </w:r>
      <w:r>
        <w:rPr>
          <w:rFonts w:cs="Times New Roman"/>
        </w:rPr>
        <w:t xml:space="preserve">a </w:t>
      </w:r>
      <w:r w:rsidRPr="00FC64BF">
        <w:rPr>
          <w:rFonts w:cs="Times New Roman"/>
        </w:rPr>
        <w:t xml:space="preserve">predstavnici Ureda su sudjelovali u posjetu tematske skupine stručnjaka Vijeća Europe za borbu protiv antiromskog rasizma i diskriminacije u Berlinu. </w:t>
      </w:r>
      <w:r w:rsidR="004A6ABB">
        <w:rPr>
          <w:rFonts w:cs="Times New Roman"/>
        </w:rPr>
        <w:t xml:space="preserve">Prezentirajući najbolje nacionalne prakse, </w:t>
      </w:r>
      <w:r w:rsidRPr="00FC64BF">
        <w:rPr>
          <w:rFonts w:cs="Times New Roman"/>
        </w:rPr>
        <w:t xml:space="preserve">Ured je organizirao tematski posjet skupine stručnjaka za Rome Vijeća Europe Republici Hrvatskoj od 24. do 26. rujna 2024. Ured je također pomogao organizaciji studijske posjete stručnjaka iz Sjeverne Makedonije, a u organizaciji Vijeća Europe i uz podršku Mreže centara obrazovnih politika, o obrazovnoj integraciji djece Roma u Republici Hrvatskoj 4. lipnja 2024. </w:t>
      </w:r>
    </w:p>
    <w:p w14:paraId="4E546B3C" w14:textId="77777777" w:rsidR="001D7745" w:rsidRPr="00FC64BF" w:rsidRDefault="001D7745" w:rsidP="001D7745">
      <w:pPr>
        <w:spacing w:after="0" w:line="276" w:lineRule="auto"/>
        <w:jc w:val="both"/>
        <w:rPr>
          <w:rFonts w:cs="Times New Roman"/>
        </w:rPr>
      </w:pPr>
      <w:r w:rsidRPr="00FC64BF">
        <w:rPr>
          <w:rFonts w:cs="Times New Roman"/>
        </w:rPr>
        <w:t xml:space="preserve">Ured je aktivno sudjelovao i u izradi Nacrta studije izvedivosti izrade politika desegregacije i uključivanja na području obrazovanja Vijeća Europe. </w:t>
      </w:r>
    </w:p>
    <w:p w14:paraId="17A2B584" w14:textId="38487B44" w:rsidR="001D7745" w:rsidRPr="00FC64BF" w:rsidRDefault="001D7745" w:rsidP="001D7745">
      <w:pPr>
        <w:spacing w:after="0" w:line="276" w:lineRule="auto"/>
        <w:jc w:val="both"/>
        <w:rPr>
          <w:rFonts w:cs="Times New Roman"/>
        </w:rPr>
      </w:pPr>
      <w:r w:rsidRPr="00FC64BF">
        <w:rPr>
          <w:rFonts w:cs="Times New Roman"/>
        </w:rPr>
        <w:t xml:space="preserve">Predstavnici Ureda </w:t>
      </w:r>
      <w:r w:rsidR="00C7292F">
        <w:rPr>
          <w:rFonts w:cs="Times New Roman"/>
        </w:rPr>
        <w:t xml:space="preserve">za ljudska prava i prava nacionalnih manjina </w:t>
      </w:r>
      <w:r w:rsidRPr="00FC64BF">
        <w:rPr>
          <w:rFonts w:cs="Times New Roman"/>
        </w:rPr>
        <w:t>aktivno su sudjelovali na sastanku Odbora mreže EURoma,</w:t>
      </w:r>
      <w:r>
        <w:rPr>
          <w:rFonts w:cs="Times New Roman"/>
        </w:rPr>
        <w:t xml:space="preserve"> te </w:t>
      </w:r>
      <w:r w:rsidRPr="00FC64BF">
        <w:rPr>
          <w:rFonts w:cs="Times New Roman"/>
        </w:rPr>
        <w:t>u doradi referentne publikacije EUR</w:t>
      </w:r>
      <w:r w:rsidR="004A6ABB">
        <w:rPr>
          <w:rFonts w:cs="Times New Roman"/>
        </w:rPr>
        <w:t>oma</w:t>
      </w:r>
      <w:r w:rsidRPr="00FC64BF">
        <w:rPr>
          <w:rFonts w:cs="Times New Roman"/>
        </w:rPr>
        <w:t xml:space="preserve"> o pozivima na dostavu projektnih prijedloga kao ključnog elementa za postizanje jednakosti i uključenosti Roma.</w:t>
      </w:r>
    </w:p>
    <w:p w14:paraId="142D1904" w14:textId="0AEEC0BE" w:rsidR="001D7745" w:rsidRDefault="001D7745" w:rsidP="002013C1">
      <w:pPr>
        <w:spacing w:after="0" w:line="276" w:lineRule="auto"/>
        <w:jc w:val="both"/>
        <w:rPr>
          <w:rFonts w:cs="Times New Roman"/>
          <w:szCs w:val="24"/>
        </w:rPr>
      </w:pPr>
      <w:r w:rsidRPr="00FC64BF">
        <w:rPr>
          <w:rFonts w:cs="Times New Roman"/>
        </w:rPr>
        <w:lastRenderedPageBreak/>
        <w:t xml:space="preserve">Tijekom posjeta izaslanstva </w:t>
      </w:r>
      <w:r w:rsidR="00982427">
        <w:rPr>
          <w:rFonts w:cs="Times New Roman"/>
        </w:rPr>
        <w:t>E</w:t>
      </w:r>
      <w:r w:rsidRPr="00FC64BF">
        <w:rPr>
          <w:rFonts w:cs="Times New Roman"/>
        </w:rPr>
        <w:t xml:space="preserve">uropske komisije Vijeća Europe za borbu protiv rasizma i nesnošljivosti (ECRI) Republici Hrvatskoj, uz sastanke održane 24. i 25. travnja </w:t>
      </w:r>
      <w:r w:rsidR="00391DA5" w:rsidRPr="00FC64BF">
        <w:rPr>
          <w:rFonts w:cs="Times New Roman"/>
        </w:rPr>
        <w:t>202</w:t>
      </w:r>
      <w:r w:rsidR="00391DA5">
        <w:rPr>
          <w:rFonts w:cs="Times New Roman"/>
        </w:rPr>
        <w:t>4</w:t>
      </w:r>
      <w:r w:rsidRPr="00FC64BF">
        <w:rPr>
          <w:rFonts w:cs="Times New Roman"/>
        </w:rPr>
        <w:t>.</w:t>
      </w:r>
      <w:r w:rsidR="00391DA5" w:rsidRPr="005F1DBF">
        <w:rPr>
          <w:rFonts w:cs="Times New Roman"/>
          <w:color w:val="5B9BD5" w:themeColor="accent1"/>
        </w:rPr>
        <w:t xml:space="preserve"> </w:t>
      </w:r>
      <w:r w:rsidRPr="00FC64BF">
        <w:rPr>
          <w:rFonts w:cs="Times New Roman"/>
        </w:rPr>
        <w:t xml:space="preserve">Ured je članovima izaslanstva dostavio dodatne materijale. Također, priređen je i prilog o napretku ostvarenom u području primjene Konvencije o uklanjanju svih oblika diskriminacije žena radi pripreme redovnog Šestog periodičnog </w:t>
      </w:r>
      <w:r w:rsidRPr="003027F5">
        <w:rPr>
          <w:rFonts w:cs="Times New Roman"/>
        </w:rPr>
        <w:t>izvješća prema članku 18. UN-ove Konvencije o uklanjanju svih oblika diskriminacije žena (CEDAW)</w:t>
      </w:r>
      <w:r w:rsidR="00E94A46" w:rsidRPr="003027F5">
        <w:rPr>
          <w:rFonts w:cs="Times New Roman"/>
        </w:rPr>
        <w:t>, prilog za o</w:t>
      </w:r>
      <w:r w:rsidR="00E94A46" w:rsidRPr="00D1280F">
        <w:rPr>
          <w:rFonts w:cs="Times New Roman"/>
        </w:rPr>
        <w:t>branu</w:t>
      </w:r>
      <w:r w:rsidRPr="00D1280F">
        <w:rPr>
          <w:rFonts w:cs="Times New Roman"/>
        </w:rPr>
        <w:t xml:space="preserve"> Drugog periodičnog izvješća o primjeni </w:t>
      </w:r>
      <w:r w:rsidR="00E94A46" w:rsidRPr="00D1280F">
        <w:rPr>
          <w:rFonts w:cs="Times New Roman"/>
        </w:rPr>
        <w:t>Međunarodnog p</w:t>
      </w:r>
      <w:r w:rsidRPr="00D1280F">
        <w:rPr>
          <w:rFonts w:cs="Times New Roman"/>
        </w:rPr>
        <w:t>akta o gospodarskim, socijalnim i kulturnim pravima</w:t>
      </w:r>
      <w:r w:rsidR="00FA5CF6" w:rsidRPr="00D1280F">
        <w:rPr>
          <w:rFonts w:cs="Times New Roman"/>
        </w:rPr>
        <w:t xml:space="preserve"> te</w:t>
      </w:r>
      <w:r w:rsidR="00E94A46" w:rsidRPr="00D1280F">
        <w:rPr>
          <w:rFonts w:cs="Times New Roman"/>
        </w:rPr>
        <w:t xml:space="preserve"> za obranu</w:t>
      </w:r>
      <w:r w:rsidRPr="00D1280F">
        <w:rPr>
          <w:rFonts w:cs="Times New Roman"/>
        </w:rPr>
        <w:t xml:space="preserve"> Četvrtog periodičnog izvješća o primjeni Međunarodnog pakta o građanskim i političkim pravima</w:t>
      </w:r>
      <w:r w:rsidR="002013C1" w:rsidRPr="00D1280F">
        <w:rPr>
          <w:rFonts w:cs="Times New Roman"/>
        </w:rPr>
        <w:t>.</w:t>
      </w:r>
      <w:r w:rsidRPr="00D1280F">
        <w:rPr>
          <w:rFonts w:cs="Times New Roman"/>
        </w:rPr>
        <w:t xml:space="preserve"> </w:t>
      </w:r>
      <w:r w:rsidR="00E94A46" w:rsidRPr="00D1280F">
        <w:rPr>
          <w:rFonts w:cs="Times New Roman"/>
        </w:rPr>
        <w:t xml:space="preserve">Ujedno, </w:t>
      </w:r>
      <w:r w:rsidR="001C4419" w:rsidRPr="003027F5">
        <w:rPr>
          <w:szCs w:val="24"/>
        </w:rPr>
        <w:t xml:space="preserve">u prosincu 2024., </w:t>
      </w:r>
      <w:r w:rsidR="00841CC7">
        <w:rPr>
          <w:szCs w:val="24"/>
        </w:rPr>
        <w:t>Ured</w:t>
      </w:r>
      <w:r w:rsidR="001C4419" w:rsidRPr="00D1280F">
        <w:rPr>
          <w:szCs w:val="24"/>
        </w:rPr>
        <w:t xml:space="preserve"> </w:t>
      </w:r>
      <w:r w:rsidR="00355D83">
        <w:rPr>
          <w:szCs w:val="24"/>
        </w:rPr>
        <w:t xml:space="preserve">je </w:t>
      </w:r>
      <w:r w:rsidR="001C4419" w:rsidRPr="00D1280F">
        <w:rPr>
          <w:szCs w:val="24"/>
        </w:rPr>
        <w:t xml:space="preserve">dostavio očitovanje Republike Hrvatske o provedbi hitnih preporuka UN-ovom Odboru </w:t>
      </w:r>
      <w:r w:rsidR="001C4419" w:rsidRPr="00D1280F">
        <w:rPr>
          <w:szCs w:val="24"/>
          <w:shd w:val="clear" w:color="auto" w:fill="FFFFFF"/>
        </w:rPr>
        <w:t>za uklanjanje rasne diskriminacije (CERD)</w:t>
      </w:r>
      <w:r w:rsidR="001C4419" w:rsidRPr="00D1280F">
        <w:rPr>
          <w:szCs w:val="24"/>
        </w:rPr>
        <w:t xml:space="preserve">, sukladno članku 9. stavku 1. </w:t>
      </w:r>
      <w:r w:rsidR="001C4419" w:rsidRPr="00D1280F">
        <w:rPr>
          <w:bCs/>
          <w:szCs w:val="24"/>
        </w:rPr>
        <w:t>Međunarodne konvencije o ukidanju svih oblika rasne diskriminacije</w:t>
      </w:r>
      <w:r w:rsidR="001C4419" w:rsidRPr="00D1280F">
        <w:rPr>
          <w:szCs w:val="24"/>
        </w:rPr>
        <w:t xml:space="preserve"> </w:t>
      </w:r>
      <w:r w:rsidR="001C4419" w:rsidRPr="00D1280F">
        <w:rPr>
          <w:color w:val="120707"/>
          <w:szCs w:val="24"/>
        </w:rPr>
        <w:t>o provedbi preporuka</w:t>
      </w:r>
      <w:r w:rsidR="009304CD" w:rsidRPr="00D1280F">
        <w:rPr>
          <w:color w:val="120707"/>
          <w:szCs w:val="24"/>
        </w:rPr>
        <w:t xml:space="preserve"> te sudjelovao u pripremi za </w:t>
      </w:r>
      <w:r w:rsidR="009304CD" w:rsidRPr="00D1280F">
        <w:rPr>
          <w:rFonts w:cs="Times New Roman"/>
          <w:szCs w:val="24"/>
        </w:rPr>
        <w:t>izradu pregleda</w:t>
      </w:r>
      <w:r w:rsidR="002013C1" w:rsidRPr="00D1280F">
        <w:rPr>
          <w:rFonts w:cs="Times New Roman"/>
          <w:szCs w:val="24"/>
        </w:rPr>
        <w:t xml:space="preserve"> prema</w:t>
      </w:r>
      <w:r w:rsidR="009304CD" w:rsidRPr="00D1280F">
        <w:rPr>
          <w:rFonts w:cs="Times New Roman"/>
          <w:szCs w:val="24"/>
        </w:rPr>
        <w:t xml:space="preserve"> </w:t>
      </w:r>
      <w:r w:rsidR="009304CD" w:rsidRPr="00D1280F">
        <w:rPr>
          <w:rFonts w:cs="Times New Roman"/>
          <w:bCs/>
          <w:szCs w:val="24"/>
        </w:rPr>
        <w:t>Univerzalnom periodičkom pregledu Vijeća za ljudska prava (UPR)</w:t>
      </w:r>
      <w:r w:rsidR="002013C1" w:rsidRPr="00D1280F">
        <w:rPr>
          <w:rFonts w:cs="Times New Roman"/>
          <w:b/>
          <w:szCs w:val="24"/>
        </w:rPr>
        <w:t xml:space="preserve"> </w:t>
      </w:r>
      <w:r w:rsidR="009304CD" w:rsidRPr="00D1280F">
        <w:rPr>
          <w:rFonts w:cs="Times New Roman"/>
          <w:szCs w:val="24"/>
        </w:rPr>
        <w:t>u okviru četvrtog ciklusa</w:t>
      </w:r>
      <w:r w:rsidR="002013C1" w:rsidRPr="00D1280F">
        <w:rPr>
          <w:rFonts w:cs="Times New Roman"/>
          <w:szCs w:val="24"/>
        </w:rPr>
        <w:t xml:space="preserve"> </w:t>
      </w:r>
      <w:r w:rsidR="002013C1" w:rsidRPr="00D1280F">
        <w:rPr>
          <w:rFonts w:cs="Times New Roman"/>
        </w:rPr>
        <w:t>(vidjeti 1.1.7.)</w:t>
      </w:r>
      <w:r w:rsidR="002013C1" w:rsidRPr="003027F5">
        <w:rPr>
          <w:rFonts w:cs="Times New Roman"/>
          <w:szCs w:val="24"/>
        </w:rPr>
        <w:t>.</w:t>
      </w:r>
    </w:p>
    <w:p w14:paraId="7815213A" w14:textId="77777777" w:rsidR="002013C1" w:rsidRPr="00FC64BF" w:rsidRDefault="002013C1" w:rsidP="002013C1">
      <w:pPr>
        <w:spacing w:after="0" w:line="276" w:lineRule="auto"/>
        <w:jc w:val="both"/>
        <w:rPr>
          <w:rFonts w:cs="Times New Roman"/>
        </w:rPr>
      </w:pPr>
    </w:p>
    <w:p w14:paraId="242B4C31" w14:textId="068417AC" w:rsidR="001D7745" w:rsidRPr="00A86FA4" w:rsidRDefault="001D7745" w:rsidP="001D7745">
      <w:pPr>
        <w:spacing w:after="0" w:line="276" w:lineRule="auto"/>
        <w:jc w:val="both"/>
        <w:rPr>
          <w:rFonts w:cs="Times New Roman"/>
        </w:rPr>
      </w:pPr>
      <w:r w:rsidRPr="00A86FA4">
        <w:rPr>
          <w:rFonts w:cs="Times New Roman"/>
        </w:rPr>
        <w:t>Ministarstvo vanjskih i europskih poslova je kao glavni koordinator za proces Univerzalnog periodičkog pregleda (</w:t>
      </w:r>
      <w:r w:rsidR="00DB0924">
        <w:rPr>
          <w:rFonts w:cs="Times New Roman"/>
        </w:rPr>
        <w:t xml:space="preserve">u daljnjem tekstu: </w:t>
      </w:r>
      <w:r w:rsidRPr="00A86FA4">
        <w:rPr>
          <w:rFonts w:cs="Times New Roman"/>
        </w:rPr>
        <w:t>UPR) u veljači 2024.</w:t>
      </w:r>
      <w:r w:rsidRPr="005F1DBF">
        <w:rPr>
          <w:rFonts w:cs="Times New Roman"/>
          <w:color w:val="5B9BD5" w:themeColor="accent1"/>
        </w:rPr>
        <w:t xml:space="preserve"> </w:t>
      </w:r>
      <w:r w:rsidRPr="00A86FA4">
        <w:rPr>
          <w:rFonts w:cs="Times New Roman"/>
        </w:rPr>
        <w:t xml:space="preserve">uputilo Vijeću za ljudska prava UN-a dobrovoljno </w:t>
      </w:r>
      <w:r w:rsidRPr="00A86FA4">
        <w:rPr>
          <w:rFonts w:cs="Times New Roman"/>
          <w:iCs/>
        </w:rPr>
        <w:t>Među-izvješće prema Univerzalnom periodičkom pregledu - MTR</w:t>
      </w:r>
      <w:r w:rsidRPr="00A86FA4">
        <w:rPr>
          <w:rFonts w:cs="Times New Roman"/>
        </w:rPr>
        <w:t xml:space="preserve"> (koje uključuje i odgovore na preporuke vezano za promicanje i zaštitu romske nacionalne manjine), a</w:t>
      </w:r>
      <w:r w:rsidR="002F7831">
        <w:rPr>
          <w:rFonts w:cs="Times New Roman"/>
        </w:rPr>
        <w:t xml:space="preserve"> </w:t>
      </w:r>
      <w:r w:rsidRPr="00A86FA4">
        <w:rPr>
          <w:rFonts w:cs="Times New Roman"/>
        </w:rPr>
        <w:t xml:space="preserve">koje sadrži doprinose svih resornih </w:t>
      </w:r>
      <w:r w:rsidR="00026107">
        <w:rPr>
          <w:rFonts w:cs="Times New Roman"/>
        </w:rPr>
        <w:t>TDU</w:t>
      </w:r>
      <w:r w:rsidRPr="00A86FA4">
        <w:rPr>
          <w:rFonts w:cs="Times New Roman"/>
        </w:rPr>
        <w:t xml:space="preserve">. Tekst cjelovitog izvješća dostupan je na mrežnim stranicama Ministarstva vanjskih i europskih poslova. </w:t>
      </w:r>
    </w:p>
    <w:p w14:paraId="121A5888" w14:textId="21D07FDD" w:rsidR="001D7745" w:rsidRPr="00A86FA4" w:rsidRDefault="001D7745" w:rsidP="001D7745">
      <w:pPr>
        <w:spacing w:after="0" w:line="276" w:lineRule="auto"/>
        <w:jc w:val="both"/>
        <w:rPr>
          <w:rFonts w:cs="Times New Roman"/>
        </w:rPr>
      </w:pPr>
      <w:r w:rsidRPr="00A86FA4">
        <w:rPr>
          <w:rFonts w:cs="Times New Roman"/>
        </w:rPr>
        <w:t xml:space="preserve">Krajem 2024. </w:t>
      </w:r>
      <w:r w:rsidR="00DB0924">
        <w:rPr>
          <w:rFonts w:cs="Times New Roman"/>
        </w:rPr>
        <w:t xml:space="preserve">godine </w:t>
      </w:r>
      <w:r w:rsidRPr="00A86FA4">
        <w:rPr>
          <w:rFonts w:cs="Times New Roman"/>
        </w:rPr>
        <w:t xml:space="preserve">započela je koordinacija, odnosno priprema izrade teksta i predstavljanja nacionalnog UPR izvješća u okviru IV. ciklusa UPR-a. </w:t>
      </w:r>
    </w:p>
    <w:p w14:paraId="3C2F550C" w14:textId="77777777" w:rsidR="00A42BAD" w:rsidRPr="00FC64BF" w:rsidRDefault="00A42BAD" w:rsidP="00D36147">
      <w:pPr>
        <w:spacing w:after="0" w:line="276" w:lineRule="auto"/>
        <w:jc w:val="both"/>
        <w:rPr>
          <w:rFonts w:cs="Times New Roman"/>
          <w:szCs w:val="24"/>
        </w:rPr>
      </w:pPr>
    </w:p>
    <w:p w14:paraId="659F1878" w14:textId="605DCE8F" w:rsidR="00723E76" w:rsidRPr="00FC64BF" w:rsidRDefault="00723E76" w:rsidP="004A3B23">
      <w:pPr>
        <w:spacing w:after="0" w:line="276" w:lineRule="auto"/>
        <w:jc w:val="both"/>
        <w:rPr>
          <w:rFonts w:cs="Times New Roman"/>
          <w:bCs/>
          <w:szCs w:val="24"/>
        </w:rPr>
      </w:pPr>
      <w:bookmarkStart w:id="7" w:name="_Hlk166755615"/>
      <w:bookmarkEnd w:id="6"/>
      <w:r w:rsidRPr="00FC64BF">
        <w:rPr>
          <w:rFonts w:cs="Times New Roman"/>
          <w:b/>
          <w:bCs/>
          <w:szCs w:val="24"/>
        </w:rPr>
        <w:t xml:space="preserve">Za provedbu aktivnosti u horizontalnom cilju borba protiv antiromskog rasizma i diskriminacije u </w:t>
      </w:r>
      <w:r w:rsidR="00CE622A" w:rsidRPr="00FC64BF">
        <w:rPr>
          <w:rFonts w:cs="Times New Roman"/>
          <w:b/>
          <w:bCs/>
          <w:szCs w:val="24"/>
        </w:rPr>
        <w:t>2024.</w:t>
      </w:r>
      <w:r w:rsidRPr="00FC64BF">
        <w:rPr>
          <w:rFonts w:cs="Times New Roman"/>
          <w:b/>
          <w:bCs/>
          <w:szCs w:val="24"/>
        </w:rPr>
        <w:t xml:space="preserve"> </w:t>
      </w:r>
      <w:r w:rsidR="00DB0924">
        <w:rPr>
          <w:rFonts w:cs="Times New Roman"/>
          <w:b/>
          <w:bCs/>
          <w:szCs w:val="24"/>
        </w:rPr>
        <w:t xml:space="preserve">godini </w:t>
      </w:r>
      <w:r w:rsidRPr="00FC64BF">
        <w:rPr>
          <w:rFonts w:cs="Times New Roman"/>
          <w:b/>
          <w:bCs/>
          <w:szCs w:val="24"/>
        </w:rPr>
        <w:t xml:space="preserve">nadležna tijela su utrošila ukupno </w:t>
      </w:r>
      <w:r w:rsidR="0022301C" w:rsidRPr="00FC64BF">
        <w:rPr>
          <w:rFonts w:cs="Times New Roman"/>
          <w:b/>
          <w:bCs/>
          <w:szCs w:val="24"/>
        </w:rPr>
        <w:t>6</w:t>
      </w:r>
      <w:r w:rsidR="004A3B23" w:rsidRPr="00FC64BF">
        <w:rPr>
          <w:rFonts w:cs="Times New Roman"/>
          <w:b/>
          <w:bCs/>
          <w:szCs w:val="24"/>
        </w:rPr>
        <w:t>.</w:t>
      </w:r>
      <w:r w:rsidR="0022301C" w:rsidRPr="00FC64BF">
        <w:rPr>
          <w:rFonts w:cs="Times New Roman"/>
          <w:b/>
          <w:bCs/>
          <w:szCs w:val="24"/>
        </w:rPr>
        <w:t>4</w:t>
      </w:r>
      <w:r w:rsidR="004A3B23" w:rsidRPr="00FC64BF">
        <w:rPr>
          <w:rFonts w:cs="Times New Roman"/>
          <w:b/>
          <w:bCs/>
          <w:szCs w:val="24"/>
        </w:rPr>
        <w:t>80,</w:t>
      </w:r>
      <w:r w:rsidR="0022301C" w:rsidRPr="00FC64BF">
        <w:rPr>
          <w:rFonts w:cs="Times New Roman"/>
          <w:b/>
          <w:bCs/>
          <w:szCs w:val="24"/>
        </w:rPr>
        <w:t>10</w:t>
      </w:r>
      <w:r w:rsidRPr="00FC64BF">
        <w:rPr>
          <w:rFonts w:cs="Times New Roman"/>
          <w:b/>
          <w:bCs/>
          <w:szCs w:val="24"/>
        </w:rPr>
        <w:t xml:space="preserve"> EUR</w:t>
      </w:r>
      <w:r w:rsidRPr="00FC64BF">
        <w:rPr>
          <w:rFonts w:cs="Times New Roman"/>
          <w:bCs/>
          <w:szCs w:val="24"/>
        </w:rPr>
        <w:t xml:space="preserve">. </w:t>
      </w:r>
    </w:p>
    <w:p w14:paraId="59BEBD5F" w14:textId="77777777" w:rsidR="00B160C6" w:rsidRPr="00FC64BF" w:rsidRDefault="00B160C6" w:rsidP="00AB12E9">
      <w:pPr>
        <w:spacing w:after="0" w:line="276" w:lineRule="auto"/>
        <w:jc w:val="both"/>
        <w:rPr>
          <w:rFonts w:cs="Times New Roman"/>
          <w:bCs/>
          <w:szCs w:val="24"/>
        </w:rPr>
      </w:pPr>
      <w:bookmarkStart w:id="8" w:name="_Hlk166756312"/>
      <w:bookmarkEnd w:id="7"/>
    </w:p>
    <w:p w14:paraId="0C0A95B0" w14:textId="77D6E964" w:rsidR="0022301C" w:rsidRDefault="00723E76" w:rsidP="00D36147">
      <w:pPr>
        <w:spacing w:after="0" w:line="276" w:lineRule="auto"/>
        <w:jc w:val="both"/>
        <w:rPr>
          <w:rFonts w:cs="Times New Roman"/>
        </w:rPr>
      </w:pPr>
      <w:r w:rsidRPr="00FC64BF">
        <w:rPr>
          <w:rFonts w:cs="Times New Roman"/>
          <w:bCs/>
          <w:szCs w:val="24"/>
        </w:rPr>
        <w:t xml:space="preserve">U okviru horizontalnog cilja </w:t>
      </w:r>
      <w:r w:rsidRPr="00FC64BF">
        <w:rPr>
          <w:rFonts w:cs="Times New Roman"/>
          <w:b/>
          <w:bCs/>
          <w:i/>
          <w:szCs w:val="24"/>
        </w:rPr>
        <w:t>smanjivanje siromaštva i socijalne isključenosti Roma</w:t>
      </w:r>
      <w:r w:rsidR="00FD424F" w:rsidRPr="00FC64BF">
        <w:rPr>
          <w:rFonts w:cs="Times New Roman"/>
          <w:b/>
          <w:bCs/>
          <w:i/>
          <w:szCs w:val="24"/>
        </w:rPr>
        <w:t>,</w:t>
      </w:r>
      <w:r w:rsidRPr="00FC64BF">
        <w:rPr>
          <w:rFonts w:cs="Times New Roman"/>
          <w:b/>
          <w:bCs/>
          <w:i/>
          <w:szCs w:val="24"/>
        </w:rPr>
        <w:t xml:space="preserve"> kako bi se smanjio društveno ekonomski jaz između Roma i opće populacije</w:t>
      </w:r>
      <w:r w:rsidR="00FD424F" w:rsidRPr="00FC64BF">
        <w:rPr>
          <w:rFonts w:cs="Times New Roman"/>
          <w:bCs/>
          <w:szCs w:val="24"/>
        </w:rPr>
        <w:t>,</w:t>
      </w:r>
      <w:r w:rsidRPr="00FC64BF">
        <w:rPr>
          <w:rFonts w:cs="Times New Roman"/>
          <w:bCs/>
          <w:szCs w:val="24"/>
        </w:rPr>
        <w:t xml:space="preserve"> Ured za udruge je od davatelja financijskih sredstava iz javnih izvora redovito prikupljao i objavljivao informacije o raspisanim natječajima relevantnim za rad romskih udruga i udruga za Rome na nacionalnoj i lokalnim razinama. U </w:t>
      </w:r>
      <w:r w:rsidR="00CE622A" w:rsidRPr="00FC64BF">
        <w:rPr>
          <w:rFonts w:cs="Times New Roman"/>
          <w:bCs/>
          <w:szCs w:val="24"/>
        </w:rPr>
        <w:t>2024.</w:t>
      </w:r>
      <w:r w:rsidRPr="00FC64BF">
        <w:rPr>
          <w:rFonts w:cs="Times New Roman"/>
          <w:bCs/>
          <w:szCs w:val="24"/>
        </w:rPr>
        <w:t xml:space="preserve"> </w:t>
      </w:r>
      <w:r w:rsidR="00DB0924">
        <w:rPr>
          <w:rFonts w:cs="Times New Roman"/>
          <w:bCs/>
          <w:szCs w:val="24"/>
        </w:rPr>
        <w:t xml:space="preserve">godini </w:t>
      </w:r>
      <w:r w:rsidRPr="00FC64BF">
        <w:rPr>
          <w:rFonts w:cs="Times New Roman"/>
          <w:bCs/>
          <w:szCs w:val="24"/>
        </w:rPr>
        <w:t xml:space="preserve">je objavljeno </w:t>
      </w:r>
      <w:r w:rsidR="00C728CD" w:rsidRPr="00FC64BF">
        <w:rPr>
          <w:rFonts w:cs="Times New Roman"/>
          <w:bCs/>
          <w:szCs w:val="24"/>
        </w:rPr>
        <w:t xml:space="preserve">8 relevantnih </w:t>
      </w:r>
      <w:r w:rsidRPr="00FC64BF">
        <w:rPr>
          <w:rFonts w:cs="Times New Roman"/>
          <w:bCs/>
          <w:szCs w:val="24"/>
        </w:rPr>
        <w:t xml:space="preserve">natječaja na mrežnoj stranici Ureda za udruge. </w:t>
      </w:r>
      <w:r w:rsidRPr="00FC64BF">
        <w:rPr>
          <w:rFonts w:cs="Times New Roman"/>
        </w:rPr>
        <w:t>P</w:t>
      </w:r>
      <w:r w:rsidR="00493ED9" w:rsidRPr="00FC64BF">
        <w:rPr>
          <w:rFonts w:cs="Times New Roman"/>
        </w:rPr>
        <w:t>utem Javnog poziva za podnošenje prijava za sufinanciranje projekata organizacija civilnoga društva ugovorenih u okviru programa Europske unije i inozemnih fondova</w:t>
      </w:r>
      <w:r w:rsidR="00982427">
        <w:rPr>
          <w:rFonts w:cs="Times New Roman"/>
        </w:rPr>
        <w:t>,</w:t>
      </w:r>
      <w:r w:rsidR="00493ED9" w:rsidRPr="00FC64BF">
        <w:rPr>
          <w:rFonts w:cs="Times New Roman"/>
        </w:rPr>
        <w:t xml:space="preserve"> Ured za udruge</w:t>
      </w:r>
      <w:r w:rsidRPr="00FC64BF">
        <w:rPr>
          <w:rFonts w:cs="Times New Roman"/>
        </w:rPr>
        <w:t xml:space="preserve"> u </w:t>
      </w:r>
      <w:r w:rsidR="00CE622A" w:rsidRPr="00FC64BF">
        <w:rPr>
          <w:rFonts w:cs="Times New Roman"/>
        </w:rPr>
        <w:t>2024.</w:t>
      </w:r>
      <w:r w:rsidR="00391DA5">
        <w:rPr>
          <w:rFonts w:cs="Times New Roman"/>
        </w:rPr>
        <w:t xml:space="preserve"> </w:t>
      </w:r>
      <w:r w:rsidR="00DB0924">
        <w:rPr>
          <w:rFonts w:cs="Times New Roman"/>
          <w:bCs/>
          <w:szCs w:val="24"/>
        </w:rPr>
        <w:t xml:space="preserve">godini </w:t>
      </w:r>
      <w:r w:rsidR="0022301C" w:rsidRPr="0022301C">
        <w:rPr>
          <w:rFonts w:cs="Times New Roman"/>
        </w:rPr>
        <w:t>sufinancira</w:t>
      </w:r>
      <w:r w:rsidR="00982427">
        <w:rPr>
          <w:rFonts w:cs="Times New Roman"/>
        </w:rPr>
        <w:t>o</w:t>
      </w:r>
      <w:r w:rsidR="0022301C" w:rsidRPr="0022301C">
        <w:rPr>
          <w:rFonts w:cs="Times New Roman"/>
        </w:rPr>
        <w:t xml:space="preserve"> je jedan projekt i to Saveza Roma u Republici Hrvatskoj </w:t>
      </w:r>
      <w:r w:rsidR="00DB0924">
        <w:rPr>
          <w:rFonts w:cs="Times New Roman"/>
        </w:rPr>
        <w:t>„</w:t>
      </w:r>
      <w:r w:rsidR="0022301C" w:rsidRPr="0022301C">
        <w:rPr>
          <w:rFonts w:cs="Times New Roman"/>
        </w:rPr>
        <w:t>Kali Sara</w:t>
      </w:r>
      <w:r w:rsidR="00DB0924">
        <w:rPr>
          <w:rFonts w:cs="Times New Roman"/>
        </w:rPr>
        <w:t>“</w:t>
      </w:r>
      <w:r w:rsidR="0022301C" w:rsidRPr="0022301C">
        <w:rPr>
          <w:rFonts w:cs="Times New Roman"/>
        </w:rPr>
        <w:t xml:space="preserve"> s tem</w:t>
      </w:r>
      <w:r w:rsidR="00B75523">
        <w:rPr>
          <w:rFonts w:cs="Times New Roman"/>
        </w:rPr>
        <w:t>ama</w:t>
      </w:r>
      <w:r w:rsidR="0022301C" w:rsidRPr="0022301C">
        <w:rPr>
          <w:rFonts w:cs="Times New Roman"/>
        </w:rPr>
        <w:t xml:space="preserve"> </w:t>
      </w:r>
      <w:r w:rsidR="00B75523">
        <w:rPr>
          <w:rFonts w:cs="Times New Roman"/>
        </w:rPr>
        <w:t>r</w:t>
      </w:r>
      <w:r w:rsidR="0022301C" w:rsidRPr="0022301C">
        <w:rPr>
          <w:rFonts w:cs="Times New Roman"/>
        </w:rPr>
        <w:t>adionice o romskoj kulturi, jeziku i povijesti te pripremanje i izvođenje kazališnog ulomka o stradanju Roma u Drugom svjetskom ratu u tri države: Španjolskoj, Italiji i Hrvatskoj s posebnim naglaskom na jezični genocid koji je proizašao iz povijesnih događanja.</w:t>
      </w:r>
    </w:p>
    <w:p w14:paraId="60778B79" w14:textId="77777777" w:rsidR="0022301C" w:rsidRDefault="0022301C" w:rsidP="00D36147">
      <w:pPr>
        <w:spacing w:after="0" w:line="276" w:lineRule="auto"/>
        <w:jc w:val="both"/>
        <w:rPr>
          <w:rFonts w:cs="Times New Roman"/>
        </w:rPr>
      </w:pPr>
    </w:p>
    <w:p w14:paraId="43727EBF" w14:textId="2D31F86A" w:rsidR="0022301C" w:rsidRPr="0022301C" w:rsidRDefault="0022301C" w:rsidP="00FC64BF">
      <w:pPr>
        <w:spacing w:after="0" w:line="276" w:lineRule="auto"/>
        <w:jc w:val="both"/>
        <w:rPr>
          <w:rFonts w:cs="Times New Roman"/>
        </w:rPr>
      </w:pPr>
      <w:r w:rsidRPr="0022301C">
        <w:rPr>
          <w:rFonts w:cs="Times New Roman"/>
        </w:rPr>
        <w:t xml:space="preserve">U 2024. </w:t>
      </w:r>
      <w:r w:rsidR="00DB0924">
        <w:rPr>
          <w:rFonts w:cs="Times New Roman"/>
        </w:rPr>
        <w:t xml:space="preserve">godini </w:t>
      </w:r>
      <w:r w:rsidRPr="0022301C">
        <w:rPr>
          <w:rFonts w:cs="Times New Roman"/>
        </w:rPr>
        <w:t>je Centar za pružanje usluga u zajednici Međimurje</w:t>
      </w:r>
      <w:r w:rsidR="00B75523">
        <w:rPr>
          <w:rFonts w:cs="Times New Roman"/>
        </w:rPr>
        <w:t xml:space="preserve"> (u daljnjem tekstu: </w:t>
      </w:r>
      <w:r w:rsidR="00B75523" w:rsidRPr="0022301C">
        <w:rPr>
          <w:rFonts w:cs="Times New Roman"/>
        </w:rPr>
        <w:t>C</w:t>
      </w:r>
      <w:r w:rsidR="00B75523">
        <w:rPr>
          <w:rFonts w:cs="Times New Roman"/>
        </w:rPr>
        <w:t>PUZ</w:t>
      </w:r>
      <w:r w:rsidR="00B75523" w:rsidRPr="0022301C">
        <w:rPr>
          <w:rFonts w:cs="Times New Roman"/>
        </w:rPr>
        <w:t xml:space="preserve"> Međimurje</w:t>
      </w:r>
      <w:r w:rsidR="00B75523">
        <w:rPr>
          <w:rFonts w:cs="Times New Roman"/>
        </w:rPr>
        <w:t>)</w:t>
      </w:r>
      <w:r w:rsidRPr="0022301C">
        <w:rPr>
          <w:rFonts w:cs="Times New Roman"/>
        </w:rPr>
        <w:t>, novoosnovana državna ustanova socijalne skrbi za djecu, počeo s pružanjem socijalnih usluga za djecu bez odgovarajuće roditeljske skrbi, djecu s problemima u ponašanju i obiteljima u riziku. U prvoj godini svog djelovanja, C</w:t>
      </w:r>
      <w:r w:rsidR="00B75523">
        <w:rPr>
          <w:rFonts w:cs="Times New Roman"/>
        </w:rPr>
        <w:t>PUZ</w:t>
      </w:r>
      <w:r w:rsidRPr="0022301C">
        <w:rPr>
          <w:rFonts w:cs="Times New Roman"/>
        </w:rPr>
        <w:t xml:space="preserve"> Međimurje razvio je tri različite </w:t>
      </w:r>
      <w:r w:rsidRPr="0022301C">
        <w:rPr>
          <w:rFonts w:cs="Times New Roman"/>
        </w:rPr>
        <w:lastRenderedPageBreak/>
        <w:t>socijalne usluge koje dotad nisu postojale na području županije: uslugu boravka u romskim naseljima Parag, Piškorovec, Lončarevo (Podturen) i u Orehovici (u neposrednoj blizini romskog naselja) za djecu bez odgovarajuće roditeljske skrbi i djecu s problemima u ponašanju</w:t>
      </w:r>
      <w:r>
        <w:rPr>
          <w:rFonts w:cs="Times New Roman"/>
        </w:rPr>
        <w:t xml:space="preserve">; </w:t>
      </w:r>
      <w:r w:rsidRPr="0022301C">
        <w:rPr>
          <w:rFonts w:cs="Times New Roman"/>
        </w:rPr>
        <w:t xml:space="preserve">uslugu organiziranog stanovanja za djecu bez odgovarajuće roditeljske skrbi i uslugu psihosocijalne podrške za obitelji diljem Međimurske županije, a koja se pruža u njihovim domovima. </w:t>
      </w:r>
    </w:p>
    <w:p w14:paraId="2F611D10" w14:textId="09E108E7" w:rsidR="0022301C" w:rsidRPr="0022301C" w:rsidRDefault="0022301C" w:rsidP="0022301C">
      <w:pPr>
        <w:spacing w:after="0" w:line="276" w:lineRule="auto"/>
        <w:jc w:val="both"/>
        <w:rPr>
          <w:rFonts w:cs="Times New Roman"/>
        </w:rPr>
      </w:pPr>
      <w:r w:rsidRPr="0022301C">
        <w:rPr>
          <w:rFonts w:cs="Times New Roman"/>
        </w:rPr>
        <w:t>Najveći broj korisnika svih ovih usluga (više od 80</w:t>
      </w:r>
      <w:r w:rsidR="00DB0924">
        <w:rPr>
          <w:rFonts w:cs="Times New Roman"/>
        </w:rPr>
        <w:t xml:space="preserve"> </w:t>
      </w:r>
      <w:r w:rsidRPr="0022301C">
        <w:rPr>
          <w:rFonts w:cs="Times New Roman"/>
        </w:rPr>
        <w:t xml:space="preserve">%) su djeca i obitelji pripadnici romske nacionalne manjine. Tijekom 2024. </w:t>
      </w:r>
      <w:r w:rsidR="00DB0924">
        <w:rPr>
          <w:rFonts w:cs="Times New Roman"/>
        </w:rPr>
        <w:t xml:space="preserve">godine </w:t>
      </w:r>
      <w:r w:rsidRPr="0022301C">
        <w:rPr>
          <w:rFonts w:cs="Times New Roman"/>
        </w:rPr>
        <w:t xml:space="preserve">u uslugu boravka bilo je uključeno ukupno 55 djece (svi romske nacionalne manjine), u uslugu organiziranog stanovanja četvero djece (od čega je troje djece romske nacionalne manjine), a uslugu psihosocijalne podrške primilo je ukupno 20 obitelji koje imaju ukupno 93 člana, od toga 58 </w:t>
      </w:r>
      <w:r w:rsidR="005F1DBF">
        <w:rPr>
          <w:rFonts w:cs="Times New Roman"/>
        </w:rPr>
        <w:t xml:space="preserve">maloljetne </w:t>
      </w:r>
      <w:r w:rsidRPr="0022301C">
        <w:rPr>
          <w:rFonts w:cs="Times New Roman"/>
        </w:rPr>
        <w:t>djece. Od ukupnog broja obitelji koje su primile uslugu, 13 obitelji je romske nacionalne manjine sa ukupno 65 članova obitelji, od čega 41 dijete.</w:t>
      </w:r>
    </w:p>
    <w:p w14:paraId="3BA4BF96" w14:textId="6ED5F387" w:rsidR="0022301C" w:rsidRPr="0022301C" w:rsidRDefault="0022301C" w:rsidP="0022301C">
      <w:pPr>
        <w:spacing w:after="0" w:line="276" w:lineRule="auto"/>
        <w:jc w:val="both"/>
        <w:rPr>
          <w:rFonts w:cs="Times New Roman"/>
        </w:rPr>
      </w:pPr>
      <w:r w:rsidRPr="0022301C">
        <w:rPr>
          <w:rFonts w:cs="Times New Roman"/>
        </w:rPr>
        <w:t xml:space="preserve">CPUZ Međimurje aktivno surađuje i s drugim akterima sustava socijalne skrbi, a u cilju povećanja dostupnosti socijalnih usluga pa ustupa svoje prostore u romskim naseljima Obiteljskom </w:t>
      </w:r>
      <w:r w:rsidRPr="00A86FA4">
        <w:rPr>
          <w:rFonts w:cs="Times New Roman"/>
        </w:rPr>
        <w:t>centru – P</w:t>
      </w:r>
      <w:r w:rsidR="00A86FA4" w:rsidRPr="00A86FA4">
        <w:rPr>
          <w:rFonts w:cs="Times New Roman"/>
        </w:rPr>
        <w:t>odručnoj službi</w:t>
      </w:r>
      <w:r w:rsidRPr="00A86FA4">
        <w:rPr>
          <w:rFonts w:cs="Times New Roman"/>
        </w:rPr>
        <w:t xml:space="preserve"> Međimurskoj</w:t>
      </w:r>
      <w:r w:rsidRPr="0022301C">
        <w:rPr>
          <w:rFonts w:cs="Times New Roman"/>
        </w:rPr>
        <w:t xml:space="preserve">, </w:t>
      </w:r>
      <w:r w:rsidR="00982427">
        <w:rPr>
          <w:rFonts w:cs="Times New Roman"/>
        </w:rPr>
        <w:t xml:space="preserve">Centru za odgoj i </w:t>
      </w:r>
      <w:r w:rsidR="0044455A">
        <w:rPr>
          <w:rFonts w:cs="Times New Roman"/>
        </w:rPr>
        <w:t>o</w:t>
      </w:r>
      <w:r w:rsidR="00982427">
        <w:rPr>
          <w:rFonts w:cs="Times New Roman"/>
        </w:rPr>
        <w:t>brazovanje</w:t>
      </w:r>
      <w:r w:rsidR="00982427" w:rsidRPr="0022301C">
        <w:rPr>
          <w:rFonts w:cs="Times New Roman"/>
        </w:rPr>
        <w:t xml:space="preserve"> </w:t>
      </w:r>
      <w:r w:rsidR="00982427">
        <w:rPr>
          <w:rFonts w:cs="Times New Roman"/>
        </w:rPr>
        <w:t>„</w:t>
      </w:r>
      <w:r w:rsidRPr="0022301C">
        <w:rPr>
          <w:rFonts w:cs="Times New Roman"/>
        </w:rPr>
        <w:t>Vinko Bek</w:t>
      </w:r>
      <w:r w:rsidR="00982427">
        <w:rPr>
          <w:rFonts w:cs="Times New Roman"/>
        </w:rPr>
        <w:t>“</w:t>
      </w:r>
      <w:r w:rsidRPr="0022301C">
        <w:rPr>
          <w:rFonts w:cs="Times New Roman"/>
        </w:rPr>
        <w:t>, Gradskom društvu Crvenog križa Čakovec te Hrvatskom zavodu za socijalni rad</w:t>
      </w:r>
      <w:r w:rsidR="00982427">
        <w:rPr>
          <w:rFonts w:cs="Times New Roman"/>
        </w:rPr>
        <w:t>, Područni ured</w:t>
      </w:r>
      <w:r w:rsidRPr="0022301C">
        <w:rPr>
          <w:rFonts w:cs="Times New Roman"/>
        </w:rPr>
        <w:t xml:space="preserve"> Čakovec. Sve ovo doprinosi jačanju mreže socijalnih usluga i njihove dostupnosti krajnjim korisnicima.</w:t>
      </w:r>
    </w:p>
    <w:p w14:paraId="3A56AFFD" w14:textId="5C450788" w:rsidR="0022301C" w:rsidRPr="0022301C" w:rsidRDefault="0022301C" w:rsidP="0022301C">
      <w:pPr>
        <w:spacing w:after="0" w:line="276" w:lineRule="auto"/>
        <w:jc w:val="both"/>
        <w:rPr>
          <w:rFonts w:cs="Times New Roman"/>
        </w:rPr>
      </w:pPr>
      <w:r w:rsidRPr="0022301C">
        <w:rPr>
          <w:rFonts w:cs="Times New Roman"/>
        </w:rPr>
        <w:t xml:space="preserve">U 2024. </w:t>
      </w:r>
      <w:r w:rsidR="00DB0924">
        <w:rPr>
          <w:rFonts w:cs="Times New Roman"/>
        </w:rPr>
        <w:t xml:space="preserve">godini </w:t>
      </w:r>
      <w:r w:rsidRPr="0022301C">
        <w:rPr>
          <w:rFonts w:cs="Times New Roman"/>
        </w:rPr>
        <w:t>socijalnim uslugama, uslugama savjetodavnog rada i programskim aktivnostima Obiteljskog centra obuhvaćeno je ukupno 2 997 korisnika kojima je pruženo 2 599 usluga.</w:t>
      </w:r>
    </w:p>
    <w:p w14:paraId="2B26F6AB" w14:textId="33B8E1A7" w:rsidR="00493ED9" w:rsidRPr="00FC64BF" w:rsidRDefault="0022301C" w:rsidP="0022301C">
      <w:pPr>
        <w:spacing w:after="0" w:line="276" w:lineRule="auto"/>
        <w:jc w:val="both"/>
        <w:rPr>
          <w:rFonts w:cs="Times New Roman"/>
          <w:szCs w:val="24"/>
          <w:highlight w:val="yellow"/>
        </w:rPr>
      </w:pPr>
      <w:r w:rsidRPr="0022301C">
        <w:rPr>
          <w:rFonts w:cs="Times New Roman"/>
        </w:rPr>
        <w:t>U okviru Nacionalnog plana oporavka i otpornosti (</w:t>
      </w:r>
      <w:r w:rsidR="003A1EFA">
        <w:rPr>
          <w:rFonts w:cs="Times New Roman"/>
        </w:rPr>
        <w:t xml:space="preserve">u daljnjem tekstu: </w:t>
      </w:r>
      <w:r w:rsidRPr="0022301C">
        <w:rPr>
          <w:rFonts w:cs="Times New Roman"/>
        </w:rPr>
        <w:t xml:space="preserve">NPOO) provodi se mjera Razvoj usluge socijalnog mentorstva koju provode educirani socijalni mentori u </w:t>
      </w:r>
      <w:r w:rsidR="00982427">
        <w:rPr>
          <w:rFonts w:cs="Times New Roman"/>
        </w:rPr>
        <w:t>Hrvatskom zavodu za socijalni rad</w:t>
      </w:r>
      <w:r w:rsidRPr="0022301C">
        <w:rPr>
          <w:rFonts w:cs="Times New Roman"/>
        </w:rPr>
        <w:t>. Uslugom socijalnog mentorstva obuhvaćeno je ukupno 390 korisnika na području Međimurske županije, od toga 184 osobe romske nacionalnost</w:t>
      </w:r>
      <w:r w:rsidR="004A4EA4">
        <w:rPr>
          <w:rFonts w:cs="Times New Roman"/>
        </w:rPr>
        <w:t>.</w:t>
      </w:r>
    </w:p>
    <w:p w14:paraId="0AAEF14D" w14:textId="232E457D" w:rsidR="00275E64" w:rsidRPr="00FC64BF" w:rsidRDefault="00275E64" w:rsidP="00D36147">
      <w:pPr>
        <w:spacing w:after="0" w:line="276" w:lineRule="auto"/>
        <w:jc w:val="both"/>
        <w:rPr>
          <w:rFonts w:cs="Times New Roman"/>
          <w:iCs/>
          <w:szCs w:val="24"/>
        </w:rPr>
      </w:pPr>
    </w:p>
    <w:p w14:paraId="575DCC22" w14:textId="3CE906C7" w:rsidR="00723E76" w:rsidRPr="00FC64BF" w:rsidRDefault="00841CC7" w:rsidP="00D36147">
      <w:pPr>
        <w:spacing w:after="0" w:line="276" w:lineRule="auto"/>
        <w:jc w:val="both"/>
        <w:rPr>
          <w:rFonts w:cs="Times New Roman"/>
          <w:bCs/>
          <w:szCs w:val="24"/>
        </w:rPr>
      </w:pPr>
      <w:r>
        <w:rPr>
          <w:rFonts w:cs="Times New Roman"/>
          <w:iCs/>
          <w:szCs w:val="24"/>
        </w:rPr>
        <w:t>Ured</w:t>
      </w:r>
      <w:r w:rsidR="00C7292F">
        <w:rPr>
          <w:rFonts w:cs="Times New Roman"/>
          <w:iCs/>
          <w:szCs w:val="24"/>
        </w:rPr>
        <w:t xml:space="preserve"> </w:t>
      </w:r>
      <w:r w:rsidR="006B358F" w:rsidRPr="00FC64BF">
        <w:rPr>
          <w:rFonts w:cs="Times New Roman"/>
          <w:iCs/>
          <w:szCs w:val="24"/>
        </w:rPr>
        <w:t xml:space="preserve">je </w:t>
      </w:r>
      <w:r w:rsidR="00723E76" w:rsidRPr="00FC64BF">
        <w:rPr>
          <w:rFonts w:cs="Times New Roman"/>
          <w:bCs/>
          <w:szCs w:val="24"/>
        </w:rPr>
        <w:t xml:space="preserve">u okviru mjere </w:t>
      </w:r>
      <w:r w:rsidR="00723E76" w:rsidRPr="00FC64BF">
        <w:rPr>
          <w:rFonts w:cs="Times New Roman"/>
          <w:bCs/>
          <w:i/>
          <w:szCs w:val="24"/>
        </w:rPr>
        <w:t>Unapređenje dostupnosti kvalitetnih socijalnih usluga pripadnicima romske nacionalne manjine</w:t>
      </w:r>
      <w:r w:rsidR="00723E76" w:rsidRPr="00FC64BF">
        <w:rPr>
          <w:rFonts w:cs="Times New Roman"/>
          <w:bCs/>
          <w:szCs w:val="24"/>
        </w:rPr>
        <w:t xml:space="preserve"> provodio pripremne radnje za planiranje i provedbu Pilot projekta pružanja usluga u zajednici na 5 lokaliteta u romskim zajednicama. Pripremne aktivnosti su, između ostaloga, uključivale sastanke s Ministarstvom rada, mirovinskoga sustava, obitelji i socijalne politike te UNICEF–om kako bi se osigurala komplementarnost s aktivnostima planiranim u okviru reforme sustava socijalne skrbi te održivost aktivnosti razvijenih u okviru </w:t>
      </w:r>
      <w:r w:rsidR="003B0DEE" w:rsidRPr="00FC64BF">
        <w:rPr>
          <w:rFonts w:cs="Times New Roman"/>
          <w:bCs/>
          <w:szCs w:val="24"/>
        </w:rPr>
        <w:t xml:space="preserve">Pilot programa „Faza III. </w:t>
      </w:r>
      <w:r w:rsidR="00723E76" w:rsidRPr="00FC64BF">
        <w:rPr>
          <w:rFonts w:cs="Times New Roman"/>
          <w:bCs/>
          <w:szCs w:val="24"/>
        </w:rPr>
        <w:t>Testiranje jamstva za svako dijete</w:t>
      </w:r>
      <w:r w:rsidR="00F072F8" w:rsidRPr="00FC64BF">
        <w:rPr>
          <w:rFonts w:cs="Times New Roman"/>
          <w:bCs/>
          <w:szCs w:val="24"/>
        </w:rPr>
        <w:t>“</w:t>
      </w:r>
      <w:r w:rsidR="00723E76" w:rsidRPr="00FC64BF">
        <w:rPr>
          <w:rFonts w:cs="Times New Roman"/>
          <w:bCs/>
          <w:szCs w:val="24"/>
        </w:rPr>
        <w:t>, kao i pripremila adekvatna podloga u programskim dokumentima fondova Europske unije.</w:t>
      </w:r>
      <w:r w:rsidR="001142DC" w:rsidRPr="00FC64BF">
        <w:rPr>
          <w:rFonts w:cs="Times New Roman"/>
          <w:bCs/>
          <w:szCs w:val="24"/>
        </w:rPr>
        <w:t xml:space="preserve"> </w:t>
      </w:r>
      <w:r w:rsidR="00723E76" w:rsidRPr="00FC64BF">
        <w:rPr>
          <w:rFonts w:cs="Times New Roman"/>
          <w:bCs/>
          <w:szCs w:val="24"/>
        </w:rPr>
        <w:t xml:space="preserve">Uz to, provodile su se konzultativne aktivnosti i s drugim dionicima, predstavnicima civilnog društva i akademske zajednice, najave projekta na lokalnoj i </w:t>
      </w:r>
      <w:r w:rsidR="00907402">
        <w:rPr>
          <w:rFonts w:cs="Times New Roman"/>
          <w:bCs/>
          <w:szCs w:val="24"/>
        </w:rPr>
        <w:t xml:space="preserve">područnoj (regionalnoj) </w:t>
      </w:r>
      <w:r w:rsidR="00723E76" w:rsidRPr="00FC64BF">
        <w:rPr>
          <w:rFonts w:cs="Times New Roman"/>
          <w:bCs/>
          <w:szCs w:val="24"/>
        </w:rPr>
        <w:t xml:space="preserve">razini te provjere zainteresiranosti dionika za prijavu na predmetni poziv na lokalnoj i </w:t>
      </w:r>
      <w:r w:rsidR="00907402">
        <w:rPr>
          <w:rFonts w:cs="Times New Roman"/>
          <w:bCs/>
          <w:szCs w:val="24"/>
        </w:rPr>
        <w:t>područnoj (</w:t>
      </w:r>
      <w:r w:rsidR="00723E76" w:rsidRPr="00FC64BF">
        <w:rPr>
          <w:rFonts w:cs="Times New Roman"/>
          <w:bCs/>
          <w:szCs w:val="24"/>
        </w:rPr>
        <w:t>regionalnoj</w:t>
      </w:r>
      <w:r w:rsidR="00907402">
        <w:rPr>
          <w:rFonts w:cs="Times New Roman"/>
          <w:bCs/>
          <w:szCs w:val="24"/>
        </w:rPr>
        <w:t>)</w:t>
      </w:r>
      <w:r w:rsidR="00723E76" w:rsidRPr="00FC64BF">
        <w:rPr>
          <w:rFonts w:cs="Times New Roman"/>
          <w:bCs/>
          <w:szCs w:val="24"/>
        </w:rPr>
        <w:t xml:space="preserve"> razini.</w:t>
      </w:r>
    </w:p>
    <w:p w14:paraId="674DC36B" w14:textId="77777777" w:rsidR="00275E64" w:rsidRPr="00FC64BF" w:rsidRDefault="00275E64" w:rsidP="00D36147">
      <w:pPr>
        <w:spacing w:after="0" w:line="276" w:lineRule="auto"/>
        <w:jc w:val="both"/>
        <w:rPr>
          <w:rFonts w:cs="Times New Roman"/>
          <w:bCs/>
          <w:szCs w:val="24"/>
        </w:rPr>
      </w:pPr>
    </w:p>
    <w:p w14:paraId="0C0B865B" w14:textId="63FB3EC0" w:rsidR="00723E76" w:rsidRPr="00D1280F" w:rsidRDefault="00723E76" w:rsidP="00D36147">
      <w:pPr>
        <w:spacing w:after="0" w:line="276" w:lineRule="auto"/>
        <w:jc w:val="both"/>
        <w:rPr>
          <w:rFonts w:cs="Times New Roman"/>
          <w:b/>
          <w:bCs/>
          <w:szCs w:val="24"/>
        </w:rPr>
      </w:pPr>
      <w:r w:rsidRPr="00FC64BF">
        <w:rPr>
          <w:rFonts w:cs="Times New Roman"/>
          <w:b/>
          <w:bCs/>
          <w:szCs w:val="24"/>
        </w:rPr>
        <w:t xml:space="preserve">Za provedbu aktivnosti u horizontalnom cilju smanjivanje siromaštva i socijalne </w:t>
      </w:r>
      <w:r w:rsidRPr="003027F5">
        <w:rPr>
          <w:rFonts w:cs="Times New Roman"/>
          <w:b/>
          <w:bCs/>
          <w:szCs w:val="24"/>
        </w:rPr>
        <w:t xml:space="preserve">isključenosti Roma kako bi se smanjio društveno ekonomski jaz između Roma i opće populacije u </w:t>
      </w:r>
      <w:r w:rsidR="00CE622A" w:rsidRPr="003027F5">
        <w:rPr>
          <w:rFonts w:cs="Times New Roman"/>
          <w:b/>
          <w:bCs/>
          <w:szCs w:val="24"/>
        </w:rPr>
        <w:t>2024.</w:t>
      </w:r>
      <w:r w:rsidRPr="003027F5">
        <w:rPr>
          <w:rFonts w:cs="Times New Roman"/>
          <w:b/>
          <w:bCs/>
          <w:szCs w:val="24"/>
        </w:rPr>
        <w:t xml:space="preserve"> </w:t>
      </w:r>
      <w:r w:rsidR="003A1EFA">
        <w:rPr>
          <w:rFonts w:cs="Times New Roman"/>
          <w:b/>
          <w:bCs/>
          <w:szCs w:val="24"/>
        </w:rPr>
        <w:t xml:space="preserve">godini </w:t>
      </w:r>
      <w:r w:rsidRPr="003027F5">
        <w:rPr>
          <w:rFonts w:cs="Times New Roman"/>
          <w:b/>
          <w:bCs/>
          <w:szCs w:val="24"/>
        </w:rPr>
        <w:t xml:space="preserve">nadležna tijela su utrošila ukupno </w:t>
      </w:r>
      <w:r w:rsidR="004A4EA4" w:rsidRPr="00D1280F">
        <w:rPr>
          <w:rFonts w:cs="Times New Roman"/>
          <w:b/>
          <w:bCs/>
          <w:szCs w:val="24"/>
        </w:rPr>
        <w:t xml:space="preserve">1.389.478,08 </w:t>
      </w:r>
      <w:r w:rsidRPr="00D1280F">
        <w:rPr>
          <w:rFonts w:cs="Times New Roman"/>
          <w:b/>
          <w:bCs/>
          <w:szCs w:val="24"/>
        </w:rPr>
        <w:t>EUR</w:t>
      </w:r>
      <w:r w:rsidR="004A4EA4" w:rsidRPr="00D1280F">
        <w:rPr>
          <w:rFonts w:cs="Times New Roman"/>
          <w:b/>
          <w:bCs/>
          <w:szCs w:val="24"/>
        </w:rPr>
        <w:t xml:space="preserve">, od čega je </w:t>
      </w:r>
      <w:r w:rsidR="003203D0" w:rsidRPr="00D1280F">
        <w:rPr>
          <w:rFonts w:cs="Times New Roman"/>
          <w:b/>
          <w:bCs/>
          <w:szCs w:val="24"/>
        </w:rPr>
        <w:t>387</w:t>
      </w:r>
      <w:r w:rsidR="004A4EA4" w:rsidRPr="00D1280F">
        <w:rPr>
          <w:rFonts w:cs="Times New Roman"/>
          <w:b/>
          <w:bCs/>
          <w:szCs w:val="24"/>
        </w:rPr>
        <w:t>.</w:t>
      </w:r>
      <w:r w:rsidR="003203D0" w:rsidRPr="00D1280F">
        <w:rPr>
          <w:rFonts w:cs="Times New Roman"/>
          <w:b/>
          <w:bCs/>
          <w:szCs w:val="24"/>
        </w:rPr>
        <w:t>000</w:t>
      </w:r>
      <w:r w:rsidR="004A4EA4" w:rsidRPr="00D1280F">
        <w:rPr>
          <w:rFonts w:cs="Times New Roman"/>
          <w:b/>
          <w:bCs/>
          <w:szCs w:val="24"/>
        </w:rPr>
        <w:t>,0</w:t>
      </w:r>
      <w:r w:rsidR="003203D0" w:rsidRPr="00D1280F">
        <w:rPr>
          <w:rFonts w:cs="Times New Roman"/>
          <w:b/>
          <w:bCs/>
          <w:szCs w:val="24"/>
        </w:rPr>
        <w:t>0</w:t>
      </w:r>
      <w:r w:rsidR="004A4EA4" w:rsidRPr="00D1280F">
        <w:rPr>
          <w:rFonts w:cs="Times New Roman"/>
          <w:b/>
          <w:bCs/>
          <w:szCs w:val="24"/>
        </w:rPr>
        <w:t xml:space="preserve"> EUR financirano sredstvima </w:t>
      </w:r>
      <w:r w:rsidR="003A1EFA">
        <w:rPr>
          <w:rFonts w:cs="Times New Roman"/>
          <w:b/>
          <w:bCs/>
          <w:szCs w:val="24"/>
        </w:rPr>
        <w:t>NPOO-a</w:t>
      </w:r>
      <w:r w:rsidRPr="00D1280F">
        <w:rPr>
          <w:rFonts w:cs="Times New Roman"/>
          <w:b/>
          <w:bCs/>
          <w:szCs w:val="24"/>
        </w:rPr>
        <w:t>.</w:t>
      </w:r>
    </w:p>
    <w:bookmarkEnd w:id="8"/>
    <w:p w14:paraId="2D4EE013" w14:textId="77777777" w:rsidR="00275E64" w:rsidRPr="00D1280F" w:rsidRDefault="00275E64" w:rsidP="00D36147">
      <w:pPr>
        <w:spacing w:after="0" w:line="276" w:lineRule="auto"/>
        <w:jc w:val="both"/>
        <w:rPr>
          <w:rFonts w:cs="Times New Roman"/>
          <w:bCs/>
          <w:szCs w:val="24"/>
        </w:rPr>
      </w:pPr>
    </w:p>
    <w:p w14:paraId="72A34389" w14:textId="45F97073" w:rsidR="00723E76" w:rsidRPr="00FC64BF" w:rsidRDefault="00723E76" w:rsidP="00D36147">
      <w:pPr>
        <w:spacing w:after="0" w:line="276" w:lineRule="auto"/>
        <w:jc w:val="both"/>
        <w:rPr>
          <w:rFonts w:cs="Times New Roman"/>
          <w:bCs/>
          <w:szCs w:val="24"/>
        </w:rPr>
      </w:pPr>
      <w:bookmarkStart w:id="9" w:name="_Hlk166758366"/>
      <w:r w:rsidRPr="003027F5">
        <w:rPr>
          <w:rFonts w:cs="Times New Roman"/>
          <w:bCs/>
          <w:szCs w:val="24"/>
        </w:rPr>
        <w:lastRenderedPageBreak/>
        <w:t xml:space="preserve">Provedba </w:t>
      </w:r>
      <w:r w:rsidRPr="00FC64BF">
        <w:rPr>
          <w:rFonts w:cs="Times New Roman"/>
          <w:bCs/>
          <w:szCs w:val="24"/>
        </w:rPr>
        <w:t>mjera u okviru posebnog cilja</w:t>
      </w:r>
      <w:r w:rsidRPr="00FC64BF">
        <w:rPr>
          <w:rFonts w:cs="Times New Roman"/>
          <w:b/>
          <w:bCs/>
          <w:i/>
          <w:szCs w:val="24"/>
        </w:rPr>
        <w:t xml:space="preserve"> poticati participaciju Roma kroz osnaživanje, suradnju i povjerenje Roma u javne institucije</w:t>
      </w:r>
      <w:r w:rsidRPr="00FC64BF">
        <w:rPr>
          <w:rFonts w:cs="Times New Roman"/>
          <w:bCs/>
          <w:szCs w:val="24"/>
        </w:rPr>
        <w:t xml:space="preserve"> u </w:t>
      </w:r>
      <w:r w:rsidR="00CE622A" w:rsidRPr="00FC64BF">
        <w:rPr>
          <w:rFonts w:cs="Times New Roman"/>
          <w:bCs/>
          <w:szCs w:val="24"/>
        </w:rPr>
        <w:t>2024.</w:t>
      </w:r>
      <w:r w:rsidRPr="00FC64BF">
        <w:rPr>
          <w:rFonts w:cs="Times New Roman"/>
          <w:bCs/>
          <w:szCs w:val="24"/>
        </w:rPr>
        <w:t xml:space="preserve"> </w:t>
      </w:r>
      <w:r w:rsidR="003A1EFA">
        <w:rPr>
          <w:rFonts w:cs="Times New Roman"/>
          <w:bCs/>
          <w:szCs w:val="24"/>
        </w:rPr>
        <w:t xml:space="preserve">godini </w:t>
      </w:r>
      <w:r w:rsidRPr="00FC64BF">
        <w:rPr>
          <w:rFonts w:cs="Times New Roman"/>
          <w:bCs/>
          <w:szCs w:val="24"/>
        </w:rPr>
        <w:t>uključivala je aktivnosti Ureda za udruge, Ureda</w:t>
      </w:r>
      <w:r w:rsidR="00BD4696">
        <w:rPr>
          <w:rFonts w:cs="Times New Roman"/>
          <w:bCs/>
          <w:szCs w:val="24"/>
        </w:rPr>
        <w:t xml:space="preserve"> za ljudska prava i prava</w:t>
      </w:r>
      <w:r w:rsidR="008E5454">
        <w:rPr>
          <w:rFonts w:cs="Times New Roman"/>
          <w:bCs/>
          <w:szCs w:val="24"/>
        </w:rPr>
        <w:t xml:space="preserve"> </w:t>
      </w:r>
      <w:r w:rsidR="00BD4696">
        <w:rPr>
          <w:rFonts w:cs="Times New Roman"/>
          <w:bCs/>
          <w:szCs w:val="24"/>
        </w:rPr>
        <w:t>nacionalnih manjina</w:t>
      </w:r>
      <w:r w:rsidRPr="00FC64BF">
        <w:rPr>
          <w:rFonts w:cs="Times New Roman"/>
          <w:bCs/>
          <w:szCs w:val="24"/>
        </w:rPr>
        <w:t>, Ministarstva pravosuđa</w:t>
      </w:r>
      <w:r w:rsidR="00982427">
        <w:rPr>
          <w:rFonts w:cs="Times New Roman"/>
          <w:bCs/>
          <w:szCs w:val="24"/>
        </w:rPr>
        <w:t>,</w:t>
      </w:r>
      <w:r w:rsidR="00A86FA4">
        <w:rPr>
          <w:rFonts w:cs="Times New Roman"/>
          <w:bCs/>
          <w:szCs w:val="24"/>
        </w:rPr>
        <w:t xml:space="preserve"> </w:t>
      </w:r>
      <w:r w:rsidRPr="00FC64BF">
        <w:rPr>
          <w:rFonts w:cs="Times New Roman"/>
          <w:bCs/>
          <w:szCs w:val="24"/>
        </w:rPr>
        <w:t>uprave</w:t>
      </w:r>
      <w:r w:rsidR="00982427">
        <w:rPr>
          <w:rFonts w:cs="Times New Roman"/>
          <w:bCs/>
          <w:szCs w:val="24"/>
        </w:rPr>
        <w:t xml:space="preserve"> i digitalne transformacije</w:t>
      </w:r>
      <w:r w:rsidRPr="00FC64BF">
        <w:rPr>
          <w:rFonts w:cs="Times New Roman"/>
          <w:bCs/>
          <w:szCs w:val="24"/>
        </w:rPr>
        <w:t>, Ministarstva turizma i sporta te Savjeta za nacionalne manjine.</w:t>
      </w:r>
    </w:p>
    <w:p w14:paraId="634CB991" w14:textId="77777777" w:rsidR="00763BD5" w:rsidRPr="00FC64BF" w:rsidRDefault="00763BD5" w:rsidP="00D36147">
      <w:pPr>
        <w:spacing w:after="0" w:line="276" w:lineRule="auto"/>
        <w:jc w:val="both"/>
        <w:rPr>
          <w:rFonts w:cs="Times New Roman"/>
          <w:bCs/>
          <w:szCs w:val="24"/>
        </w:rPr>
      </w:pPr>
    </w:p>
    <w:p w14:paraId="7EA48AEF" w14:textId="70558A9F" w:rsidR="004A4EA4" w:rsidRDefault="00723E76" w:rsidP="00D36147">
      <w:pPr>
        <w:spacing w:after="0" w:line="276" w:lineRule="auto"/>
        <w:jc w:val="both"/>
        <w:rPr>
          <w:rFonts w:cs="Times New Roman"/>
          <w:bCs/>
          <w:szCs w:val="24"/>
        </w:rPr>
      </w:pPr>
      <w:r w:rsidRPr="00FC64BF">
        <w:rPr>
          <w:rFonts w:cs="Times New Roman"/>
          <w:bCs/>
          <w:szCs w:val="24"/>
        </w:rPr>
        <w:t xml:space="preserve">Osnaživanje horizontalne i vertikalne koordinacije te kapaciteta za praćenje provedbe Nacionalnog plana nastavljeno je radom Povjerenstva za praćenje provedbe Nacionalnog plana za uključivanje Roma za razdoblje od 2021. do 2027. godine (u daljnjem tekstu: Povjerenstvo) i Radne skupine Povjerenstva za praćenje provedbe Nacionalnog plana za uključivanje Roma za razdoblje od 2021. do 2027. godine (u daljnjem tekstu: Radna skupina Povjerenstva). </w:t>
      </w:r>
    </w:p>
    <w:p w14:paraId="605D6148" w14:textId="12B1745B" w:rsidR="00425A97" w:rsidRPr="00425A97" w:rsidRDefault="00425A97" w:rsidP="00425A97">
      <w:pPr>
        <w:spacing w:after="0" w:line="276" w:lineRule="auto"/>
        <w:jc w:val="both"/>
        <w:rPr>
          <w:rFonts w:cs="Times New Roman"/>
          <w:bCs/>
          <w:szCs w:val="24"/>
        </w:rPr>
      </w:pPr>
      <w:r w:rsidRPr="00425A97">
        <w:rPr>
          <w:rFonts w:cs="Times New Roman"/>
          <w:bCs/>
          <w:szCs w:val="24"/>
        </w:rPr>
        <w:t>Vlada Republike Hrvatske je na sjednici održanoj 23. lipnja 2021.</w:t>
      </w:r>
      <w:r w:rsidR="00B63BCD">
        <w:rPr>
          <w:rFonts w:cs="Times New Roman"/>
          <w:bCs/>
          <w:szCs w:val="24"/>
        </w:rPr>
        <w:t xml:space="preserve"> </w:t>
      </w:r>
      <w:r w:rsidRPr="00425A97">
        <w:rPr>
          <w:rFonts w:cs="Times New Roman"/>
          <w:bCs/>
          <w:szCs w:val="24"/>
        </w:rPr>
        <w:t xml:space="preserve">donijela </w:t>
      </w:r>
      <w:r w:rsidR="00982427">
        <w:rPr>
          <w:rFonts w:cs="Times New Roman"/>
          <w:bCs/>
          <w:szCs w:val="24"/>
        </w:rPr>
        <w:t>O</w:t>
      </w:r>
      <w:r w:rsidRPr="00425A97">
        <w:rPr>
          <w:rFonts w:cs="Times New Roman"/>
          <w:bCs/>
          <w:szCs w:val="24"/>
        </w:rPr>
        <w:t xml:space="preserve">dluku o osnivanju Povjerenstva, a nakon provedenih parlamentarnih izbora, na sjednici održanoj 1. kolovoza </w:t>
      </w:r>
      <w:r>
        <w:rPr>
          <w:rFonts w:cs="Times New Roman"/>
          <w:bCs/>
          <w:szCs w:val="24"/>
        </w:rPr>
        <w:t>2024.</w:t>
      </w:r>
      <w:r w:rsidR="00A86FA4">
        <w:rPr>
          <w:rFonts w:cs="Times New Roman"/>
          <w:bCs/>
          <w:szCs w:val="24"/>
        </w:rPr>
        <w:t>,</w:t>
      </w:r>
      <w:r w:rsidR="00A86FA4" w:rsidRPr="00425A97">
        <w:rPr>
          <w:rFonts w:cs="Times New Roman"/>
          <w:bCs/>
          <w:szCs w:val="24"/>
        </w:rPr>
        <w:t xml:space="preserve"> Vlada</w:t>
      </w:r>
      <w:r w:rsidRPr="00425A97">
        <w:rPr>
          <w:rFonts w:cs="Times New Roman"/>
          <w:bCs/>
          <w:szCs w:val="24"/>
        </w:rPr>
        <w:t xml:space="preserve"> Republike Hrvatske je donijela Odluku o izmjenama Odluke o osnivanju Povjerenstva te razrješenjima i imenovanjima predsjednice i predsjednika, dijela članova i zamjene članova Povjerenstva. Predsjednik Povjerenstva je dr.</w:t>
      </w:r>
      <w:r w:rsidR="003A1EFA">
        <w:rPr>
          <w:rFonts w:cs="Times New Roman"/>
          <w:bCs/>
          <w:szCs w:val="24"/>
        </w:rPr>
        <w:t xml:space="preserve"> </w:t>
      </w:r>
      <w:proofErr w:type="spellStart"/>
      <w:r w:rsidRPr="00425A97">
        <w:rPr>
          <w:rFonts w:cs="Times New Roman"/>
          <w:bCs/>
          <w:szCs w:val="24"/>
        </w:rPr>
        <w:t>sc</w:t>
      </w:r>
      <w:proofErr w:type="spellEnd"/>
      <w:r w:rsidRPr="00425A97">
        <w:rPr>
          <w:rFonts w:cs="Times New Roman"/>
          <w:bCs/>
          <w:szCs w:val="24"/>
        </w:rPr>
        <w:t>. Davor Božinović, potpredsjednik Vlade Republike Hrvatske i ministar unutarnjih poslova, a zamjenik predsjednika Povjerenstva je g. Veljko Kajtazi, zastupnik u Hrvatskome saboru. Temeljem navedenih odluka, članovi Povjerenstva su na 23. sjednici Povjerenstva jednoglasno usvojili Odluku o razrješenju i imenovanju članova Radne skupine Povjerenstva</w:t>
      </w:r>
      <w:r w:rsidR="00982427">
        <w:rPr>
          <w:rFonts w:cs="Times New Roman"/>
          <w:bCs/>
          <w:szCs w:val="24"/>
        </w:rPr>
        <w:t>.</w:t>
      </w:r>
    </w:p>
    <w:p w14:paraId="02584E6A" w14:textId="1AD1D5F1" w:rsidR="00573180" w:rsidRDefault="00425A97" w:rsidP="00425A97">
      <w:pPr>
        <w:spacing w:after="0" w:line="276" w:lineRule="auto"/>
        <w:jc w:val="both"/>
        <w:rPr>
          <w:rFonts w:cs="Times New Roman"/>
          <w:bCs/>
          <w:szCs w:val="24"/>
        </w:rPr>
      </w:pPr>
      <w:r w:rsidRPr="00425A97">
        <w:rPr>
          <w:rFonts w:cs="Times New Roman"/>
          <w:bCs/>
          <w:szCs w:val="24"/>
        </w:rPr>
        <w:t xml:space="preserve">Tijekom 2024. </w:t>
      </w:r>
      <w:r w:rsidR="003A1EFA">
        <w:rPr>
          <w:rFonts w:cs="Times New Roman"/>
          <w:bCs/>
          <w:szCs w:val="24"/>
        </w:rPr>
        <w:t xml:space="preserve">godine </w:t>
      </w:r>
      <w:r w:rsidRPr="00425A97">
        <w:rPr>
          <w:rFonts w:cs="Times New Roman"/>
          <w:bCs/>
          <w:szCs w:val="24"/>
        </w:rPr>
        <w:t xml:space="preserve">održane su dvije sjednice Povjerenstva </w:t>
      </w:r>
      <w:r w:rsidR="00573180">
        <w:rPr>
          <w:rFonts w:cs="Times New Roman"/>
          <w:bCs/>
          <w:szCs w:val="24"/>
        </w:rPr>
        <w:t>i pet sastanaka Radne skupine</w:t>
      </w:r>
      <w:r w:rsidR="00684C77">
        <w:rPr>
          <w:rFonts w:cs="Times New Roman"/>
          <w:bCs/>
          <w:szCs w:val="24"/>
        </w:rPr>
        <w:t xml:space="preserve"> Povjerenstva</w:t>
      </w:r>
      <w:r w:rsidR="00573180">
        <w:rPr>
          <w:rFonts w:cs="Times New Roman"/>
          <w:bCs/>
          <w:szCs w:val="24"/>
        </w:rPr>
        <w:t>.</w:t>
      </w:r>
      <w:r w:rsidR="00DA0839">
        <w:rPr>
          <w:rFonts w:cs="Times New Roman"/>
          <w:bCs/>
          <w:szCs w:val="24"/>
        </w:rPr>
        <w:t xml:space="preserve"> </w:t>
      </w:r>
      <w:r w:rsidR="00573180" w:rsidRPr="00573180">
        <w:rPr>
          <w:rFonts w:cs="Times New Roman"/>
          <w:bCs/>
          <w:szCs w:val="24"/>
        </w:rPr>
        <w:t>Između ostaloga, u 2024.</w:t>
      </w:r>
      <w:r w:rsidR="003A1EFA">
        <w:rPr>
          <w:rFonts w:cs="Times New Roman"/>
          <w:bCs/>
          <w:szCs w:val="24"/>
        </w:rPr>
        <w:t xml:space="preserve"> godini</w:t>
      </w:r>
      <w:r w:rsidR="00573180" w:rsidRPr="00573180">
        <w:rPr>
          <w:rFonts w:cs="Times New Roman"/>
          <w:bCs/>
          <w:szCs w:val="24"/>
        </w:rPr>
        <w:t xml:space="preserve"> Povjerenstvo je raspravljalo i o tijeku provedbe Godišnjeg programa unapređenja životnih uvjeta pripadnika romske nacionalne manjine za 2024. godinu, Nacrtu izvješća za 2023. godinu o provođenju Akcijskog plana za provedbu Nacionalnog plana za uključivanje Roma, za razdoblje od 2021. do 2027., od 2023. do 2025. te segregaciji pripadnika romske nacionalne manjine u obrazovanju. Članovi Povjerenstva su također jednoglasno usvojili Zaključak Povjerenstva vezan za Javni poziv za sanaciju ilegalnih odlagališta otpada Fonda za zaštitu okoliša i energetsku učinkovitost. </w:t>
      </w:r>
    </w:p>
    <w:p w14:paraId="1F343646" w14:textId="2707EA4F" w:rsidR="00E82A22" w:rsidRPr="00FC64BF" w:rsidRDefault="00E82A22" w:rsidP="00E82A22">
      <w:pPr>
        <w:spacing w:after="0" w:line="276" w:lineRule="auto"/>
        <w:jc w:val="both"/>
        <w:rPr>
          <w:rFonts w:cs="Times New Roman"/>
        </w:rPr>
      </w:pPr>
      <w:r w:rsidRPr="00FC64BF">
        <w:rPr>
          <w:rFonts w:cs="Times New Roman"/>
        </w:rPr>
        <w:t xml:space="preserve">Za su/financiranje pripreme i provedbe projekata neprofitnih organizacija, </w:t>
      </w:r>
      <w:r w:rsidR="00841CC7">
        <w:rPr>
          <w:rFonts w:cs="Times New Roman"/>
        </w:rPr>
        <w:t>Ured</w:t>
      </w:r>
      <w:r w:rsidR="00BD4696">
        <w:rPr>
          <w:rFonts w:cs="Times New Roman"/>
        </w:rPr>
        <w:t xml:space="preserve"> </w:t>
      </w:r>
      <w:r w:rsidRPr="00FC64BF">
        <w:rPr>
          <w:rFonts w:cs="Times New Roman"/>
        </w:rPr>
        <w:t>je u rujnu 2024.</w:t>
      </w:r>
      <w:r w:rsidR="00B63BCD">
        <w:rPr>
          <w:rFonts w:cs="Times New Roman"/>
        </w:rPr>
        <w:t xml:space="preserve"> </w:t>
      </w:r>
      <w:r w:rsidRPr="00FC64BF">
        <w:rPr>
          <w:rFonts w:cs="Times New Roman"/>
        </w:rPr>
        <w:t xml:space="preserve">u skladu s </w:t>
      </w:r>
      <w:r w:rsidR="00684C77" w:rsidRPr="00A86FA4">
        <w:rPr>
          <w:rFonts w:cs="Times New Roman"/>
        </w:rPr>
        <w:t>Kriterijima za utvrđivanje financijske pomoći za poboljšanje uvjeta i kvalitete života pripadnika romske nacionalne manjine u Republici Hrvatskoj</w:t>
      </w:r>
      <w:r w:rsidR="00E30482">
        <w:rPr>
          <w:rFonts w:cs="Times New Roman"/>
        </w:rPr>
        <w:t xml:space="preserve"> </w:t>
      </w:r>
      <w:r w:rsidR="00684C77" w:rsidRPr="00684C77">
        <w:rPr>
          <w:rFonts w:cs="Times New Roman"/>
        </w:rPr>
        <w:t>(u daljnjem tekstu: Kriteriji)</w:t>
      </w:r>
      <w:r w:rsidR="00E30482">
        <w:rPr>
          <w:rFonts w:cs="Times New Roman"/>
        </w:rPr>
        <w:t xml:space="preserve"> </w:t>
      </w:r>
      <w:r w:rsidRPr="00FC64BF">
        <w:rPr>
          <w:rFonts w:cs="Times New Roman"/>
        </w:rPr>
        <w:t>usvojenim 2023.</w:t>
      </w:r>
      <w:r w:rsidR="003A1EFA">
        <w:rPr>
          <w:rFonts w:cs="Times New Roman"/>
        </w:rPr>
        <w:t xml:space="preserve"> godini</w:t>
      </w:r>
      <w:r w:rsidRPr="00FC64BF">
        <w:rPr>
          <w:rFonts w:cs="Times New Roman"/>
        </w:rPr>
        <w:t>, a s ciljem jačanja javnosti i transparentnosti rada Povjerenstva, priredio i objavio Javni poziv za su/financiranje pripreme i provedbe projekata/pojedinačnih aktivnosti udruga povezanih s ostvarivanjem ciljeva Nacionalnog plana za uključivanje Roma, za razdoblje od 2021. do 2027. godine</w:t>
      </w:r>
      <w:r w:rsidR="00684C77">
        <w:rPr>
          <w:rFonts w:cs="Times New Roman"/>
        </w:rPr>
        <w:t xml:space="preserve"> (u daljnjem tekstu: Javni poziv)</w:t>
      </w:r>
      <w:r w:rsidRPr="00FC64BF">
        <w:rPr>
          <w:rFonts w:cs="Times New Roman"/>
        </w:rPr>
        <w:t>. Zaprimljeno je ukupno 15 prijava, od kojih osam prijava nije zadovoljilo administrativne uvjete. Nakon provedene administrativne i sadržajne provjere zaprimljenih projektnih prijedloga, Povjerenstvo je dalo suglasnost na Privremenu</w:t>
      </w:r>
      <w:r w:rsidR="00684C77">
        <w:rPr>
          <w:rFonts w:cs="Times New Roman"/>
        </w:rPr>
        <w:t xml:space="preserve"> listu</w:t>
      </w:r>
      <w:r w:rsidRPr="00FC64BF">
        <w:rPr>
          <w:rFonts w:cs="Times New Roman"/>
        </w:rPr>
        <w:t xml:space="preserve"> (šest projekata) i Pričuvnu listu projekata (jedan projekt) te je potpisano šest ugovora ukupne vrijednosti 271.841,44 EUR, od čega je u 2024.</w:t>
      </w:r>
      <w:r w:rsidR="00B63BCD">
        <w:rPr>
          <w:rFonts w:cs="Times New Roman"/>
        </w:rPr>
        <w:t xml:space="preserve"> </w:t>
      </w:r>
      <w:r w:rsidRPr="00FC64BF">
        <w:rPr>
          <w:rFonts w:cs="Times New Roman"/>
        </w:rPr>
        <w:t>isplaćeno 217.473,15 EUR.</w:t>
      </w:r>
    </w:p>
    <w:p w14:paraId="2BD7DF08" w14:textId="08E47E26" w:rsidR="004A4EA4" w:rsidRPr="00FC64BF" w:rsidRDefault="00B63BCD" w:rsidP="004B7021">
      <w:pPr>
        <w:spacing w:after="0" w:line="276" w:lineRule="auto"/>
        <w:jc w:val="both"/>
        <w:rPr>
          <w:rFonts w:cs="Times New Roman"/>
        </w:rPr>
      </w:pPr>
      <w:r w:rsidRPr="003A1EFA">
        <w:rPr>
          <w:rFonts w:cs="Times New Roman"/>
          <w:highlight w:val="red"/>
        </w:rPr>
        <w:t>I</w:t>
      </w:r>
      <w:r>
        <w:rPr>
          <w:rFonts w:cs="Times New Roman"/>
        </w:rPr>
        <w:t xml:space="preserve"> </w:t>
      </w:r>
    </w:p>
    <w:p w14:paraId="5D81953B" w14:textId="096E4B78" w:rsidR="004B7021" w:rsidRPr="00FC64BF" w:rsidRDefault="00FD191A" w:rsidP="007573F1">
      <w:pPr>
        <w:spacing w:line="276" w:lineRule="auto"/>
        <w:jc w:val="both"/>
        <w:rPr>
          <w:szCs w:val="24"/>
        </w:rPr>
      </w:pPr>
      <w:r w:rsidRPr="00FC64BF">
        <w:rPr>
          <w:szCs w:val="24"/>
        </w:rPr>
        <w:t xml:space="preserve">Ukupno je u 2024. </w:t>
      </w:r>
      <w:r w:rsidR="003A1EFA">
        <w:rPr>
          <w:szCs w:val="24"/>
        </w:rPr>
        <w:t xml:space="preserve">godini </w:t>
      </w:r>
      <w:r w:rsidRPr="00FC64BF">
        <w:rPr>
          <w:szCs w:val="24"/>
        </w:rPr>
        <w:t xml:space="preserve">utrošeno 1.525,84 </w:t>
      </w:r>
      <w:r w:rsidR="00684C77">
        <w:rPr>
          <w:szCs w:val="24"/>
        </w:rPr>
        <w:t>EUR</w:t>
      </w:r>
      <w:r w:rsidR="00684C77" w:rsidRPr="00FC64BF">
        <w:rPr>
          <w:szCs w:val="24"/>
        </w:rPr>
        <w:t xml:space="preserve"> </w:t>
      </w:r>
      <w:r w:rsidRPr="00FC64BF">
        <w:rPr>
          <w:szCs w:val="24"/>
        </w:rPr>
        <w:t>za rad Povjerenstva</w:t>
      </w:r>
      <w:r w:rsidR="00051256">
        <w:rPr>
          <w:szCs w:val="24"/>
        </w:rPr>
        <w:t>,</w:t>
      </w:r>
      <w:r w:rsidR="00DA0839">
        <w:rPr>
          <w:szCs w:val="24"/>
        </w:rPr>
        <w:t xml:space="preserve"> </w:t>
      </w:r>
      <w:r w:rsidRPr="00FC64BF">
        <w:rPr>
          <w:szCs w:val="24"/>
        </w:rPr>
        <w:t xml:space="preserve">a putem Povjerenstva 475.841,68 EUR. Od navedenog iznosa 204.000,24 EUR utrošeno je temeljem Suglasnosti na raspodjelu financijskih sredstava za romsku nacionalnu manjinu, a 271.841,44 EUR temeljem Suglasnosti na raspodjelu financijskih sredstava </w:t>
      </w:r>
      <w:r w:rsidR="00E30482">
        <w:rPr>
          <w:szCs w:val="24"/>
        </w:rPr>
        <w:t xml:space="preserve">za </w:t>
      </w:r>
      <w:r w:rsidR="00684C77">
        <w:rPr>
          <w:szCs w:val="24"/>
        </w:rPr>
        <w:t>Javni poziv</w:t>
      </w:r>
      <w:r w:rsidR="00E30482">
        <w:rPr>
          <w:szCs w:val="24"/>
        </w:rPr>
        <w:t xml:space="preserve"> za 2024. godinu</w:t>
      </w:r>
      <w:r w:rsidR="00684C77">
        <w:rPr>
          <w:szCs w:val="24"/>
        </w:rPr>
        <w:t>.</w:t>
      </w:r>
      <w:r>
        <w:rPr>
          <w:szCs w:val="24"/>
        </w:rPr>
        <w:t xml:space="preserve"> </w:t>
      </w:r>
    </w:p>
    <w:p w14:paraId="02ABE285" w14:textId="299A8F72" w:rsidR="00FC2976" w:rsidRPr="00FC64BF" w:rsidRDefault="00FC2976" w:rsidP="00D36147">
      <w:pPr>
        <w:spacing w:after="0" w:line="276" w:lineRule="auto"/>
        <w:jc w:val="both"/>
        <w:rPr>
          <w:szCs w:val="24"/>
        </w:rPr>
      </w:pPr>
      <w:r w:rsidRPr="00FC64BF">
        <w:rPr>
          <w:szCs w:val="24"/>
        </w:rPr>
        <w:lastRenderedPageBreak/>
        <w:t xml:space="preserve">Ministarstvo </w:t>
      </w:r>
      <w:r w:rsidR="00A86FA4" w:rsidRPr="00FC64BF">
        <w:rPr>
          <w:szCs w:val="24"/>
        </w:rPr>
        <w:t>pravosuđa</w:t>
      </w:r>
      <w:r w:rsidR="00A86FA4">
        <w:rPr>
          <w:szCs w:val="24"/>
        </w:rPr>
        <w:t>,</w:t>
      </w:r>
      <w:r w:rsidR="00A86FA4" w:rsidRPr="00FC64BF">
        <w:rPr>
          <w:szCs w:val="24"/>
        </w:rPr>
        <w:t xml:space="preserve"> uprave</w:t>
      </w:r>
      <w:r w:rsidR="00684C77">
        <w:rPr>
          <w:szCs w:val="24"/>
        </w:rPr>
        <w:t xml:space="preserve"> i digitalne transformacije</w:t>
      </w:r>
      <w:r w:rsidRPr="00FC64BF">
        <w:rPr>
          <w:szCs w:val="24"/>
        </w:rPr>
        <w:t xml:space="preserve"> je u 2023.</w:t>
      </w:r>
      <w:r w:rsidR="00B63BCD">
        <w:rPr>
          <w:szCs w:val="24"/>
        </w:rPr>
        <w:t xml:space="preserve"> </w:t>
      </w:r>
      <w:r w:rsidR="003A1EFA">
        <w:rPr>
          <w:szCs w:val="24"/>
        </w:rPr>
        <w:t xml:space="preserve">godini </w:t>
      </w:r>
      <w:r w:rsidRPr="00FC64BF">
        <w:rPr>
          <w:szCs w:val="24"/>
        </w:rPr>
        <w:t>provelo natječaj na temelju kojeg su dodijeljena financijska sredstva za 23 projekta pružanja primarne pravne pomoći ovlaštenih udruga i pravnih fakulteta. Projekti se financira</w:t>
      </w:r>
      <w:r w:rsidR="00DA0839">
        <w:rPr>
          <w:szCs w:val="24"/>
        </w:rPr>
        <w:t>ju</w:t>
      </w:r>
      <w:r w:rsidRPr="00FC64BF">
        <w:rPr>
          <w:szCs w:val="24"/>
        </w:rPr>
        <w:t xml:space="preserve"> u trogodišnjem razdoblju, od 1. siječnja 2023. do 31. prosinca 2025. Posebni ciljevi natječaja su osigurati uravnoteženu teritorijalnu rasprostranjenost projekata pružanja primarne pravne pomoći i pružanje primarne pravne pomoći osjetljivim društvenim skupinama (npr. osobama s invaliditetom, žrtvama obiteljskog nasilja, pripadnicima nacionalnih manjina i drugima). Sedam projekata predviđa pružanje primarne pravne pomoći, među ostalima, i Romima. Zemljopisna područja koja su obuhvaćena projektima uključuju: Osječko-baranjsku županiju, Grad Zagreb, Brodsko-posavsku županiju, Požeško-slavonsku županiju, Sisačko-moslavačku županiju</w:t>
      </w:r>
      <w:r w:rsidR="007D0EB5">
        <w:rPr>
          <w:szCs w:val="24"/>
        </w:rPr>
        <w:t xml:space="preserve"> i</w:t>
      </w:r>
      <w:r w:rsidRPr="00FC64BF">
        <w:rPr>
          <w:szCs w:val="24"/>
        </w:rPr>
        <w:t xml:space="preserve"> Karlovačku županiju. Za projekte u kojima se predviđa pružanje primarne pravne pomoći Romima dodijeljeno je ukupno 216.955,09 </w:t>
      </w:r>
      <w:r w:rsidR="00684C77">
        <w:rPr>
          <w:szCs w:val="24"/>
        </w:rPr>
        <w:t>EUR</w:t>
      </w:r>
      <w:r w:rsidRPr="00FC64BF">
        <w:rPr>
          <w:szCs w:val="24"/>
        </w:rPr>
        <w:t>. U</w:t>
      </w:r>
      <w:r w:rsidRPr="00FC64BF">
        <w:rPr>
          <w:iCs/>
          <w:szCs w:val="24"/>
        </w:rPr>
        <w:t xml:space="preserve"> 2024.</w:t>
      </w:r>
      <w:r w:rsidR="00635859">
        <w:rPr>
          <w:iCs/>
          <w:szCs w:val="24"/>
        </w:rPr>
        <w:t xml:space="preserve"> </w:t>
      </w:r>
      <w:r w:rsidR="003A1EFA">
        <w:rPr>
          <w:iCs/>
          <w:szCs w:val="24"/>
        </w:rPr>
        <w:t xml:space="preserve">godini </w:t>
      </w:r>
      <w:r w:rsidR="007D0EB5">
        <w:rPr>
          <w:szCs w:val="24"/>
        </w:rPr>
        <w:t xml:space="preserve">ukupno </w:t>
      </w:r>
      <w:r w:rsidRPr="00FC64BF">
        <w:rPr>
          <w:iCs/>
          <w:szCs w:val="24"/>
        </w:rPr>
        <w:t>d</w:t>
      </w:r>
      <w:r w:rsidRPr="00FC64BF">
        <w:rPr>
          <w:szCs w:val="24"/>
        </w:rPr>
        <w:t>odijeljena sredstva povećana su za 30 % u odnosu na 2023.</w:t>
      </w:r>
      <w:r w:rsidR="00635859">
        <w:rPr>
          <w:szCs w:val="24"/>
        </w:rPr>
        <w:t xml:space="preserve"> godinu</w:t>
      </w:r>
      <w:r w:rsidR="00051256" w:rsidRPr="00FC64BF">
        <w:rPr>
          <w:szCs w:val="24"/>
        </w:rPr>
        <w:t xml:space="preserve"> te su iznosila 283.081,62 EUR (A 630048).</w:t>
      </w:r>
    </w:p>
    <w:p w14:paraId="6E39FC04" w14:textId="77777777" w:rsidR="008913E9" w:rsidRPr="00FC64BF" w:rsidRDefault="008913E9" w:rsidP="00D36147">
      <w:pPr>
        <w:spacing w:after="0" w:line="276" w:lineRule="auto"/>
        <w:jc w:val="both"/>
        <w:rPr>
          <w:rFonts w:cs="Times New Roman"/>
          <w:bCs/>
        </w:rPr>
      </w:pPr>
    </w:p>
    <w:p w14:paraId="5E5A1118" w14:textId="77777777" w:rsidR="007D0EB5" w:rsidRDefault="00515644" w:rsidP="00D36147">
      <w:pPr>
        <w:spacing w:after="0" w:line="276" w:lineRule="auto"/>
        <w:jc w:val="both"/>
        <w:rPr>
          <w:rFonts w:cs="Times New Roman"/>
        </w:rPr>
      </w:pPr>
      <w:r w:rsidRPr="00FC64BF">
        <w:rPr>
          <w:rFonts w:cs="Times New Roman"/>
        </w:rPr>
        <w:t xml:space="preserve">U okviru mjere Poticanje sudjelovanja Roma, posebno žena i mladih, u društvenom, kulturnom i političkom životu na lokalnoj, regionalnoj, nacionalnoj i EU razini aktivnosti su provodili i Ministarstvo turizma i sporta te Savjet za nacionalne manjine. </w:t>
      </w:r>
    </w:p>
    <w:p w14:paraId="71EEA675" w14:textId="5849E0AE" w:rsidR="00515644" w:rsidRPr="00FC64BF" w:rsidRDefault="00515644" w:rsidP="00D36147">
      <w:pPr>
        <w:spacing w:after="0" w:line="276" w:lineRule="auto"/>
        <w:jc w:val="both"/>
        <w:rPr>
          <w:rFonts w:cs="Times New Roman"/>
        </w:rPr>
      </w:pPr>
      <w:r w:rsidRPr="00FC64BF">
        <w:rPr>
          <w:rFonts w:cs="Times New Roman"/>
        </w:rPr>
        <w:t xml:space="preserve">Ministarstvo turizma i sporta je tijekom </w:t>
      </w:r>
      <w:r w:rsidR="00CE622A" w:rsidRPr="00FC64BF">
        <w:rPr>
          <w:rFonts w:cs="Times New Roman"/>
        </w:rPr>
        <w:t>2024.</w:t>
      </w:r>
      <w:r w:rsidRPr="00FC64BF">
        <w:rPr>
          <w:rFonts w:cs="Times New Roman"/>
        </w:rPr>
        <w:t xml:space="preserve"> </w:t>
      </w:r>
      <w:r w:rsidR="003A1EFA">
        <w:rPr>
          <w:rFonts w:cs="Times New Roman"/>
        </w:rPr>
        <w:t xml:space="preserve">godine </w:t>
      </w:r>
      <w:r w:rsidR="00DE6FBD" w:rsidRPr="00FC64BF">
        <w:t>provelo tri radionice u suradnji sa županijskim sportskim savezima. Na radionice su bile pozvane sve pravne osobe iz sustava sporta, članice županijskih sportskih saveza pa tako i romske udruge koje djeluju u području sporta.</w:t>
      </w:r>
      <w:r w:rsidRPr="00FC64BF">
        <w:rPr>
          <w:rFonts w:cs="Times New Roman"/>
        </w:rPr>
        <w:t xml:space="preserve"> </w:t>
      </w:r>
    </w:p>
    <w:p w14:paraId="6B74CA57" w14:textId="77777777" w:rsidR="00515644" w:rsidRPr="007D0EB5" w:rsidRDefault="00515644" w:rsidP="00D36147">
      <w:pPr>
        <w:spacing w:after="0" w:line="276" w:lineRule="auto"/>
        <w:jc w:val="both"/>
        <w:rPr>
          <w:rFonts w:cs="Times New Roman"/>
        </w:rPr>
      </w:pPr>
    </w:p>
    <w:p w14:paraId="27AF5500" w14:textId="602C565B" w:rsidR="00051256" w:rsidRDefault="00515644" w:rsidP="00051256">
      <w:pPr>
        <w:spacing w:after="0" w:line="276" w:lineRule="auto"/>
        <w:jc w:val="both"/>
        <w:rPr>
          <w:rFonts w:cs="Times New Roman"/>
          <w:bCs/>
        </w:rPr>
      </w:pPr>
      <w:r w:rsidRPr="007D0EB5">
        <w:rPr>
          <w:rFonts w:cs="Times New Roman"/>
        </w:rPr>
        <w:t>Savjet za nacionalne manjine financirao je programe posvećene izvornoj romskoj kulturi, jeziku, tradicijskim običajima i umjetničkom stvaralaštvu te sakupljanju i objavljivanju romske povijesne, književne i kulturne građe na jezicima kojima se služe Romi u Republici Hrvatskoj i hrvatskom jeziku.</w:t>
      </w:r>
      <w:r w:rsidRPr="00FC64BF">
        <w:rPr>
          <w:rFonts w:cs="Times New Roman"/>
          <w:color w:val="FF0000"/>
        </w:rPr>
        <w:t xml:space="preserve"> </w:t>
      </w:r>
      <w:r w:rsidR="00051256" w:rsidRPr="00051256">
        <w:rPr>
          <w:rFonts w:cs="Times New Roman"/>
        </w:rPr>
        <w:t xml:space="preserve">Savjet je u 2024. </w:t>
      </w:r>
      <w:r w:rsidR="002720AC">
        <w:rPr>
          <w:rFonts w:cs="Times New Roman"/>
        </w:rPr>
        <w:t xml:space="preserve">godini </w:t>
      </w:r>
      <w:r w:rsidR="00051256" w:rsidRPr="00051256">
        <w:rPr>
          <w:rFonts w:cs="Times New Roman"/>
        </w:rPr>
        <w:t xml:space="preserve">sklopio ukupno </w:t>
      </w:r>
      <w:r w:rsidR="007D0EB5">
        <w:rPr>
          <w:rFonts w:cs="Times New Roman"/>
        </w:rPr>
        <w:t>11</w:t>
      </w:r>
      <w:r w:rsidR="00051256" w:rsidRPr="00051256">
        <w:rPr>
          <w:rFonts w:cs="Times New Roman"/>
        </w:rPr>
        <w:t xml:space="preserve"> ugovora o financijskoj potpori programa udruge iz sredstava Državnog proračuna za 2024. </w:t>
      </w:r>
      <w:r w:rsidR="002720AC">
        <w:rPr>
          <w:rFonts w:cs="Times New Roman"/>
        </w:rPr>
        <w:t xml:space="preserve">godinu </w:t>
      </w:r>
      <w:r w:rsidR="00051256" w:rsidRPr="00051256">
        <w:rPr>
          <w:rFonts w:cs="Times New Roman"/>
        </w:rPr>
        <w:t>s predstavnicima udruga i/ili ustanova pripadnika romske nacionalne manjine</w:t>
      </w:r>
      <w:r w:rsidR="007D0EB5">
        <w:rPr>
          <w:rFonts w:cs="Times New Roman"/>
        </w:rPr>
        <w:t>,</w:t>
      </w:r>
      <w:r w:rsidR="00051256" w:rsidRPr="00051256">
        <w:rPr>
          <w:rFonts w:cs="Times New Roman"/>
        </w:rPr>
        <w:t xml:space="preserve"> što je jedan ugovor više u odnosu na 2023.</w:t>
      </w:r>
      <w:r w:rsidR="002720AC">
        <w:rPr>
          <w:rFonts w:cs="Times New Roman"/>
        </w:rPr>
        <w:t xml:space="preserve"> godinu.</w:t>
      </w:r>
      <w:r w:rsidR="00051256" w:rsidRPr="00051256">
        <w:rPr>
          <w:rFonts w:cs="Times New Roman"/>
        </w:rPr>
        <w:t xml:space="preserve"> </w:t>
      </w:r>
      <w:r w:rsidR="00051256">
        <w:rPr>
          <w:rFonts w:cs="Times New Roman"/>
        </w:rPr>
        <w:t>U</w:t>
      </w:r>
      <w:r w:rsidR="00051256" w:rsidRPr="00051256">
        <w:rPr>
          <w:rFonts w:cs="Times New Roman"/>
          <w:lang w:bidi="hr-HR"/>
        </w:rPr>
        <w:t xml:space="preserve"> 2024.</w:t>
      </w:r>
      <w:r w:rsidR="002720AC">
        <w:rPr>
          <w:rFonts w:cs="Times New Roman"/>
          <w:lang w:bidi="hr-HR"/>
        </w:rPr>
        <w:t xml:space="preserve"> godini</w:t>
      </w:r>
      <w:r w:rsidR="00051256" w:rsidRPr="00051256">
        <w:rPr>
          <w:rFonts w:cs="Times New Roman"/>
          <w:lang w:bidi="hr-HR"/>
        </w:rPr>
        <w:t xml:space="preserve"> sufinancirano </w:t>
      </w:r>
      <w:r w:rsidR="008E475B">
        <w:rPr>
          <w:rFonts w:cs="Times New Roman"/>
          <w:lang w:bidi="hr-HR"/>
        </w:rPr>
        <w:t xml:space="preserve">je </w:t>
      </w:r>
      <w:r w:rsidR="00051256" w:rsidRPr="00FC64BF">
        <w:rPr>
          <w:rFonts w:cs="Times New Roman"/>
          <w:lang w:bidi="hr-HR"/>
        </w:rPr>
        <w:t>27</w:t>
      </w:r>
      <w:r w:rsidR="00051256" w:rsidRPr="00051256">
        <w:rPr>
          <w:rFonts w:cs="Times New Roman"/>
          <w:b/>
          <w:lang w:bidi="hr-HR"/>
        </w:rPr>
        <w:t xml:space="preserve"> </w:t>
      </w:r>
      <w:r w:rsidR="00051256" w:rsidRPr="00051256">
        <w:rPr>
          <w:rFonts w:cs="Times New Roman"/>
          <w:lang w:bidi="hr-HR"/>
        </w:rPr>
        <w:t xml:space="preserve">programa kulturne autonomije udruga i/ili ustanova romske nacionalne manjine, što je 6 programa više u odnosu na 2023. </w:t>
      </w:r>
      <w:r w:rsidR="002720AC">
        <w:rPr>
          <w:rFonts w:cs="Times New Roman"/>
          <w:lang w:bidi="hr-HR"/>
        </w:rPr>
        <w:t xml:space="preserve">godinu. </w:t>
      </w:r>
      <w:r w:rsidR="00051256" w:rsidRPr="00051256">
        <w:rPr>
          <w:rFonts w:cs="Times New Roman"/>
        </w:rPr>
        <w:t xml:space="preserve">Udrugama i/ili ustanovama romske nacionalne manjine Odlukom o rasporedu sredstava koja se u Državnom proračunu Republike Hrvatske osiguravaju za potrebe nacionalnih manjina u 2024. </w:t>
      </w:r>
      <w:r w:rsidR="002720AC">
        <w:rPr>
          <w:rFonts w:cs="Times New Roman"/>
        </w:rPr>
        <w:t xml:space="preserve">godini </w:t>
      </w:r>
      <w:r w:rsidR="00051256" w:rsidRPr="00051256">
        <w:rPr>
          <w:rFonts w:cs="Times New Roman"/>
        </w:rPr>
        <w:t xml:space="preserve">za sufinanciranje programa kulturne autonomije raspoređena su sredstva u ukupnom iznosu od 254.000 EUR, </w:t>
      </w:r>
      <w:r w:rsidR="007D0EB5" w:rsidRPr="00FC64BF">
        <w:rPr>
          <w:rFonts w:cs="Times New Roman"/>
          <w:bCs/>
        </w:rPr>
        <w:t>46 %</w:t>
      </w:r>
      <w:r w:rsidR="007D0EB5">
        <w:rPr>
          <w:rFonts w:cs="Times New Roman"/>
          <w:bCs/>
        </w:rPr>
        <w:t xml:space="preserve"> više u odnosu na </w:t>
      </w:r>
      <w:r w:rsidR="00051256" w:rsidRPr="00051256">
        <w:rPr>
          <w:rFonts w:cs="Times New Roman"/>
        </w:rPr>
        <w:t xml:space="preserve">2023. </w:t>
      </w:r>
      <w:r w:rsidR="002720AC">
        <w:rPr>
          <w:rFonts w:cs="Times New Roman"/>
        </w:rPr>
        <w:t xml:space="preserve">godinu </w:t>
      </w:r>
      <w:r w:rsidR="007D0EB5">
        <w:rPr>
          <w:rFonts w:cs="Times New Roman"/>
        </w:rPr>
        <w:t>(</w:t>
      </w:r>
      <w:r w:rsidR="00051256" w:rsidRPr="00051256">
        <w:rPr>
          <w:rFonts w:cs="Times New Roman"/>
        </w:rPr>
        <w:t>174.000 EUR</w:t>
      </w:r>
      <w:r w:rsidR="007D0EB5">
        <w:rPr>
          <w:rFonts w:cs="Times New Roman"/>
        </w:rPr>
        <w:t>)</w:t>
      </w:r>
      <w:r w:rsidR="00051256">
        <w:rPr>
          <w:rFonts w:cs="Times New Roman"/>
          <w:bCs/>
        </w:rPr>
        <w:t>.</w:t>
      </w:r>
    </w:p>
    <w:p w14:paraId="3F1067FF" w14:textId="77777777" w:rsidR="00051256" w:rsidRPr="00FC64BF" w:rsidRDefault="00051256" w:rsidP="00051256">
      <w:pPr>
        <w:spacing w:after="0" w:line="276" w:lineRule="auto"/>
        <w:jc w:val="both"/>
        <w:rPr>
          <w:rFonts w:cs="Times New Roman"/>
        </w:rPr>
      </w:pPr>
    </w:p>
    <w:p w14:paraId="3A14A368" w14:textId="2F3049F1" w:rsidR="00DF110F" w:rsidRPr="00DF110F" w:rsidRDefault="00DF110F" w:rsidP="00DF110F">
      <w:pPr>
        <w:spacing w:after="0" w:line="276" w:lineRule="auto"/>
        <w:jc w:val="both"/>
        <w:rPr>
          <w:rFonts w:cs="Times New Roman"/>
        </w:rPr>
      </w:pPr>
      <w:r w:rsidRPr="00DF110F">
        <w:rPr>
          <w:rFonts w:cs="Times New Roman"/>
        </w:rPr>
        <w:t>Dodatno, za programe za stvaranje pretpostavki za ostvarivanje kulturne autonomije romske nacionalne manjine u 2024.</w:t>
      </w:r>
      <w:r w:rsidR="002720AC">
        <w:rPr>
          <w:rFonts w:cs="Times New Roman"/>
        </w:rPr>
        <w:t xml:space="preserve"> godini</w:t>
      </w:r>
      <w:r w:rsidRPr="00DF110F">
        <w:rPr>
          <w:rFonts w:cs="Times New Roman"/>
        </w:rPr>
        <w:t xml:space="preserve"> sklopljeni su ugovori o jednokratnoj financijskoj pomoći između Savjeta za nacionalne manjine i </w:t>
      </w:r>
      <w:r>
        <w:rPr>
          <w:rFonts w:cs="Times New Roman"/>
        </w:rPr>
        <w:t xml:space="preserve">dvije </w:t>
      </w:r>
      <w:r w:rsidR="00026107">
        <w:rPr>
          <w:rFonts w:cs="Times New Roman"/>
        </w:rPr>
        <w:t>JLP(R)S</w:t>
      </w:r>
      <w:r>
        <w:rPr>
          <w:rFonts w:cs="Times New Roman"/>
        </w:rPr>
        <w:t xml:space="preserve">, Općinom </w:t>
      </w:r>
      <w:proofErr w:type="spellStart"/>
      <w:r>
        <w:rPr>
          <w:rFonts w:cs="Times New Roman"/>
        </w:rPr>
        <w:t>Nedelišće</w:t>
      </w:r>
      <w:proofErr w:type="spellEnd"/>
      <w:r>
        <w:rPr>
          <w:rFonts w:cs="Times New Roman"/>
        </w:rPr>
        <w:t xml:space="preserve"> za </w:t>
      </w:r>
      <w:r w:rsidRPr="00DF110F">
        <w:rPr>
          <w:rFonts w:cs="Times New Roman"/>
        </w:rPr>
        <w:t>sufinanciranje nastavka izgradnje Doma kulture Parag</w:t>
      </w:r>
      <w:r>
        <w:rPr>
          <w:rFonts w:cs="Times New Roman"/>
        </w:rPr>
        <w:t xml:space="preserve"> (132.723,00 EUR) i </w:t>
      </w:r>
      <w:r w:rsidRPr="00DF110F">
        <w:rPr>
          <w:rFonts w:cs="Times New Roman"/>
        </w:rPr>
        <w:t>Grad</w:t>
      </w:r>
      <w:r>
        <w:rPr>
          <w:rFonts w:cs="Times New Roman"/>
        </w:rPr>
        <w:t>om</w:t>
      </w:r>
      <w:r w:rsidRPr="00DF110F">
        <w:rPr>
          <w:rFonts w:cs="Times New Roman"/>
        </w:rPr>
        <w:t xml:space="preserve"> Mursk</w:t>
      </w:r>
      <w:r>
        <w:rPr>
          <w:rFonts w:cs="Times New Roman"/>
        </w:rPr>
        <w:t>im</w:t>
      </w:r>
      <w:r w:rsidRPr="00DF110F">
        <w:rPr>
          <w:rFonts w:cs="Times New Roman"/>
        </w:rPr>
        <w:t xml:space="preserve"> Središće</w:t>
      </w:r>
      <w:r>
        <w:rPr>
          <w:rFonts w:cs="Times New Roman"/>
        </w:rPr>
        <w:t xml:space="preserve">m </w:t>
      </w:r>
      <w:r w:rsidRPr="00DF110F">
        <w:rPr>
          <w:rFonts w:cs="Times New Roman"/>
        </w:rPr>
        <w:t>za sufinanciranje izgradnje građevine javne i društvene namjene Romskog multikulturalnog centra Sitnice</w:t>
      </w:r>
      <w:r>
        <w:rPr>
          <w:rFonts w:cs="Times New Roman"/>
        </w:rPr>
        <w:t xml:space="preserve"> </w:t>
      </w:r>
      <w:r w:rsidRPr="00DF110F">
        <w:rPr>
          <w:rFonts w:cs="Times New Roman"/>
        </w:rPr>
        <w:t>(132.723,00 EUR)</w:t>
      </w:r>
      <w:r w:rsidR="00177BFA">
        <w:rPr>
          <w:rFonts w:cs="Times New Roman"/>
        </w:rPr>
        <w:t xml:space="preserve">, ukupno </w:t>
      </w:r>
      <w:r w:rsidR="00177BFA" w:rsidRPr="00177BFA">
        <w:rPr>
          <w:rFonts w:cs="Times New Roman"/>
          <w:bCs/>
        </w:rPr>
        <w:t>265.446 EUR</w:t>
      </w:r>
      <w:r w:rsidR="00177BFA">
        <w:rPr>
          <w:rFonts w:cs="Times New Roman"/>
          <w:bCs/>
        </w:rPr>
        <w:t xml:space="preserve">, što je 40,8 % više nego u 2023. </w:t>
      </w:r>
      <w:r w:rsidR="002720AC">
        <w:rPr>
          <w:rFonts w:cs="Times New Roman"/>
        </w:rPr>
        <w:t>godini.</w:t>
      </w:r>
    </w:p>
    <w:p w14:paraId="4ECD3692" w14:textId="77777777" w:rsidR="00051256" w:rsidRPr="00FC64BF" w:rsidRDefault="00051256" w:rsidP="00D36147">
      <w:pPr>
        <w:spacing w:after="0" w:line="276" w:lineRule="auto"/>
        <w:jc w:val="both"/>
        <w:rPr>
          <w:rFonts w:cs="Times New Roman"/>
        </w:rPr>
      </w:pPr>
    </w:p>
    <w:p w14:paraId="357185C0" w14:textId="15A250DE" w:rsidR="00515644" w:rsidRPr="00FC64BF" w:rsidRDefault="00515644" w:rsidP="00D36147">
      <w:pPr>
        <w:spacing w:after="0" w:line="276" w:lineRule="auto"/>
        <w:jc w:val="both"/>
        <w:rPr>
          <w:rFonts w:cs="Times New Roman"/>
        </w:rPr>
      </w:pPr>
      <w:r w:rsidRPr="00FC64BF">
        <w:rPr>
          <w:rFonts w:cs="Times New Roman"/>
          <w:b/>
        </w:rPr>
        <w:lastRenderedPageBreak/>
        <w:t xml:space="preserve">Za provedbu aktivnosti u posebnom cilju poticati participaciju Roma kroz osnaživanje, suradnju i povjerenje Roma u javne institucije u </w:t>
      </w:r>
      <w:r w:rsidR="00CE622A" w:rsidRPr="00FC64BF">
        <w:rPr>
          <w:rFonts w:cs="Times New Roman"/>
          <w:b/>
        </w:rPr>
        <w:t>2024.</w:t>
      </w:r>
      <w:r w:rsidRPr="00FC64BF">
        <w:rPr>
          <w:rFonts w:cs="Times New Roman"/>
          <w:b/>
        </w:rPr>
        <w:t xml:space="preserve"> </w:t>
      </w:r>
      <w:r w:rsidR="002720AC" w:rsidRPr="002720AC">
        <w:rPr>
          <w:rFonts w:cs="Times New Roman"/>
          <w:b/>
        </w:rPr>
        <w:t>godini</w:t>
      </w:r>
      <w:r w:rsidR="002720AC">
        <w:rPr>
          <w:rFonts w:cs="Times New Roman"/>
        </w:rPr>
        <w:t xml:space="preserve"> </w:t>
      </w:r>
      <w:r w:rsidRPr="00FC64BF">
        <w:rPr>
          <w:rFonts w:cs="Times New Roman"/>
          <w:b/>
        </w:rPr>
        <w:t xml:space="preserve">nadležna tijela su utrošila ukupno </w:t>
      </w:r>
      <w:r w:rsidR="00177BFA">
        <w:rPr>
          <w:rFonts w:cs="Times New Roman"/>
          <w:b/>
        </w:rPr>
        <w:t xml:space="preserve">1.021.546,61 </w:t>
      </w:r>
      <w:r w:rsidRPr="007D0EB5">
        <w:rPr>
          <w:rFonts w:cs="Times New Roman"/>
          <w:b/>
        </w:rPr>
        <w:t>EUR.</w:t>
      </w:r>
      <w:r w:rsidRPr="00FC64BF">
        <w:rPr>
          <w:rFonts w:cs="Times New Roman"/>
        </w:rPr>
        <w:t xml:space="preserve"> </w:t>
      </w:r>
    </w:p>
    <w:bookmarkEnd w:id="9"/>
    <w:p w14:paraId="2718E6A6" w14:textId="3302E525" w:rsidR="006B358F" w:rsidRDefault="006B358F" w:rsidP="00D36147">
      <w:pPr>
        <w:spacing w:after="0" w:line="276" w:lineRule="auto"/>
        <w:jc w:val="both"/>
        <w:rPr>
          <w:rFonts w:cs="Times New Roman"/>
          <w:bCs/>
          <w:szCs w:val="24"/>
        </w:rPr>
      </w:pPr>
    </w:p>
    <w:p w14:paraId="0A8FE6C2" w14:textId="77777777" w:rsidR="00635859" w:rsidRPr="00FC64BF" w:rsidRDefault="00635859" w:rsidP="00D36147">
      <w:pPr>
        <w:spacing w:after="0" w:line="276" w:lineRule="auto"/>
        <w:jc w:val="both"/>
        <w:rPr>
          <w:rFonts w:cs="Times New Roman"/>
          <w:bCs/>
          <w:szCs w:val="24"/>
        </w:rPr>
      </w:pPr>
    </w:p>
    <w:p w14:paraId="283AAAB2" w14:textId="2C01FA0B" w:rsidR="00515644" w:rsidRPr="00FC64BF" w:rsidRDefault="00515644" w:rsidP="00D36147">
      <w:pPr>
        <w:autoSpaceDE w:val="0"/>
        <w:autoSpaceDN w:val="0"/>
        <w:adjustRightInd w:val="0"/>
        <w:spacing w:after="0" w:line="276" w:lineRule="auto"/>
        <w:jc w:val="both"/>
        <w:rPr>
          <w:rFonts w:cs="Times New Roman"/>
          <w:szCs w:val="24"/>
        </w:rPr>
      </w:pPr>
      <w:bookmarkStart w:id="10" w:name="_Hlk166758470"/>
      <w:r w:rsidRPr="00FC64BF">
        <w:rPr>
          <w:rFonts w:cs="Times New Roman"/>
          <w:szCs w:val="24"/>
        </w:rPr>
        <w:t xml:space="preserve">Aktivnosti u okviru sektorskog cilja </w:t>
      </w:r>
      <w:r w:rsidRPr="00FC64BF">
        <w:rPr>
          <w:rFonts w:cs="Times New Roman"/>
          <w:b/>
          <w:i/>
          <w:szCs w:val="24"/>
        </w:rPr>
        <w:t>učinkovit i jednak pristup Roma kvalitetnom, uključivom obrazovanju</w:t>
      </w:r>
      <w:r w:rsidRPr="00FC64BF">
        <w:rPr>
          <w:rFonts w:cs="Times New Roman"/>
          <w:szCs w:val="24"/>
        </w:rPr>
        <w:t xml:space="preserve"> poduzimali su </w:t>
      </w:r>
      <w:r w:rsidR="00F36CF1" w:rsidRPr="00FC64BF">
        <w:rPr>
          <w:rFonts w:cs="Times New Roman"/>
          <w:szCs w:val="24"/>
        </w:rPr>
        <w:t>Ministarstvo znanosti, obrazovanja i mladih</w:t>
      </w:r>
      <w:r w:rsidRPr="00FC64BF">
        <w:rPr>
          <w:rFonts w:cs="Times New Roman"/>
          <w:szCs w:val="24"/>
        </w:rPr>
        <w:t xml:space="preserve">, Agencija za odgoj i obrazovanje i </w:t>
      </w:r>
      <w:r w:rsidR="00841CC7">
        <w:rPr>
          <w:rFonts w:cs="Times New Roman"/>
          <w:szCs w:val="24"/>
        </w:rPr>
        <w:t>Ured</w:t>
      </w:r>
      <w:r w:rsidR="00BD4696">
        <w:rPr>
          <w:rFonts w:cs="Times New Roman"/>
          <w:szCs w:val="24"/>
        </w:rPr>
        <w:t>.</w:t>
      </w:r>
    </w:p>
    <w:p w14:paraId="693DAA06" w14:textId="0686E472" w:rsidR="0060393D" w:rsidRPr="00FC64BF" w:rsidRDefault="0060393D" w:rsidP="00D36147">
      <w:pPr>
        <w:autoSpaceDE w:val="0"/>
        <w:autoSpaceDN w:val="0"/>
        <w:adjustRightInd w:val="0"/>
        <w:spacing w:after="0" w:line="276" w:lineRule="auto"/>
        <w:jc w:val="both"/>
        <w:rPr>
          <w:rFonts w:cs="Times New Roman"/>
          <w:szCs w:val="24"/>
        </w:rPr>
      </w:pPr>
    </w:p>
    <w:p w14:paraId="2585929E" w14:textId="392FAAC5" w:rsidR="002135D1" w:rsidRPr="002566F5" w:rsidRDefault="002135D1" w:rsidP="002135D1">
      <w:pPr>
        <w:autoSpaceDE w:val="0"/>
        <w:autoSpaceDN w:val="0"/>
        <w:adjustRightInd w:val="0"/>
        <w:spacing w:line="276" w:lineRule="auto"/>
        <w:jc w:val="both"/>
        <w:rPr>
          <w:rFonts w:cs="Times New Roman"/>
        </w:rPr>
      </w:pPr>
      <w:r w:rsidRPr="002566F5">
        <w:rPr>
          <w:rFonts w:cs="Times New Roman"/>
        </w:rPr>
        <w:t>Tijekom 2024.</w:t>
      </w:r>
      <w:r w:rsidR="002720AC">
        <w:rPr>
          <w:rFonts w:cs="Times New Roman"/>
        </w:rPr>
        <w:t xml:space="preserve"> godine</w:t>
      </w:r>
      <w:r w:rsidRPr="002566F5">
        <w:rPr>
          <w:rFonts w:cs="Times New Roman"/>
        </w:rPr>
        <w:t xml:space="preserve"> Ministarstvo znanosti, obrazovanja i mladih je nastav</w:t>
      </w:r>
      <w:r w:rsidR="007D0EB5">
        <w:rPr>
          <w:rFonts w:cs="Times New Roman"/>
        </w:rPr>
        <w:t xml:space="preserve">ilo </w:t>
      </w:r>
      <w:r w:rsidRPr="002566F5">
        <w:rPr>
          <w:rFonts w:cs="Times New Roman"/>
        </w:rPr>
        <w:t>provedb</w:t>
      </w:r>
      <w:r w:rsidR="007D0EB5">
        <w:rPr>
          <w:rFonts w:cs="Times New Roman"/>
        </w:rPr>
        <w:t>u</w:t>
      </w:r>
      <w:r w:rsidRPr="002566F5">
        <w:rPr>
          <w:rFonts w:cs="Times New Roman"/>
        </w:rPr>
        <w:t xml:space="preserve"> mjera u području predškolskog odgoja i obrazovanja, osnovnoškolskog, srednjoškolskog, visokog te obrazovanja odraslih, kao i aktivnosti dodatne potpore odgojno-obrazovnim ustanovama s većim brojem učenika pripadnika romske nacionalne manjine kako bi se i takvim ciljanim intervencijama omogućili bolji uvjeti obrazovanja svim učenicima.</w:t>
      </w:r>
    </w:p>
    <w:p w14:paraId="10566B7A" w14:textId="5DCA7238" w:rsidR="002135D1" w:rsidRDefault="002135D1" w:rsidP="002135D1">
      <w:pPr>
        <w:autoSpaceDE w:val="0"/>
        <w:autoSpaceDN w:val="0"/>
        <w:adjustRightInd w:val="0"/>
        <w:spacing w:line="276" w:lineRule="auto"/>
        <w:jc w:val="both"/>
        <w:rPr>
          <w:rFonts w:cs="Times New Roman"/>
        </w:rPr>
      </w:pPr>
      <w:r w:rsidRPr="002566F5">
        <w:rPr>
          <w:rFonts w:cs="Times New Roman"/>
        </w:rPr>
        <w:t xml:space="preserve">Ministarstvo znanosti, obrazovanja i mladih obrađuje tj. upotpunjuje </w:t>
      </w:r>
      <w:r w:rsidRPr="002566F5">
        <w:rPr>
          <w:rFonts w:cs="Times New Roman"/>
          <w:b/>
        </w:rPr>
        <w:t xml:space="preserve">bazu podataka za romsku nacionalnu manjinu </w:t>
      </w:r>
      <w:r w:rsidRPr="002566F5">
        <w:rPr>
          <w:rFonts w:cs="Times New Roman"/>
        </w:rPr>
        <w:t>jednom godišnje, uzimajući u obzir podatke na kraju prethodne školske/pedagoške godine i na početku tekuće školske/pedagoške godine. Baza podataka o školovanju pripadnika romske nacionalne manjine temelji se na podacima dobivenim od upravnih odjela za obrazovanje u županiji te Gradskog ureda za obrazovanje, sport i mlade Grada Zagreba. Ministarstvo</w:t>
      </w:r>
      <w:r w:rsidR="00635859" w:rsidRPr="00635859">
        <w:rPr>
          <w:rFonts w:cs="Times New Roman"/>
        </w:rPr>
        <w:t xml:space="preserve"> </w:t>
      </w:r>
      <w:r w:rsidR="00635859" w:rsidRPr="002566F5">
        <w:rPr>
          <w:rFonts w:cs="Times New Roman"/>
        </w:rPr>
        <w:t>znanosti, obrazovanja i mladih</w:t>
      </w:r>
      <w:r w:rsidRPr="002566F5">
        <w:rPr>
          <w:rFonts w:cs="Times New Roman"/>
        </w:rPr>
        <w:t xml:space="preserve"> koristi navedene podatke za planiranje daljnjih aktivnosti te se planiraju sredstva u državnom proračunu za sve aktivnosti predviđene Nacionalnim planom</w:t>
      </w:r>
      <w:r w:rsidR="00684C77">
        <w:rPr>
          <w:rFonts w:cs="Times New Roman"/>
        </w:rPr>
        <w:t>.</w:t>
      </w:r>
      <w:r w:rsidRPr="002566F5">
        <w:rPr>
          <w:rFonts w:cs="Times New Roman"/>
        </w:rPr>
        <w:t xml:space="preserve"> </w:t>
      </w:r>
    </w:p>
    <w:p w14:paraId="5E65E403" w14:textId="5A13C20E" w:rsidR="002135D1" w:rsidRPr="002566F5" w:rsidRDefault="002135D1" w:rsidP="002135D1">
      <w:pPr>
        <w:autoSpaceDE w:val="0"/>
        <w:autoSpaceDN w:val="0"/>
        <w:adjustRightInd w:val="0"/>
        <w:spacing w:line="276" w:lineRule="auto"/>
        <w:jc w:val="both"/>
        <w:rPr>
          <w:rFonts w:cs="Times New Roman"/>
        </w:rPr>
      </w:pPr>
      <w:r w:rsidRPr="002566F5">
        <w:rPr>
          <w:rFonts w:cs="Times New Roman"/>
        </w:rPr>
        <w:t xml:space="preserve">U 2024. </w:t>
      </w:r>
      <w:r w:rsidR="002720AC">
        <w:rPr>
          <w:rFonts w:cs="Times New Roman"/>
        </w:rPr>
        <w:t xml:space="preserve">godini </w:t>
      </w:r>
      <w:r w:rsidRPr="002566F5">
        <w:rPr>
          <w:rFonts w:cs="Times New Roman"/>
        </w:rPr>
        <w:t xml:space="preserve">za sve provedene aktivnosti </w:t>
      </w:r>
      <w:r w:rsidR="00294742" w:rsidRPr="009E54C1">
        <w:rPr>
          <w:rFonts w:cs="Times New Roman"/>
        </w:rPr>
        <w:t xml:space="preserve">Akcijskog plana </w:t>
      </w:r>
      <w:r w:rsidRPr="009E54C1">
        <w:rPr>
          <w:rFonts w:cs="Times New Roman"/>
        </w:rPr>
        <w:t>u nadležnosti Ministarstva znanosti</w:t>
      </w:r>
      <w:r w:rsidR="00684C77" w:rsidRPr="009E54C1">
        <w:rPr>
          <w:rFonts w:cs="Times New Roman"/>
        </w:rPr>
        <w:t>,</w:t>
      </w:r>
      <w:r w:rsidRPr="009E54C1">
        <w:rPr>
          <w:rFonts w:cs="Times New Roman"/>
        </w:rPr>
        <w:t xml:space="preserve"> obrazovanja</w:t>
      </w:r>
      <w:r w:rsidR="00684C77" w:rsidRPr="009E54C1">
        <w:rPr>
          <w:rFonts w:cs="Times New Roman"/>
        </w:rPr>
        <w:t xml:space="preserve"> i mladih</w:t>
      </w:r>
      <w:r w:rsidR="002F7831" w:rsidRPr="009E54C1">
        <w:rPr>
          <w:rFonts w:cs="Times New Roman"/>
        </w:rPr>
        <w:t xml:space="preserve"> </w:t>
      </w:r>
      <w:r w:rsidRPr="009E54C1">
        <w:rPr>
          <w:rFonts w:cs="Times New Roman"/>
        </w:rPr>
        <w:t>utrošena su sredstva u ukupnom iznosu od 3.</w:t>
      </w:r>
      <w:r w:rsidR="009E54C1" w:rsidRPr="00423491">
        <w:rPr>
          <w:rFonts w:cs="Times New Roman"/>
        </w:rPr>
        <w:t>254.086,16</w:t>
      </w:r>
      <w:r w:rsidRPr="00204D02">
        <w:rPr>
          <w:rFonts w:cs="Times New Roman"/>
        </w:rPr>
        <w:t xml:space="preserve"> EUR</w:t>
      </w:r>
      <w:r w:rsidRPr="00637207">
        <w:rPr>
          <w:rFonts w:cs="Times New Roman"/>
          <w:b/>
        </w:rPr>
        <w:t xml:space="preserve"> </w:t>
      </w:r>
      <w:r w:rsidRPr="009E54C1">
        <w:rPr>
          <w:rFonts w:cs="Times New Roman"/>
        </w:rPr>
        <w:t xml:space="preserve">što je povećanje od </w:t>
      </w:r>
      <w:r w:rsidR="00903D19" w:rsidRPr="009E54C1">
        <w:rPr>
          <w:rFonts w:cs="Times New Roman"/>
        </w:rPr>
        <w:t>1</w:t>
      </w:r>
      <w:r w:rsidR="009E54C1" w:rsidRPr="00423491">
        <w:rPr>
          <w:rFonts w:cs="Times New Roman"/>
        </w:rPr>
        <w:t>0</w:t>
      </w:r>
      <w:r w:rsidR="00903D19" w:rsidRPr="00204D02">
        <w:rPr>
          <w:rFonts w:cs="Times New Roman"/>
        </w:rPr>
        <w:t>,</w:t>
      </w:r>
      <w:r w:rsidR="009E54C1" w:rsidRPr="00423491">
        <w:rPr>
          <w:rFonts w:cs="Times New Roman"/>
        </w:rPr>
        <w:t>92</w:t>
      </w:r>
      <w:r w:rsidR="00903D19" w:rsidRPr="00204D02">
        <w:rPr>
          <w:rFonts w:cs="Times New Roman"/>
        </w:rPr>
        <w:t xml:space="preserve"> % </w:t>
      </w:r>
      <w:r w:rsidRPr="00637207">
        <w:rPr>
          <w:rFonts w:cs="Times New Roman"/>
        </w:rPr>
        <w:t>u odnosu na 2023.</w:t>
      </w:r>
      <w:r w:rsidR="002720AC">
        <w:rPr>
          <w:rFonts w:cs="Times New Roman"/>
        </w:rPr>
        <w:t xml:space="preserve"> godinu</w:t>
      </w:r>
      <w:r w:rsidR="00F61A19" w:rsidRPr="009E54C1">
        <w:rPr>
          <w:rFonts w:cs="Times New Roman"/>
        </w:rPr>
        <w:t>, kada je ukupno utrošeno 2.980.829,14 EUR</w:t>
      </w:r>
      <w:r w:rsidRPr="009E54C1">
        <w:rPr>
          <w:rFonts w:cs="Times New Roman"/>
        </w:rPr>
        <w:t>.</w:t>
      </w:r>
    </w:p>
    <w:p w14:paraId="05E925E1" w14:textId="2FE53D7F" w:rsidR="002135D1" w:rsidRPr="002566F5" w:rsidRDefault="002135D1" w:rsidP="002135D1">
      <w:pPr>
        <w:autoSpaceDE w:val="0"/>
        <w:autoSpaceDN w:val="0"/>
        <w:adjustRightInd w:val="0"/>
        <w:spacing w:line="276" w:lineRule="auto"/>
        <w:jc w:val="both"/>
        <w:rPr>
          <w:rFonts w:cs="Times New Roman"/>
          <w:spacing w:val="-1"/>
        </w:rPr>
      </w:pPr>
      <w:r w:rsidRPr="002566F5">
        <w:rPr>
          <w:rFonts w:cs="Times New Roman"/>
          <w:spacing w:val="-1"/>
        </w:rPr>
        <w:t xml:space="preserve">I u 2024. </w:t>
      </w:r>
      <w:r w:rsidR="002720AC">
        <w:rPr>
          <w:rFonts w:cs="Times New Roman"/>
        </w:rPr>
        <w:t xml:space="preserve">godini </w:t>
      </w:r>
      <w:r w:rsidRPr="002566F5">
        <w:rPr>
          <w:rFonts w:cs="Times New Roman"/>
          <w:spacing w:val="-1"/>
        </w:rPr>
        <w:t>djeci pripadnicima romske nacionalne manjine osigurava</w:t>
      </w:r>
      <w:r w:rsidR="00294742">
        <w:rPr>
          <w:rFonts w:cs="Times New Roman"/>
          <w:spacing w:val="-1"/>
        </w:rPr>
        <w:t>lo</w:t>
      </w:r>
      <w:r w:rsidRPr="002566F5">
        <w:rPr>
          <w:rFonts w:cs="Times New Roman"/>
          <w:spacing w:val="-1"/>
        </w:rPr>
        <w:t xml:space="preserve"> se uključivanje u programe </w:t>
      </w:r>
      <w:r w:rsidRPr="006A5F4C">
        <w:rPr>
          <w:rFonts w:cs="Times New Roman"/>
          <w:spacing w:val="-1"/>
        </w:rPr>
        <w:t>predškolskog odgoja i predškole kako</w:t>
      </w:r>
      <w:r w:rsidRPr="002566F5">
        <w:rPr>
          <w:rFonts w:cs="Times New Roman"/>
          <w:spacing w:val="-1"/>
        </w:rPr>
        <w:t xml:space="preserve"> bi se premostio jaz između njihove socio-ekonomske situacije i mogućnosti za uspješnu integraciju tijekom daljnjeg obrazovanja. Tako je početkom </w:t>
      </w:r>
      <w:r w:rsidR="002720AC" w:rsidRPr="002566F5">
        <w:rPr>
          <w:rFonts w:cs="Times New Roman"/>
          <w:spacing w:val="-1"/>
        </w:rPr>
        <w:t xml:space="preserve">pedagoške godine </w:t>
      </w:r>
      <w:r w:rsidRPr="002566F5">
        <w:rPr>
          <w:rFonts w:cs="Times New Roman"/>
          <w:spacing w:val="-1"/>
        </w:rPr>
        <w:t>2023./2024. u programima predškolskog odgoja i predškole bilo uključeno ukupno 1.123 (588m</w:t>
      </w:r>
      <w:r w:rsidR="002720AC">
        <w:rPr>
          <w:rFonts w:cs="Times New Roman"/>
          <w:spacing w:val="-1"/>
        </w:rPr>
        <w:t>/</w:t>
      </w:r>
      <w:r w:rsidRPr="002566F5">
        <w:rPr>
          <w:rFonts w:cs="Times New Roman"/>
          <w:spacing w:val="-1"/>
        </w:rPr>
        <w:t xml:space="preserve">535ž) djece te je vidljivo povećanje zahtjeva od strane dječjih vrtića za sufinanciranje roditeljskog udjela u cijeni predškolskog odgoja. </w:t>
      </w:r>
    </w:p>
    <w:p w14:paraId="5C5ED399" w14:textId="2BF30B30" w:rsidR="002135D1" w:rsidRPr="002566F5" w:rsidRDefault="002135D1" w:rsidP="002135D1">
      <w:pPr>
        <w:spacing w:line="276" w:lineRule="auto"/>
        <w:jc w:val="both"/>
        <w:rPr>
          <w:rFonts w:cs="Times New Roman"/>
          <w:spacing w:val="-1"/>
        </w:rPr>
      </w:pPr>
      <w:r w:rsidRPr="002566F5">
        <w:rPr>
          <w:rFonts w:cs="Times New Roman"/>
          <w:spacing w:val="-1"/>
        </w:rPr>
        <w:t xml:space="preserve">U </w:t>
      </w:r>
      <w:r w:rsidRPr="006A5F4C">
        <w:rPr>
          <w:rFonts w:cs="Times New Roman"/>
          <w:spacing w:val="-1"/>
        </w:rPr>
        <w:t>osnovnoškolskom sustavu odgoja i obrazovanja</w:t>
      </w:r>
      <w:r w:rsidRPr="002566F5">
        <w:rPr>
          <w:rFonts w:cs="Times New Roman"/>
          <w:spacing w:val="-1"/>
        </w:rPr>
        <w:t xml:space="preserve"> krajem školske godine 2023./2024. bilo je uključeno 5.202 (2.604m/2.598ž) učenika, a vidljivo je značajno povećanje broja učenika koji pohađaju produženi boravak. Na kraju </w:t>
      </w:r>
      <w:r w:rsidR="00684C77">
        <w:rPr>
          <w:rFonts w:cs="Times New Roman"/>
          <w:spacing w:val="-1"/>
        </w:rPr>
        <w:t>školske</w:t>
      </w:r>
      <w:r w:rsidR="002F7831">
        <w:rPr>
          <w:rFonts w:cs="Times New Roman"/>
          <w:spacing w:val="-1"/>
        </w:rPr>
        <w:t xml:space="preserve"> </w:t>
      </w:r>
      <w:r w:rsidRPr="002566F5">
        <w:rPr>
          <w:rFonts w:cs="Times New Roman"/>
          <w:spacing w:val="-1"/>
        </w:rPr>
        <w:t>godine 2022./2023 u produženi boravak bila su uključena 572 učenika, dok ih je krajem</w:t>
      </w:r>
      <w:r w:rsidR="002F7831">
        <w:rPr>
          <w:rFonts w:cs="Times New Roman"/>
          <w:spacing w:val="-1"/>
        </w:rPr>
        <w:t xml:space="preserve"> </w:t>
      </w:r>
      <w:r w:rsidR="00684C77">
        <w:rPr>
          <w:rFonts w:cs="Times New Roman"/>
          <w:spacing w:val="-1"/>
        </w:rPr>
        <w:t xml:space="preserve">školske godine </w:t>
      </w:r>
      <w:r w:rsidRPr="002566F5">
        <w:rPr>
          <w:rFonts w:cs="Times New Roman"/>
          <w:spacing w:val="-1"/>
        </w:rPr>
        <w:t>2023./2024. uključeno 803. Osim osiguravanja produženog boravka</w:t>
      </w:r>
      <w:r w:rsidR="00AB32C4">
        <w:rPr>
          <w:rFonts w:cs="Times New Roman"/>
          <w:spacing w:val="-1"/>
        </w:rPr>
        <w:t>,</w:t>
      </w:r>
      <w:r w:rsidRPr="002566F5">
        <w:rPr>
          <w:rFonts w:cs="Times New Roman"/>
          <w:spacing w:val="-1"/>
        </w:rPr>
        <w:t xml:space="preserve"> učenicima se osigurava posebna pomoć u učenju hrvatskoga jezika za učenike koji ne poznaju ili nedovoljno poznaju hrvatski jezik. I u 2024. </w:t>
      </w:r>
      <w:r w:rsidR="002720AC">
        <w:rPr>
          <w:rFonts w:cs="Times New Roman"/>
        </w:rPr>
        <w:t xml:space="preserve">godini </w:t>
      </w:r>
      <w:r w:rsidRPr="002566F5">
        <w:rPr>
          <w:rFonts w:cs="Times New Roman"/>
          <w:spacing w:val="-1"/>
        </w:rPr>
        <w:t>u osnovnim školama uključena su 22 romska pomagača čiji se rad financira iz državnog proračuna Republike Hrvatske. Osim navedenog</w:t>
      </w:r>
      <w:r w:rsidR="002720AC">
        <w:rPr>
          <w:rFonts w:cs="Times New Roman"/>
          <w:spacing w:val="-1"/>
        </w:rPr>
        <w:t>a</w:t>
      </w:r>
      <w:r w:rsidR="00AB32C4">
        <w:rPr>
          <w:rFonts w:cs="Times New Roman"/>
          <w:spacing w:val="-1"/>
        </w:rPr>
        <w:t>,</w:t>
      </w:r>
      <w:r w:rsidRPr="002566F5">
        <w:rPr>
          <w:rFonts w:cs="Times New Roman"/>
          <w:spacing w:val="-1"/>
        </w:rPr>
        <w:t xml:space="preserve"> osigurava se provedba izvanučioničke nastave te različitih edukativnih aktivnosti koje provode odgojno-obrazovne ustanove. To je iznimno važno, budući da sve navedene aktivnosti predstavljaju preduvjet integracije, ali i uspješnijeg </w:t>
      </w:r>
      <w:r w:rsidRPr="002566F5">
        <w:rPr>
          <w:rFonts w:cs="Times New Roman"/>
          <w:spacing w:val="-1"/>
        </w:rPr>
        <w:lastRenderedPageBreak/>
        <w:t>završetka osnovnog obrazovanja te su potrebni dodatni napori za postizanje adekvatne pripreme učenika za ulazak</w:t>
      </w:r>
      <w:r w:rsidR="00AB32C4">
        <w:rPr>
          <w:rFonts w:cs="Times New Roman"/>
          <w:spacing w:val="-1"/>
        </w:rPr>
        <w:t>,</w:t>
      </w:r>
      <w:r w:rsidRPr="002566F5">
        <w:rPr>
          <w:rFonts w:cs="Times New Roman"/>
          <w:spacing w:val="-1"/>
        </w:rPr>
        <w:t xml:space="preserve"> zadržavanje u sustavu obrazovanja kao i uspješno završavanje osnovnog obrazovanja.</w:t>
      </w:r>
    </w:p>
    <w:p w14:paraId="3CE86A86" w14:textId="04F2427A" w:rsidR="002135D1" w:rsidRPr="002566F5" w:rsidRDefault="002135D1" w:rsidP="002135D1">
      <w:pPr>
        <w:spacing w:line="276" w:lineRule="auto"/>
        <w:jc w:val="both"/>
        <w:rPr>
          <w:rFonts w:cs="Times New Roman"/>
          <w:spacing w:val="-1"/>
        </w:rPr>
      </w:pPr>
      <w:r w:rsidRPr="00AB32C4">
        <w:rPr>
          <w:rFonts w:cs="Times New Roman"/>
          <w:spacing w:val="-1"/>
        </w:rPr>
        <w:t xml:space="preserve">U osnovnoškolskom obrazovanju i dalje izazov predstavlja formiranje razrednih odjela koje pohađaju samo učenici pripadnici romske nacionalne manjine. Krajem </w:t>
      </w:r>
      <w:r w:rsidR="002720AC" w:rsidRPr="002566F5">
        <w:rPr>
          <w:rFonts w:cs="Times New Roman"/>
          <w:spacing w:val="-1"/>
        </w:rPr>
        <w:t>školske godine</w:t>
      </w:r>
      <w:r w:rsidR="002720AC" w:rsidRPr="00AB32C4">
        <w:rPr>
          <w:rFonts w:cs="Times New Roman"/>
          <w:spacing w:val="-1"/>
        </w:rPr>
        <w:t xml:space="preserve"> </w:t>
      </w:r>
      <w:r w:rsidRPr="00AB32C4">
        <w:rPr>
          <w:rFonts w:cs="Times New Roman"/>
          <w:spacing w:val="-1"/>
        </w:rPr>
        <w:t>2023./2024.</w:t>
      </w:r>
      <w:r w:rsidRPr="002566F5">
        <w:rPr>
          <w:rFonts w:cs="Times New Roman"/>
          <w:spacing w:val="-1"/>
        </w:rPr>
        <w:t xml:space="preserve"> takvi odjeli postoj</w:t>
      </w:r>
      <w:r w:rsidR="00AB32C4">
        <w:rPr>
          <w:rFonts w:cs="Times New Roman"/>
          <w:spacing w:val="-1"/>
        </w:rPr>
        <w:t>ali su</w:t>
      </w:r>
      <w:r w:rsidRPr="002566F5">
        <w:rPr>
          <w:rFonts w:cs="Times New Roman"/>
          <w:spacing w:val="-1"/>
        </w:rPr>
        <w:t xml:space="preserve"> u devet osnovnih škola u četiri županije (Varaždinska, Primorsko-goranska, Brodsko-posavska i Međimurska županija). U odnosu na formiranje razrednih odjela s većim brojem učenika pripadnika romske nacionalne manjine te postojanje odjela u kojima su samo učenici pripadnici romske nacionalne manjine, važno je istaknuti činjenicu kako je formiranje takvih odjela vezano uz stanovanje tj. uz postojanje segregiranih romskih naselja u kojima žive pripadnici romske nacionalne manjine. S tim u svezi, također valja napomenuti i kako u navedenim osnovnim školama ne postoje razredni odjeli formirani isključivo s učenicima većinskog naroda. Osim navedenoga, valja uzeti u obzir i činjenicu kako u pojedinim školama postoji tendencija ispisivanja učenika većinskoga naroda pri čemu ne postoji mogućnost formiranja mješovitih razrednih odjela. Ministarstvo znanosti, obrazovanja i mladih u narednom razdoblju razmotrit će sve prijedloge osnivača školskih ustanova te drugih ključnih dionika odgojno-obrazovnog sustava kao i preporuke pravobraniteljskih institucija kao tijela nadležnih za suzbijanje diskriminacije, a kako bi se zajedničkim naporima i međuresornom suradnjom pronašlo zadovoljavajuće rješenje imajući u vidu te poštujući potrebe te prava i obveze kako manjinske tako i većinske zajednice na područjima s većim brojem pripadnika romske nacionalne manjine.</w:t>
      </w:r>
    </w:p>
    <w:p w14:paraId="3B4B7DA2" w14:textId="39DFA55B" w:rsidR="002135D1" w:rsidRPr="002566F5" w:rsidRDefault="002135D1" w:rsidP="002135D1">
      <w:pPr>
        <w:spacing w:line="276" w:lineRule="auto"/>
        <w:jc w:val="both"/>
        <w:rPr>
          <w:rFonts w:cs="Times New Roman"/>
        </w:rPr>
      </w:pPr>
      <w:r w:rsidRPr="00AB32C4">
        <w:rPr>
          <w:rFonts w:cs="Times New Roman"/>
          <w:spacing w:val="-1"/>
        </w:rPr>
        <w:t xml:space="preserve">U srednjoškolskom obrazovanju </w:t>
      </w:r>
      <w:r w:rsidRPr="00AB32C4">
        <w:rPr>
          <w:rFonts w:cs="Times New Roman"/>
        </w:rPr>
        <w:t xml:space="preserve">podaci pokazuju kako je obuhvat učenika srednjih škola i dalje nizak. Tako je krajem </w:t>
      </w:r>
      <w:r w:rsidR="002720AC">
        <w:rPr>
          <w:rFonts w:cs="Times New Roman"/>
        </w:rPr>
        <w:t>školske godine</w:t>
      </w:r>
      <w:r w:rsidR="002720AC" w:rsidRPr="00AB32C4">
        <w:rPr>
          <w:rFonts w:cs="Times New Roman"/>
        </w:rPr>
        <w:t xml:space="preserve"> </w:t>
      </w:r>
      <w:r w:rsidRPr="00AB32C4">
        <w:rPr>
          <w:rFonts w:cs="Times New Roman"/>
        </w:rPr>
        <w:t>2023./2024.</w:t>
      </w:r>
      <w:r w:rsidR="00684C77">
        <w:rPr>
          <w:rFonts w:cs="Times New Roman"/>
        </w:rPr>
        <w:t xml:space="preserve"> </w:t>
      </w:r>
      <w:r w:rsidRPr="00AB32C4">
        <w:rPr>
          <w:rFonts w:cs="Times New Roman"/>
        </w:rPr>
        <w:t>u srednjoškolske programe upisano</w:t>
      </w:r>
      <w:r w:rsidRPr="002566F5">
        <w:rPr>
          <w:rFonts w:cs="Times New Roman"/>
        </w:rPr>
        <w:t xml:space="preserve"> 694 (354m/340ž) učenika, </w:t>
      </w:r>
      <w:r w:rsidR="007573F1">
        <w:rPr>
          <w:rFonts w:cs="Times New Roman"/>
        </w:rPr>
        <w:t>za 32 učenika osiguran</w:t>
      </w:r>
      <w:r w:rsidR="002F7831">
        <w:rPr>
          <w:rFonts w:cs="Times New Roman"/>
        </w:rPr>
        <w:t xml:space="preserve"> </w:t>
      </w:r>
      <w:r w:rsidR="007573F1">
        <w:rPr>
          <w:rFonts w:cs="Times New Roman"/>
        </w:rPr>
        <w:t xml:space="preserve">je smještaj u učenički dom, </w:t>
      </w:r>
      <w:r w:rsidRPr="002566F5">
        <w:rPr>
          <w:rFonts w:cs="Times New Roman"/>
        </w:rPr>
        <w:t>no postignuti su pomaci povećanjem iznosa srednjoškolskih stipendija od školske godine 2023./2024</w:t>
      </w:r>
      <w:r w:rsidRPr="008339D8">
        <w:rPr>
          <w:rFonts w:cs="Times New Roman"/>
        </w:rPr>
        <w:t xml:space="preserve">. </w:t>
      </w:r>
      <w:r w:rsidR="007573F1" w:rsidRPr="008339D8">
        <w:rPr>
          <w:rFonts w:cs="Times New Roman"/>
        </w:rPr>
        <w:t xml:space="preserve">koju prima </w:t>
      </w:r>
      <w:r w:rsidR="008339D8" w:rsidRPr="008339D8">
        <w:rPr>
          <w:rFonts w:cs="Times New Roman"/>
        </w:rPr>
        <w:t>641</w:t>
      </w:r>
      <w:r w:rsidR="007573F1" w:rsidRPr="008339D8">
        <w:rPr>
          <w:rFonts w:cs="Times New Roman"/>
        </w:rPr>
        <w:t xml:space="preserve"> učenika </w:t>
      </w:r>
      <w:r w:rsidRPr="008339D8">
        <w:rPr>
          <w:rFonts w:cs="Times New Roman"/>
        </w:rPr>
        <w:t>te</w:t>
      </w:r>
      <w:r w:rsidRPr="002566F5">
        <w:rPr>
          <w:rFonts w:cs="Times New Roman"/>
        </w:rPr>
        <w:t xml:space="preserve"> osiguravanjem jednokratne novčane pomoći za završetak srednjoškolskog obrazovanja. U 2024. </w:t>
      </w:r>
      <w:r w:rsidR="002720AC">
        <w:rPr>
          <w:rFonts w:cs="Times New Roman"/>
        </w:rPr>
        <w:t xml:space="preserve">godini </w:t>
      </w:r>
      <w:r w:rsidRPr="002566F5">
        <w:rPr>
          <w:rFonts w:cs="Times New Roman"/>
        </w:rPr>
        <w:t xml:space="preserve">jednokratnu novčanu pomoć za završetak srednjoškolskog obrazovanja primilo je 79 učenika. U narednom razdoblju poduzet će se dodatne aktivnosti kako bi se povećao obuhvat učenika koji upisuju srednje škole, kao i onih kojima se osigurava jednokratna novčana pomoć za završetak srednjoškolskog obrazovanja. </w:t>
      </w:r>
    </w:p>
    <w:p w14:paraId="5A1F795B" w14:textId="11851C39" w:rsidR="002135D1" w:rsidRPr="002566F5" w:rsidRDefault="002135D1" w:rsidP="002135D1">
      <w:pPr>
        <w:spacing w:line="276" w:lineRule="auto"/>
        <w:jc w:val="both"/>
        <w:rPr>
          <w:rFonts w:cs="Times New Roman"/>
        </w:rPr>
      </w:pPr>
      <w:r w:rsidRPr="00AB32C4">
        <w:rPr>
          <w:rFonts w:cs="Times New Roman"/>
        </w:rPr>
        <w:t>U visokom obrazovanju</w:t>
      </w:r>
      <w:r w:rsidRPr="002566F5">
        <w:rPr>
          <w:rFonts w:cs="Times New Roman"/>
        </w:rPr>
        <w:t xml:space="preserve"> vidljivo je povećanje broja studenata pripadnika romske nacionalne manjine na što je svakako utjecalo i povećanje iznosa studentskih stipendija kako bi se dodatno potaknulo završavanje srednjoškolskih programa te upis većeg broja pripadnika romske nacionalne manjine na visoka učilišta. Tako je u </w:t>
      </w:r>
      <w:r w:rsidR="002720AC" w:rsidRPr="002566F5">
        <w:rPr>
          <w:rFonts w:cs="Times New Roman"/>
        </w:rPr>
        <w:t xml:space="preserve">akademskoj godini </w:t>
      </w:r>
      <w:r w:rsidRPr="002566F5">
        <w:rPr>
          <w:rFonts w:cs="Times New Roman"/>
        </w:rPr>
        <w:t>2023./2024. državnu stipendiju primalo 55 studenata</w:t>
      </w:r>
      <w:r w:rsidR="00D05339">
        <w:rPr>
          <w:rFonts w:cs="Times New Roman"/>
        </w:rPr>
        <w:t>, a za 18 studenata je bio osiguran smještaj u studentskom domu</w:t>
      </w:r>
      <w:r w:rsidRPr="002566F5">
        <w:rPr>
          <w:rFonts w:cs="Times New Roman"/>
        </w:rPr>
        <w:t>.</w:t>
      </w:r>
    </w:p>
    <w:p w14:paraId="047F792B" w14:textId="3A86B4E6" w:rsidR="002135D1" w:rsidRPr="002566F5" w:rsidRDefault="00294742" w:rsidP="002135D1">
      <w:pPr>
        <w:spacing w:line="276" w:lineRule="auto"/>
        <w:jc w:val="both"/>
        <w:rPr>
          <w:rFonts w:cs="Times New Roman"/>
          <w:szCs w:val="24"/>
        </w:rPr>
      </w:pPr>
      <w:r>
        <w:rPr>
          <w:rFonts w:cs="Times New Roman"/>
        </w:rPr>
        <w:t>Z</w:t>
      </w:r>
      <w:r w:rsidR="002135D1" w:rsidRPr="002566F5">
        <w:rPr>
          <w:rFonts w:cs="Times New Roman"/>
        </w:rPr>
        <w:t xml:space="preserve">načajan pomak učinjen je donošenjem Kurikuluma za nastavni predmet </w:t>
      </w:r>
      <w:r w:rsidR="002135D1" w:rsidRPr="002566F5">
        <w:rPr>
          <w:rFonts w:cs="Times New Roman"/>
          <w:i/>
        </w:rPr>
        <w:t>Jezik i kultura romske nacionalne manjine u osnovnim i srednjim školama u Republici Hrvatskoj (model C)</w:t>
      </w:r>
      <w:r w:rsidR="002135D1" w:rsidRPr="002566F5">
        <w:rPr>
          <w:rFonts w:cs="Times New Roman"/>
        </w:rPr>
        <w:t xml:space="preserve"> čime je </w:t>
      </w:r>
      <w:r w:rsidR="002135D1" w:rsidRPr="002720AC">
        <w:rPr>
          <w:rFonts w:cs="Times New Roman"/>
          <w:highlight w:val="red"/>
        </w:rPr>
        <w:t>je</w:t>
      </w:r>
      <w:r w:rsidR="002135D1" w:rsidRPr="002566F5">
        <w:rPr>
          <w:rFonts w:cs="Times New Roman"/>
        </w:rPr>
        <w:t xml:space="preserve"> omogućeno učenje materinskog jezika, ravnopravno za oba modula (</w:t>
      </w:r>
      <w:proofErr w:type="spellStart"/>
      <w:r w:rsidR="002135D1" w:rsidRPr="002566F5">
        <w:rPr>
          <w:rFonts w:cs="Times New Roman"/>
          <w:i/>
        </w:rPr>
        <w:t>bajaški</w:t>
      </w:r>
      <w:proofErr w:type="spellEnd"/>
      <w:r w:rsidR="00DE0E20">
        <w:rPr>
          <w:rFonts w:cs="Times New Roman"/>
          <w:i/>
        </w:rPr>
        <w:t xml:space="preserve"> rumunjski</w:t>
      </w:r>
      <w:r w:rsidR="002135D1" w:rsidRPr="002566F5">
        <w:rPr>
          <w:rFonts w:cs="Times New Roman"/>
        </w:rPr>
        <w:t xml:space="preserve"> i </w:t>
      </w:r>
      <w:r w:rsidR="002135D1" w:rsidRPr="002566F5">
        <w:rPr>
          <w:rFonts w:cs="Times New Roman"/>
          <w:i/>
        </w:rPr>
        <w:t xml:space="preserve">romani </w:t>
      </w:r>
      <w:proofErr w:type="spellStart"/>
      <w:r w:rsidR="002135D1" w:rsidRPr="002566F5">
        <w:rPr>
          <w:rFonts w:cs="Times New Roman"/>
          <w:i/>
        </w:rPr>
        <w:t>chib</w:t>
      </w:r>
      <w:proofErr w:type="spellEnd"/>
      <w:r w:rsidR="002135D1" w:rsidRPr="002566F5">
        <w:rPr>
          <w:rFonts w:cs="Times New Roman"/>
        </w:rPr>
        <w:t xml:space="preserve">). Donošenjem navedenog kurikuluma učinjen je značajan iskorak i napredak za pripadnike romske nacionalne manjine u očuvanju jezika, tradicije i kulturnog identiteta. Na kraju školske godine 2023./2024. nastavni predmet Jezik i kultura romske nacionalne manjine (model C) pohađala su ukupno 94 učenika te su u narednom razdoblju planirane dodatne aktivnosti kako </w:t>
      </w:r>
      <w:r w:rsidR="002135D1" w:rsidRPr="002566F5">
        <w:rPr>
          <w:rFonts w:cs="Times New Roman"/>
        </w:rPr>
        <w:lastRenderedPageBreak/>
        <w:t>bi se potaknulo učenike da se uključuju u pohađanje nastavnog predmeta te se osigurao ustroj nastave i u drugim školama u kojima postoji potreba za navedeno.</w:t>
      </w:r>
    </w:p>
    <w:p w14:paraId="295829AF" w14:textId="7B9A8ECC" w:rsidR="002135D1" w:rsidRDefault="002135D1" w:rsidP="002135D1">
      <w:pPr>
        <w:spacing w:line="276" w:lineRule="auto"/>
        <w:jc w:val="both"/>
        <w:rPr>
          <w:rFonts w:cs="Times New Roman"/>
        </w:rPr>
      </w:pPr>
      <w:r w:rsidRPr="002566F5">
        <w:rPr>
          <w:rFonts w:cs="Times New Roman"/>
        </w:rPr>
        <w:t xml:space="preserve">Putem Javnog </w:t>
      </w:r>
      <w:r w:rsidRPr="00A6230E">
        <w:rPr>
          <w:rFonts w:cs="Times New Roman"/>
        </w:rPr>
        <w:t>poziva za sufinanciranje posebnih programa</w:t>
      </w:r>
      <w:r w:rsidRPr="002566F5">
        <w:rPr>
          <w:rFonts w:cs="Times New Roman"/>
        </w:rPr>
        <w:t xml:space="preserve"> nacionalnih manjina u 2024.</w:t>
      </w:r>
      <w:r w:rsidR="00CD02EB">
        <w:rPr>
          <w:rFonts w:cs="Times New Roman"/>
        </w:rPr>
        <w:t xml:space="preserve"> godini</w:t>
      </w:r>
      <w:r w:rsidRPr="002566F5">
        <w:rPr>
          <w:rFonts w:cs="Times New Roman"/>
        </w:rPr>
        <w:t xml:space="preserve"> Ministarstvo znanosti, obrazovanja i mladih sufinanciralo je provedbu pet programa Saveza Roma u Republici Hrvatskoj „Kali Sara“. Osim navedenoga</w:t>
      </w:r>
      <w:r w:rsidR="00D2624F">
        <w:rPr>
          <w:rFonts w:cs="Times New Roman"/>
        </w:rPr>
        <w:t>,</w:t>
      </w:r>
      <w:r w:rsidRPr="002566F5">
        <w:rPr>
          <w:rFonts w:cs="Times New Roman"/>
        </w:rPr>
        <w:t xml:space="preserve"> sufinancirana su dva programa Pučkog otvorenog učilišta „Korak po korak“ te po jedan program Osnovne škole prof. Franje Viktora Šignjara, Virje i Udruge Romski nacionalni forum, Beli Manastir. Sufinanciranje ovakvih posebnih programa značajno je jer se njima povećava mogućnost da učenici izvan redovitoga odgojno-obrazovnog sustava steknu znanje i vještine u skladu sa svojim interesima i sposobnostima. </w:t>
      </w:r>
    </w:p>
    <w:p w14:paraId="6771C56E" w14:textId="192F1408" w:rsidR="00E90197" w:rsidRPr="002566F5" w:rsidRDefault="00E90197" w:rsidP="002135D1">
      <w:pPr>
        <w:spacing w:line="276" w:lineRule="auto"/>
        <w:jc w:val="both"/>
        <w:rPr>
          <w:rFonts w:cs="Times New Roman"/>
        </w:rPr>
      </w:pPr>
      <w:r>
        <w:rPr>
          <w:rFonts w:cs="Times New Roman"/>
        </w:rPr>
        <w:t xml:space="preserve">Također, </w:t>
      </w:r>
      <w:r w:rsidRPr="00E90197">
        <w:rPr>
          <w:rFonts w:cs="Times New Roman"/>
        </w:rPr>
        <w:t>Ministarstvo znanosti, obrazov</w:t>
      </w:r>
      <w:r>
        <w:rPr>
          <w:rFonts w:cs="Times New Roman"/>
        </w:rPr>
        <w:t>a</w:t>
      </w:r>
      <w:r w:rsidRPr="00E90197">
        <w:rPr>
          <w:rFonts w:cs="Times New Roman"/>
        </w:rPr>
        <w:t>nja i mladih financira osnovno obrazovanje odraslih i osposobljavanje za jednostavnije poslove u zanimanjima za odrasle pripadnike romske nacionalne manjine kako bi se osigurali preduvjet</w:t>
      </w:r>
      <w:r>
        <w:rPr>
          <w:rFonts w:cs="Times New Roman"/>
        </w:rPr>
        <w:t>i</w:t>
      </w:r>
      <w:r w:rsidRPr="00E90197">
        <w:rPr>
          <w:rFonts w:cs="Times New Roman"/>
        </w:rPr>
        <w:t xml:space="preserve"> za povećanje uključenosti odraslih osoba u procese cje</w:t>
      </w:r>
      <w:r>
        <w:rPr>
          <w:rFonts w:cs="Times New Roman"/>
        </w:rPr>
        <w:t>loživotnog učenja te unaprijedili i proširil</w:t>
      </w:r>
      <w:r w:rsidRPr="00E90197">
        <w:rPr>
          <w:rFonts w:cs="Times New Roman"/>
        </w:rPr>
        <w:t xml:space="preserve">i obrazovanje i osposobljavanje pripadnika romske nacionalne manjine. U 2024. </w:t>
      </w:r>
      <w:r w:rsidR="00CD02EB">
        <w:rPr>
          <w:rFonts w:cs="Times New Roman"/>
        </w:rPr>
        <w:t>godini</w:t>
      </w:r>
      <w:r w:rsidR="00CD02EB" w:rsidRPr="002566F5">
        <w:rPr>
          <w:rFonts w:cs="Times New Roman"/>
        </w:rPr>
        <w:t xml:space="preserve"> </w:t>
      </w:r>
      <w:r w:rsidRPr="00E90197">
        <w:rPr>
          <w:rFonts w:cs="Times New Roman"/>
        </w:rPr>
        <w:t>u navedenim aktivnostima sudjelovalo je 37 odraslih Roma koji su uspješno završili programe obrazovanja</w:t>
      </w:r>
      <w:r>
        <w:rPr>
          <w:rFonts w:cs="Times New Roman"/>
        </w:rPr>
        <w:t>.</w:t>
      </w:r>
    </w:p>
    <w:p w14:paraId="3643E7DB" w14:textId="256737FD" w:rsidR="002135D1" w:rsidRPr="002566F5" w:rsidRDefault="002135D1" w:rsidP="002135D1">
      <w:pPr>
        <w:spacing w:line="276" w:lineRule="auto"/>
        <w:jc w:val="both"/>
        <w:rPr>
          <w:rFonts w:eastAsia="Calibri" w:cs="Times New Roman"/>
          <w:i/>
          <w:iCs/>
        </w:rPr>
      </w:pPr>
      <w:r w:rsidRPr="002566F5">
        <w:rPr>
          <w:rFonts w:eastAsia="Calibri" w:cs="Times New Roman"/>
        </w:rPr>
        <w:t xml:space="preserve">Ministarstvo znanosti, obrazovanja i mladih tijekom 2024. </w:t>
      </w:r>
      <w:r w:rsidR="00CD02EB">
        <w:rPr>
          <w:rFonts w:cs="Times New Roman"/>
        </w:rPr>
        <w:t>godine</w:t>
      </w:r>
      <w:r w:rsidR="00CD02EB" w:rsidRPr="002566F5">
        <w:rPr>
          <w:rFonts w:cs="Times New Roman"/>
        </w:rPr>
        <w:t xml:space="preserve"> </w:t>
      </w:r>
      <w:r w:rsidRPr="002566F5">
        <w:rPr>
          <w:rFonts w:eastAsia="Calibri" w:cs="Times New Roman"/>
        </w:rPr>
        <w:t xml:space="preserve">sudjelovalo je u pripremama projekata za novo financijsko razdoblje u okviru Programa </w:t>
      </w:r>
      <w:r w:rsidR="009C4B7C">
        <w:rPr>
          <w:rFonts w:eastAsia="Calibri" w:cs="Times New Roman"/>
        </w:rPr>
        <w:t>„</w:t>
      </w:r>
      <w:r w:rsidRPr="002566F5">
        <w:rPr>
          <w:rFonts w:eastAsia="Calibri" w:cs="Times New Roman"/>
        </w:rPr>
        <w:t>Učinkoviti ljudski potencijali 2021.</w:t>
      </w:r>
      <w:r w:rsidR="009C4B7C">
        <w:rPr>
          <w:rFonts w:eastAsia="Calibri" w:cs="Times New Roman"/>
        </w:rPr>
        <w:t xml:space="preserve"> </w:t>
      </w:r>
      <w:r w:rsidRPr="002566F5">
        <w:rPr>
          <w:rFonts w:eastAsia="Calibri" w:cs="Times New Roman"/>
        </w:rPr>
        <w:t>-</w:t>
      </w:r>
      <w:r w:rsidR="009C4B7C">
        <w:rPr>
          <w:rFonts w:eastAsia="Calibri" w:cs="Times New Roman"/>
        </w:rPr>
        <w:t xml:space="preserve"> </w:t>
      </w:r>
      <w:r w:rsidRPr="002566F5">
        <w:rPr>
          <w:rFonts w:eastAsia="Calibri" w:cs="Times New Roman"/>
        </w:rPr>
        <w:t>2027.</w:t>
      </w:r>
      <w:r w:rsidR="009C4B7C">
        <w:rPr>
          <w:rFonts w:eastAsia="Calibri" w:cs="Times New Roman"/>
        </w:rPr>
        <w:t>“</w:t>
      </w:r>
      <w:r w:rsidR="00635859">
        <w:rPr>
          <w:rFonts w:eastAsia="Calibri" w:cs="Times New Roman"/>
        </w:rPr>
        <w:t xml:space="preserve"> </w:t>
      </w:r>
      <w:r w:rsidRPr="002566F5">
        <w:rPr>
          <w:rFonts w:eastAsia="Calibri" w:cs="Times New Roman"/>
        </w:rPr>
        <w:t>te je planirana provedba različitih aktivnosti za pripadnike romske nacionalne manjine</w:t>
      </w:r>
      <w:r w:rsidRPr="002566F5">
        <w:rPr>
          <w:rFonts w:eastAsia="Calibri" w:cs="Times New Roman"/>
          <w:iCs/>
        </w:rPr>
        <w:t xml:space="preserve"> u okviru poziva </w:t>
      </w:r>
      <w:r w:rsidRPr="002566F5">
        <w:rPr>
          <w:rFonts w:eastAsia="Calibri" w:cs="Times New Roman"/>
          <w:i/>
          <w:iCs/>
        </w:rPr>
        <w:t xml:space="preserve">Potpora obrazovanju djece i učenika romske nacionalne manjine. </w:t>
      </w:r>
    </w:p>
    <w:p w14:paraId="2F66A7F0" w14:textId="5C203DDC" w:rsidR="00515644" w:rsidRPr="007573F1" w:rsidRDefault="002135D1" w:rsidP="00FC64BF">
      <w:pPr>
        <w:autoSpaceDE w:val="0"/>
        <w:autoSpaceDN w:val="0"/>
        <w:adjustRightInd w:val="0"/>
        <w:spacing w:after="0" w:line="276" w:lineRule="auto"/>
        <w:jc w:val="both"/>
        <w:rPr>
          <w:rFonts w:cs="Times New Roman"/>
          <w:szCs w:val="24"/>
        </w:rPr>
      </w:pPr>
      <w:r w:rsidRPr="002566F5">
        <w:rPr>
          <w:rFonts w:cs="Times New Roman"/>
        </w:rPr>
        <w:t>U narednom razdoblju nastavit će se provedba svih postojećih aktivnosti. Sve mjere koje se provode održive su te je provedba planiranih daljnjih aktivnosti iznimno važna u sprečavanju preuranjenog napuštanja školovanja učenika pripadnika romske nacionalne manjine, ali i podizanja razine svijesti o važnosti obrazovanja. Ministarstvo znanosti, obrazovanja i mladih i nadalje će provedbom posebnih aktivnosti ulagati dodatne napore za osiguravanjem kvalitetnog i inkluzivnog obrazovanje djece pripadnika romske nacionalne manjine, a imajući u vidu kompleksnost i sveobuhvatnost svih resursa, ali i angažman svih dionika koji je nužno potreban za ostvarivanje postavljenih ciljeva.</w:t>
      </w:r>
    </w:p>
    <w:p w14:paraId="5543A3BF" w14:textId="77777777" w:rsidR="00515644" w:rsidRPr="007573F1" w:rsidRDefault="00515644" w:rsidP="00D36147">
      <w:pPr>
        <w:spacing w:after="0" w:line="276" w:lineRule="auto"/>
        <w:jc w:val="both"/>
        <w:rPr>
          <w:rFonts w:cs="Times New Roman"/>
          <w:szCs w:val="24"/>
        </w:rPr>
      </w:pPr>
    </w:p>
    <w:p w14:paraId="68E79A66" w14:textId="205C46FA" w:rsidR="007573F1" w:rsidRPr="00D2624F" w:rsidRDefault="00515644" w:rsidP="00D36147">
      <w:pPr>
        <w:spacing w:after="0" w:line="276" w:lineRule="auto"/>
        <w:jc w:val="both"/>
        <w:rPr>
          <w:rFonts w:cs="Times New Roman"/>
          <w:szCs w:val="24"/>
        </w:rPr>
      </w:pPr>
      <w:r w:rsidRPr="007573F1">
        <w:rPr>
          <w:rFonts w:cs="Times New Roman"/>
          <w:szCs w:val="24"/>
        </w:rPr>
        <w:t xml:space="preserve">Agencija za odgoj i obrazovanje </w:t>
      </w:r>
      <w:r w:rsidR="007573F1" w:rsidRPr="007573F1">
        <w:rPr>
          <w:rFonts w:cs="Times New Roman"/>
          <w:szCs w:val="24"/>
        </w:rPr>
        <w:t>organizirala je dva stručna usavršavanj</w:t>
      </w:r>
      <w:r w:rsidR="007573F1">
        <w:rPr>
          <w:rFonts w:cs="Times New Roman"/>
          <w:szCs w:val="24"/>
        </w:rPr>
        <w:t>a</w:t>
      </w:r>
      <w:r w:rsidR="007573F1" w:rsidRPr="007573F1">
        <w:rPr>
          <w:rFonts w:cs="Times New Roman"/>
          <w:szCs w:val="24"/>
        </w:rPr>
        <w:t xml:space="preserve"> romskih suradnika pomagača, učitelja i stručnih suradnika u osnovnim školama</w:t>
      </w:r>
      <w:r w:rsidR="007573F1">
        <w:rPr>
          <w:rFonts w:cs="Times New Roman"/>
          <w:szCs w:val="24"/>
        </w:rPr>
        <w:t>, s ukupno 43 sudionika, jedno s temom o m</w:t>
      </w:r>
      <w:r w:rsidR="007573F1" w:rsidRPr="007573F1">
        <w:rPr>
          <w:rFonts w:cs="Times New Roman"/>
          <w:szCs w:val="24"/>
        </w:rPr>
        <w:t>aterijali</w:t>
      </w:r>
      <w:r w:rsidR="007573F1">
        <w:rPr>
          <w:rFonts w:cs="Times New Roman"/>
          <w:szCs w:val="24"/>
        </w:rPr>
        <w:t>ma</w:t>
      </w:r>
      <w:r w:rsidR="007573F1" w:rsidRPr="007573F1">
        <w:rPr>
          <w:rFonts w:cs="Times New Roman"/>
          <w:szCs w:val="24"/>
        </w:rPr>
        <w:t xml:space="preserve"> Vijeća Europe </w:t>
      </w:r>
      <w:r w:rsidR="00CD02EB">
        <w:rPr>
          <w:rFonts w:cs="Times New Roman"/>
          <w:szCs w:val="24"/>
        </w:rPr>
        <w:t>„</w:t>
      </w:r>
      <w:r w:rsidR="007573F1" w:rsidRPr="007573F1">
        <w:rPr>
          <w:rFonts w:cs="Times New Roman"/>
          <w:szCs w:val="24"/>
        </w:rPr>
        <w:t xml:space="preserve">Živjeti demokraciju” kao vodič za rad s učenicima </w:t>
      </w:r>
      <w:r w:rsidR="007573F1" w:rsidRPr="00D2624F">
        <w:rPr>
          <w:rFonts w:cs="Times New Roman"/>
          <w:szCs w:val="24"/>
        </w:rPr>
        <w:t xml:space="preserve">osnovnih škola te drugo na temu Strategija suradničkog učenja i motiviranje učenika za učenje. </w:t>
      </w:r>
    </w:p>
    <w:p w14:paraId="53514FEC" w14:textId="77777777" w:rsidR="0060393D" w:rsidRPr="00D2624F" w:rsidRDefault="0060393D" w:rsidP="00D36147">
      <w:pPr>
        <w:spacing w:after="0" w:line="276" w:lineRule="auto"/>
        <w:jc w:val="both"/>
        <w:rPr>
          <w:rFonts w:cs="Times New Roman"/>
          <w:szCs w:val="24"/>
        </w:rPr>
      </w:pPr>
    </w:p>
    <w:p w14:paraId="2F9C1413" w14:textId="1FC08C89" w:rsidR="006B358F" w:rsidRDefault="00841CC7" w:rsidP="00D36147">
      <w:pPr>
        <w:spacing w:after="0" w:line="276" w:lineRule="auto"/>
        <w:jc w:val="both"/>
        <w:rPr>
          <w:rFonts w:cs="Times New Roman"/>
          <w:szCs w:val="24"/>
        </w:rPr>
      </w:pPr>
      <w:r>
        <w:rPr>
          <w:rFonts w:cs="Times New Roman"/>
          <w:szCs w:val="24"/>
        </w:rPr>
        <w:t>Ured</w:t>
      </w:r>
      <w:r w:rsidR="00C7292F">
        <w:rPr>
          <w:rFonts w:cs="Times New Roman"/>
          <w:szCs w:val="24"/>
        </w:rPr>
        <w:t xml:space="preserve"> </w:t>
      </w:r>
      <w:r w:rsidR="005B42C5" w:rsidRPr="00D2624F">
        <w:rPr>
          <w:rFonts w:cs="Times New Roman"/>
          <w:szCs w:val="24"/>
        </w:rPr>
        <w:t xml:space="preserve">je u okviru ovog sektorskog cilja provodio pripremne </w:t>
      </w:r>
      <w:r w:rsidR="005B42C5" w:rsidRPr="007573F1">
        <w:rPr>
          <w:rFonts w:cs="Times New Roman"/>
          <w:szCs w:val="24"/>
        </w:rPr>
        <w:t xml:space="preserve">aktivnosti s relevantnim dionicima, vijećima i predstavnicima nacionalnih manjina, predstavnicima </w:t>
      </w:r>
      <w:r w:rsidR="00026107">
        <w:rPr>
          <w:rFonts w:cs="Times New Roman"/>
        </w:rPr>
        <w:t>JLP(R)S</w:t>
      </w:r>
      <w:r w:rsidR="005B42C5" w:rsidRPr="007573F1">
        <w:rPr>
          <w:rFonts w:cs="Times New Roman"/>
          <w:szCs w:val="24"/>
        </w:rPr>
        <w:t>, civilnog društva i akademske zajednice. Tijekom 202</w:t>
      </w:r>
      <w:r w:rsidR="007573F1" w:rsidRPr="007573F1">
        <w:rPr>
          <w:rFonts w:cs="Times New Roman"/>
          <w:szCs w:val="24"/>
        </w:rPr>
        <w:t>4</w:t>
      </w:r>
      <w:r w:rsidR="005B42C5" w:rsidRPr="007573F1">
        <w:rPr>
          <w:rFonts w:cs="Times New Roman"/>
          <w:szCs w:val="24"/>
        </w:rPr>
        <w:t>.</w:t>
      </w:r>
      <w:r w:rsidR="00D16E83">
        <w:rPr>
          <w:rFonts w:cs="Times New Roman"/>
          <w:szCs w:val="24"/>
        </w:rPr>
        <w:t xml:space="preserve"> </w:t>
      </w:r>
      <w:r w:rsidR="00CD02EB">
        <w:rPr>
          <w:rFonts w:cs="Times New Roman"/>
        </w:rPr>
        <w:t>godine</w:t>
      </w:r>
      <w:r w:rsidR="00CD02EB" w:rsidRPr="002566F5">
        <w:rPr>
          <w:rFonts w:cs="Times New Roman"/>
        </w:rPr>
        <w:t xml:space="preserve"> </w:t>
      </w:r>
      <w:r w:rsidR="005B42C5" w:rsidRPr="007573F1">
        <w:rPr>
          <w:rFonts w:cs="Times New Roman"/>
          <w:szCs w:val="24"/>
        </w:rPr>
        <w:t xml:space="preserve">nastavljena je suradnja s više jedinica </w:t>
      </w:r>
      <w:r w:rsidR="00026107">
        <w:rPr>
          <w:rFonts w:cs="Times New Roman"/>
        </w:rPr>
        <w:t>JLP(R)S</w:t>
      </w:r>
      <w:r w:rsidR="005B42C5" w:rsidRPr="007573F1">
        <w:rPr>
          <w:rFonts w:cs="Times New Roman"/>
          <w:szCs w:val="24"/>
        </w:rPr>
        <w:t>, romskim vijećima i predstavnicima, stručnjacima i stručnim udrugama na područjima antidiskriminacij</w:t>
      </w:r>
      <w:r w:rsidR="00516BA0" w:rsidRPr="007573F1">
        <w:rPr>
          <w:rFonts w:cs="Times New Roman"/>
          <w:szCs w:val="24"/>
        </w:rPr>
        <w:t>skog djelovanja</w:t>
      </w:r>
      <w:r w:rsidR="005B42C5" w:rsidRPr="007573F1">
        <w:rPr>
          <w:rFonts w:cs="Times New Roman"/>
          <w:szCs w:val="24"/>
        </w:rPr>
        <w:t xml:space="preserve">, </w:t>
      </w:r>
      <w:r w:rsidR="00516BA0" w:rsidRPr="007573F1">
        <w:rPr>
          <w:rFonts w:cs="Times New Roman"/>
          <w:szCs w:val="24"/>
        </w:rPr>
        <w:t>unapr</w:t>
      </w:r>
      <w:r w:rsidR="00CD02EB">
        <w:rPr>
          <w:rFonts w:cs="Times New Roman"/>
          <w:szCs w:val="24"/>
        </w:rPr>
        <w:t>j</w:t>
      </w:r>
      <w:r w:rsidR="00516BA0" w:rsidRPr="007573F1">
        <w:rPr>
          <w:rFonts w:cs="Times New Roman"/>
          <w:szCs w:val="24"/>
        </w:rPr>
        <w:t xml:space="preserve">eđenja </w:t>
      </w:r>
      <w:r w:rsidR="005B42C5" w:rsidRPr="007573F1">
        <w:rPr>
          <w:rFonts w:cs="Times New Roman"/>
          <w:szCs w:val="24"/>
        </w:rPr>
        <w:t>položaja djece i Romkinja, obrazovanja (osobito predškolskog odgoja i desegregacije), razvoja zajednice i jačanja socijalne kohezije na lokalnoj razini.</w:t>
      </w:r>
      <w:r w:rsidR="004853DB" w:rsidRPr="007573F1">
        <w:rPr>
          <w:rFonts w:cs="Times New Roman"/>
          <w:szCs w:val="24"/>
        </w:rPr>
        <w:t xml:space="preserve"> </w:t>
      </w:r>
      <w:r w:rsidR="00515644" w:rsidRPr="007573F1">
        <w:rPr>
          <w:rFonts w:cs="Times New Roman"/>
          <w:szCs w:val="24"/>
        </w:rPr>
        <w:t>Objava Poziva na dostavu projektnog prijedloga kojim će se financirati ove aktivnosti, planirana je u 202</w:t>
      </w:r>
      <w:r w:rsidR="007573F1" w:rsidRPr="007573F1">
        <w:rPr>
          <w:rFonts w:cs="Times New Roman"/>
          <w:szCs w:val="24"/>
        </w:rPr>
        <w:t>5</w:t>
      </w:r>
      <w:r w:rsidR="00515644" w:rsidRPr="007573F1">
        <w:rPr>
          <w:rFonts w:cs="Times New Roman"/>
          <w:szCs w:val="24"/>
        </w:rPr>
        <w:t>.</w:t>
      </w:r>
      <w:r w:rsidR="00D16E83">
        <w:rPr>
          <w:rFonts w:cs="Times New Roman"/>
          <w:szCs w:val="24"/>
        </w:rPr>
        <w:t xml:space="preserve"> </w:t>
      </w:r>
      <w:r w:rsidR="00CD02EB">
        <w:rPr>
          <w:rFonts w:cs="Times New Roman"/>
        </w:rPr>
        <w:t>godini.</w:t>
      </w:r>
    </w:p>
    <w:p w14:paraId="0BDCB547" w14:textId="77777777" w:rsidR="00D2624F" w:rsidRPr="00D2624F" w:rsidRDefault="00D2624F" w:rsidP="00D36147">
      <w:pPr>
        <w:spacing w:after="0" w:line="276" w:lineRule="auto"/>
        <w:jc w:val="both"/>
        <w:rPr>
          <w:rFonts w:cs="Times New Roman"/>
        </w:rPr>
      </w:pPr>
    </w:p>
    <w:p w14:paraId="1D6FA95D" w14:textId="7DAFCE22" w:rsidR="00D2624F" w:rsidRPr="00D2624F" w:rsidRDefault="00515644" w:rsidP="00D2624F">
      <w:pPr>
        <w:spacing w:after="0" w:line="276" w:lineRule="auto"/>
        <w:jc w:val="both"/>
        <w:rPr>
          <w:rFonts w:cs="Times New Roman"/>
          <w:szCs w:val="24"/>
        </w:rPr>
      </w:pPr>
      <w:r w:rsidRPr="00D2624F">
        <w:rPr>
          <w:rFonts w:cs="Times New Roman"/>
        </w:rPr>
        <w:t>Nadalje, u okviru provođenja mjere Smanjivanje jaza u dovršetku srednjoškolskog obrazovanja između mladih Roma i mladih iz opće populacije, Povjerenstvo je u okviru svojih zadaća tijekom 202</w:t>
      </w:r>
      <w:r w:rsidR="00E90197">
        <w:rPr>
          <w:rFonts w:cs="Times New Roman"/>
        </w:rPr>
        <w:t>4</w:t>
      </w:r>
      <w:r w:rsidRPr="00D2624F">
        <w:rPr>
          <w:rFonts w:cs="Times New Roman"/>
        </w:rPr>
        <w:t>.</w:t>
      </w:r>
      <w:r w:rsidR="00D16E83">
        <w:rPr>
          <w:rFonts w:cs="Times New Roman"/>
        </w:rPr>
        <w:t xml:space="preserve"> </w:t>
      </w:r>
      <w:r w:rsidR="00CD02EB">
        <w:rPr>
          <w:rFonts w:cs="Times New Roman"/>
        </w:rPr>
        <w:t>godine</w:t>
      </w:r>
      <w:r w:rsidR="00CD02EB" w:rsidRPr="002566F5">
        <w:rPr>
          <w:rFonts w:cs="Times New Roman"/>
        </w:rPr>
        <w:t xml:space="preserve"> </w:t>
      </w:r>
      <w:r w:rsidRPr="00D2624F">
        <w:rPr>
          <w:rFonts w:cs="Times New Roman"/>
        </w:rPr>
        <w:t xml:space="preserve">za su/financiranje potreba odgojno – obrazovnih ustanova za obrazovanje </w:t>
      </w:r>
      <w:proofErr w:type="spellStart"/>
      <w:r w:rsidRPr="00D2624F">
        <w:rPr>
          <w:rFonts w:cs="Times New Roman"/>
        </w:rPr>
        <w:t>odraslih</w:t>
      </w:r>
      <w:r w:rsidR="00940F3D">
        <w:rPr>
          <w:rFonts w:cs="Times New Roman"/>
        </w:rPr>
        <w:t>financiralo</w:t>
      </w:r>
      <w:proofErr w:type="spellEnd"/>
      <w:r w:rsidRPr="00E90197">
        <w:rPr>
          <w:rFonts w:cs="Times New Roman"/>
        </w:rPr>
        <w:t xml:space="preserve"> </w:t>
      </w:r>
      <w:r w:rsidR="00D2624F" w:rsidRPr="00E90197">
        <w:rPr>
          <w:rFonts w:cs="Times New Roman"/>
          <w:szCs w:val="24"/>
        </w:rPr>
        <w:t>8 zamolbi u ukupnom iznosu od 23.208,76 EUR.</w:t>
      </w:r>
      <w:r w:rsidR="00D2624F" w:rsidRPr="00D2624F">
        <w:rPr>
          <w:rFonts w:cs="Times New Roman"/>
          <w:b/>
          <w:szCs w:val="24"/>
        </w:rPr>
        <w:t xml:space="preserve"> </w:t>
      </w:r>
      <w:r w:rsidR="00D2624F" w:rsidRPr="00D2624F">
        <w:rPr>
          <w:rFonts w:cs="Times New Roman"/>
          <w:szCs w:val="24"/>
        </w:rPr>
        <w:t>Financirane su školarine za 30 osoba, od čega je 15 zamolbi za financiranje obrazovanja odobreno pripadnicama romske nacionalne manjine, u ukupnom iznosu od 11.650,00 EUR</w:t>
      </w:r>
      <w:r w:rsidR="00D16E83">
        <w:rPr>
          <w:rFonts w:cs="Times New Roman"/>
          <w:szCs w:val="24"/>
        </w:rPr>
        <w:t>.</w:t>
      </w:r>
    </w:p>
    <w:p w14:paraId="4C4BFF5F" w14:textId="77777777" w:rsidR="00944620" w:rsidRPr="00D2624F" w:rsidRDefault="00944620" w:rsidP="00D36147">
      <w:pPr>
        <w:spacing w:after="0" w:line="276" w:lineRule="auto"/>
        <w:jc w:val="both"/>
        <w:rPr>
          <w:rFonts w:cs="Times New Roman"/>
        </w:rPr>
      </w:pPr>
    </w:p>
    <w:p w14:paraId="45DFE736" w14:textId="70DAD592" w:rsidR="00515644" w:rsidRDefault="00515644" w:rsidP="00D36147">
      <w:pPr>
        <w:spacing w:after="0" w:line="276" w:lineRule="auto"/>
        <w:jc w:val="both"/>
        <w:rPr>
          <w:rFonts w:cs="Times New Roman"/>
          <w:bCs/>
          <w:szCs w:val="24"/>
        </w:rPr>
      </w:pPr>
      <w:r w:rsidRPr="00D2624F">
        <w:rPr>
          <w:rFonts w:cs="Times New Roman"/>
          <w:b/>
          <w:bCs/>
          <w:szCs w:val="24"/>
        </w:rPr>
        <w:t xml:space="preserve">Za provedbu aktivnosti u sektorskom cilju učinkovit i jednak pristup Roma kvalitetnom, uključivom obrazovanju u </w:t>
      </w:r>
      <w:r w:rsidR="00D16E83" w:rsidRPr="00D2624F">
        <w:rPr>
          <w:rFonts w:cs="Times New Roman"/>
          <w:b/>
          <w:bCs/>
          <w:szCs w:val="24"/>
        </w:rPr>
        <w:t>202</w:t>
      </w:r>
      <w:r w:rsidR="00D16E83">
        <w:rPr>
          <w:rFonts w:cs="Times New Roman"/>
          <w:b/>
          <w:bCs/>
          <w:szCs w:val="24"/>
        </w:rPr>
        <w:t>4</w:t>
      </w:r>
      <w:r w:rsidRPr="00D2624F">
        <w:rPr>
          <w:rFonts w:cs="Times New Roman"/>
          <w:b/>
          <w:bCs/>
          <w:szCs w:val="24"/>
        </w:rPr>
        <w:t>.</w:t>
      </w:r>
      <w:r w:rsidR="00D16E83">
        <w:rPr>
          <w:rFonts w:cs="Times New Roman"/>
          <w:b/>
          <w:bCs/>
          <w:szCs w:val="24"/>
        </w:rPr>
        <w:t xml:space="preserve"> </w:t>
      </w:r>
      <w:r w:rsidR="00CD02EB" w:rsidRPr="00CD02EB">
        <w:rPr>
          <w:rFonts w:cs="Times New Roman"/>
          <w:b/>
        </w:rPr>
        <w:t>godini</w:t>
      </w:r>
      <w:r w:rsidR="00CD02EB" w:rsidRPr="002566F5">
        <w:rPr>
          <w:rFonts w:cs="Times New Roman"/>
        </w:rPr>
        <w:t xml:space="preserve"> </w:t>
      </w:r>
      <w:r w:rsidRPr="00D2624F">
        <w:rPr>
          <w:rFonts w:cs="Times New Roman"/>
          <w:b/>
          <w:bCs/>
          <w:szCs w:val="24"/>
        </w:rPr>
        <w:t>nadležna tijela su utrošila ukupno 3</w:t>
      </w:r>
      <w:r w:rsidRPr="00204D02">
        <w:rPr>
          <w:rFonts w:cs="Times New Roman"/>
          <w:b/>
          <w:bCs/>
          <w:szCs w:val="24"/>
        </w:rPr>
        <w:t>.</w:t>
      </w:r>
      <w:r w:rsidR="009E54C1" w:rsidRPr="00204D02">
        <w:rPr>
          <w:rFonts w:cs="Times New Roman"/>
          <w:b/>
          <w:bCs/>
          <w:szCs w:val="24"/>
        </w:rPr>
        <w:t>277</w:t>
      </w:r>
      <w:r w:rsidR="00D2624F" w:rsidRPr="009E54C1">
        <w:rPr>
          <w:rFonts w:cs="Times New Roman"/>
          <w:b/>
          <w:bCs/>
          <w:szCs w:val="24"/>
        </w:rPr>
        <w:t>.</w:t>
      </w:r>
      <w:r w:rsidR="009E54C1" w:rsidRPr="009E54C1">
        <w:rPr>
          <w:rFonts w:cs="Times New Roman"/>
          <w:b/>
          <w:bCs/>
          <w:szCs w:val="24"/>
        </w:rPr>
        <w:t>933</w:t>
      </w:r>
      <w:r w:rsidR="00D2624F" w:rsidRPr="00D2624F">
        <w:rPr>
          <w:rFonts w:cs="Times New Roman"/>
          <w:b/>
          <w:bCs/>
          <w:szCs w:val="24"/>
        </w:rPr>
        <w:t>,</w:t>
      </w:r>
      <w:r w:rsidR="009E54C1">
        <w:rPr>
          <w:rFonts w:cs="Times New Roman"/>
          <w:b/>
          <w:bCs/>
          <w:szCs w:val="24"/>
        </w:rPr>
        <w:t>70</w:t>
      </w:r>
      <w:r w:rsidRPr="00D2624F">
        <w:rPr>
          <w:rFonts w:cs="Times New Roman"/>
          <w:b/>
          <w:bCs/>
          <w:szCs w:val="24"/>
        </w:rPr>
        <w:t xml:space="preserve"> EUR</w:t>
      </w:r>
      <w:r w:rsidRPr="00D2624F">
        <w:rPr>
          <w:rFonts w:cs="Times New Roman"/>
          <w:bCs/>
          <w:szCs w:val="24"/>
        </w:rPr>
        <w:t>.</w:t>
      </w:r>
    </w:p>
    <w:p w14:paraId="7106E9C3" w14:textId="77777777" w:rsidR="003465FD" w:rsidRPr="00D2624F" w:rsidRDefault="003465FD" w:rsidP="00D36147">
      <w:pPr>
        <w:spacing w:after="0" w:line="276" w:lineRule="auto"/>
        <w:jc w:val="both"/>
        <w:rPr>
          <w:rFonts w:cs="Times New Roman"/>
          <w:bCs/>
          <w:szCs w:val="24"/>
        </w:rPr>
      </w:pPr>
    </w:p>
    <w:bookmarkEnd w:id="10"/>
    <w:p w14:paraId="4CBDAB0A" w14:textId="547FB428" w:rsidR="006B358F" w:rsidRPr="00E90197" w:rsidRDefault="006B358F" w:rsidP="00D36147">
      <w:pPr>
        <w:spacing w:after="0" w:line="276" w:lineRule="auto"/>
        <w:jc w:val="both"/>
        <w:rPr>
          <w:rFonts w:cs="Times New Roman"/>
          <w:bCs/>
          <w:szCs w:val="24"/>
        </w:rPr>
      </w:pPr>
    </w:p>
    <w:p w14:paraId="63AAD2BC" w14:textId="7B73AE25" w:rsidR="00496B38" w:rsidRPr="00E90197" w:rsidRDefault="00515644" w:rsidP="00D36147">
      <w:pPr>
        <w:spacing w:after="0" w:line="276" w:lineRule="auto"/>
        <w:jc w:val="both"/>
        <w:rPr>
          <w:rFonts w:cs="Times New Roman"/>
        </w:rPr>
      </w:pPr>
      <w:bookmarkStart w:id="11" w:name="_Hlk166758505"/>
      <w:r w:rsidRPr="00E90197">
        <w:rPr>
          <w:rFonts w:cs="Times New Roman"/>
        </w:rPr>
        <w:t xml:space="preserve">U okviru sektorskog cilja </w:t>
      </w:r>
      <w:r w:rsidRPr="00E90197">
        <w:rPr>
          <w:rFonts w:cs="Times New Roman"/>
          <w:b/>
          <w:i/>
        </w:rPr>
        <w:t>učinkovit i jednak pristup Roma kvalitetnom, održivom zapošljavanju</w:t>
      </w:r>
      <w:r w:rsidRPr="00E90197">
        <w:rPr>
          <w:rFonts w:cs="Times New Roman"/>
        </w:rPr>
        <w:t xml:space="preserve"> Hrvatski zavod za zapošljavanje je nositelj pet aktivnosti. U okviru aktivnosti prevencija ranog napuštanja redovnog obrazovanja odgovarajućim izborom zanimanja </w:t>
      </w:r>
      <w:r w:rsidR="00E90197" w:rsidRPr="00E90197">
        <w:rPr>
          <w:rFonts w:cs="Times New Roman"/>
        </w:rPr>
        <w:t xml:space="preserve">151 </w:t>
      </w:r>
      <w:r w:rsidRPr="00E90197">
        <w:rPr>
          <w:rFonts w:cs="Times New Roman"/>
        </w:rPr>
        <w:t>učenik</w:t>
      </w:r>
      <w:r w:rsidR="00E90197" w:rsidRPr="00E90197">
        <w:rPr>
          <w:rFonts w:cs="Times New Roman"/>
        </w:rPr>
        <w:t xml:space="preserve"> (26,8 % više nego u 2023.</w:t>
      </w:r>
      <w:r w:rsidR="00CD02EB">
        <w:rPr>
          <w:rFonts w:cs="Times New Roman"/>
        </w:rPr>
        <w:t xml:space="preserve"> godini</w:t>
      </w:r>
      <w:r w:rsidR="00E90197" w:rsidRPr="00E90197">
        <w:rPr>
          <w:rFonts w:cs="Times New Roman"/>
        </w:rPr>
        <w:t>) je b</w:t>
      </w:r>
      <w:r w:rsidRPr="00E90197">
        <w:rPr>
          <w:rFonts w:cs="Times New Roman"/>
        </w:rPr>
        <w:t xml:space="preserve">io uključen u postupak profesionalnog usmjeravanja te je za </w:t>
      </w:r>
      <w:r w:rsidR="00E90197" w:rsidRPr="00E90197">
        <w:rPr>
          <w:rFonts w:cs="Times New Roman"/>
        </w:rPr>
        <w:t>131 učenika</w:t>
      </w:r>
      <w:r w:rsidRPr="00E90197">
        <w:rPr>
          <w:rFonts w:cs="Times New Roman"/>
        </w:rPr>
        <w:t xml:space="preserve"> </w:t>
      </w:r>
      <w:r w:rsidR="00E90197" w:rsidRPr="00E90197">
        <w:rPr>
          <w:rFonts w:cs="Times New Roman"/>
        </w:rPr>
        <w:t>(21,30 % više nego u 2023.</w:t>
      </w:r>
      <w:r w:rsidR="00CD02EB">
        <w:rPr>
          <w:rFonts w:cs="Times New Roman"/>
        </w:rPr>
        <w:t xml:space="preserve"> godini</w:t>
      </w:r>
      <w:r w:rsidR="00E90197" w:rsidRPr="00E90197">
        <w:rPr>
          <w:rFonts w:cs="Times New Roman"/>
        </w:rPr>
        <w:t xml:space="preserve">) </w:t>
      </w:r>
      <w:r w:rsidRPr="00E90197">
        <w:rPr>
          <w:rFonts w:cs="Times New Roman"/>
        </w:rPr>
        <w:t>izdano mišljenje stručnog tima za profesionalno usmjeravanje za upis u 1. razred srednje škole. Održan</w:t>
      </w:r>
      <w:r w:rsidR="00B47D58" w:rsidRPr="00E90197">
        <w:rPr>
          <w:rFonts w:cs="Times New Roman"/>
        </w:rPr>
        <w:t xml:space="preserve">o je </w:t>
      </w:r>
      <w:r w:rsidRPr="00E90197">
        <w:rPr>
          <w:rFonts w:cs="Times New Roman"/>
        </w:rPr>
        <w:t xml:space="preserve">i </w:t>
      </w:r>
      <w:r w:rsidR="00E90197" w:rsidRPr="00E90197">
        <w:rPr>
          <w:rFonts w:cs="Times New Roman"/>
        </w:rPr>
        <w:t>šest</w:t>
      </w:r>
      <w:r w:rsidRPr="00E90197">
        <w:rPr>
          <w:rFonts w:cs="Times New Roman"/>
        </w:rPr>
        <w:t xml:space="preserve"> programa </w:t>
      </w:r>
      <w:r w:rsidR="000B1FA9">
        <w:rPr>
          <w:rFonts w:cs="Times New Roman"/>
        </w:rPr>
        <w:t>za</w:t>
      </w:r>
      <w:r w:rsidR="00E90197" w:rsidRPr="00E90197">
        <w:rPr>
          <w:rFonts w:cs="Times New Roman"/>
        </w:rPr>
        <w:t xml:space="preserve"> 52 polaznika </w:t>
      </w:r>
      <w:r w:rsidRPr="00E90197">
        <w:rPr>
          <w:rFonts w:cs="Times New Roman"/>
        </w:rPr>
        <w:t>s ciljem da osobe osvijeste vlastite mogućnosti, detektiraju prepreke za zapošljavanje te kroz program definira</w:t>
      </w:r>
      <w:r w:rsidR="000B1FA9">
        <w:rPr>
          <w:rFonts w:cs="Times New Roman"/>
        </w:rPr>
        <w:t>ju</w:t>
      </w:r>
      <w:r w:rsidRPr="00E90197">
        <w:rPr>
          <w:rFonts w:cs="Times New Roman"/>
        </w:rPr>
        <w:t xml:space="preserve"> što realniju sliku o sebi, vlastitim mogućnostima zapošljavanja i načinima kako prevladati ograničenja za ulazak na tržište rada. </w:t>
      </w:r>
    </w:p>
    <w:p w14:paraId="211F25AD" w14:textId="77777777" w:rsidR="00496B38" w:rsidRPr="00E90197" w:rsidRDefault="00496B38" w:rsidP="00D36147">
      <w:pPr>
        <w:spacing w:after="0" w:line="276" w:lineRule="auto"/>
        <w:jc w:val="both"/>
        <w:rPr>
          <w:rFonts w:cs="Times New Roman"/>
        </w:rPr>
      </w:pPr>
    </w:p>
    <w:p w14:paraId="293DA186" w14:textId="6976F271" w:rsidR="00E90197" w:rsidRPr="00CD19BB" w:rsidRDefault="00515644" w:rsidP="00D36147">
      <w:pPr>
        <w:spacing w:after="0" w:line="276" w:lineRule="auto"/>
        <w:jc w:val="both"/>
        <w:rPr>
          <w:rFonts w:cs="Times New Roman"/>
        </w:rPr>
      </w:pPr>
      <w:r w:rsidRPr="00E90197">
        <w:rPr>
          <w:rFonts w:cs="Times New Roman"/>
        </w:rPr>
        <w:t>U program obrazovanja za završetak osnovne škole u 202</w:t>
      </w:r>
      <w:r w:rsidR="00D16E83">
        <w:rPr>
          <w:rFonts w:cs="Times New Roman"/>
        </w:rPr>
        <w:t>4</w:t>
      </w:r>
      <w:r w:rsidRPr="00E90197">
        <w:rPr>
          <w:rFonts w:cs="Times New Roman"/>
        </w:rPr>
        <w:t>.</w:t>
      </w:r>
      <w:r w:rsidR="00D16E83">
        <w:rPr>
          <w:rFonts w:cs="Times New Roman"/>
        </w:rPr>
        <w:t xml:space="preserve"> </w:t>
      </w:r>
      <w:r w:rsidR="00CD02EB">
        <w:rPr>
          <w:rFonts w:cs="Times New Roman"/>
        </w:rPr>
        <w:t>godini</w:t>
      </w:r>
      <w:r w:rsidR="00CD02EB" w:rsidRPr="002566F5">
        <w:rPr>
          <w:rFonts w:cs="Times New Roman"/>
        </w:rPr>
        <w:t xml:space="preserve"> </w:t>
      </w:r>
      <w:r w:rsidRPr="00E90197">
        <w:rPr>
          <w:rFonts w:cs="Times New Roman"/>
        </w:rPr>
        <w:t xml:space="preserve">je bilo uključeno </w:t>
      </w:r>
      <w:r w:rsidR="00E90197" w:rsidRPr="00E90197">
        <w:rPr>
          <w:rFonts w:cs="Times New Roman"/>
        </w:rPr>
        <w:t>95 (90 % više nego u 2023.</w:t>
      </w:r>
      <w:r w:rsidR="00CD02EB">
        <w:rPr>
          <w:rFonts w:cs="Times New Roman"/>
        </w:rPr>
        <w:t xml:space="preserve"> godini</w:t>
      </w:r>
      <w:r w:rsidR="00E90197" w:rsidRPr="00E90197">
        <w:rPr>
          <w:rFonts w:cs="Times New Roman"/>
        </w:rPr>
        <w:t xml:space="preserve">) </w:t>
      </w:r>
      <w:r w:rsidRPr="00E90197">
        <w:rPr>
          <w:rFonts w:cs="Times New Roman"/>
        </w:rPr>
        <w:t xml:space="preserve">nezaposlenih Roma, </w:t>
      </w:r>
      <w:r w:rsidR="00E90197" w:rsidRPr="00E90197">
        <w:rPr>
          <w:rFonts w:cs="Times New Roman"/>
        </w:rPr>
        <w:t>u mjeru Obrazovanje nezaposlenih osoba i ostalih tražitelja zaposlenja u program Vozač C kategorije uključena su 2 nezaposlena Roma, a</w:t>
      </w:r>
      <w:r w:rsidRPr="00E90197">
        <w:rPr>
          <w:rFonts w:cs="Times New Roman"/>
        </w:rPr>
        <w:t xml:space="preserve"> u mjeru osposobljavanja na radnom mjestu </w:t>
      </w:r>
      <w:r w:rsidR="00E90197" w:rsidRPr="00E90197">
        <w:rPr>
          <w:rFonts w:cs="Times New Roman"/>
        </w:rPr>
        <w:t>15</w:t>
      </w:r>
      <w:r w:rsidRPr="00E90197">
        <w:rPr>
          <w:rFonts w:cs="Times New Roman"/>
        </w:rPr>
        <w:t xml:space="preserve"> </w:t>
      </w:r>
      <w:r w:rsidR="00E90197" w:rsidRPr="00E90197">
        <w:rPr>
          <w:rFonts w:cs="Times New Roman"/>
        </w:rPr>
        <w:t>(67 % više nego 2023.</w:t>
      </w:r>
      <w:r w:rsidR="00CD02EB" w:rsidRPr="00CD02EB">
        <w:rPr>
          <w:rFonts w:cs="Times New Roman"/>
        </w:rPr>
        <w:t xml:space="preserve"> </w:t>
      </w:r>
      <w:r w:rsidR="00CD02EB">
        <w:rPr>
          <w:rFonts w:cs="Times New Roman"/>
        </w:rPr>
        <w:t>godine</w:t>
      </w:r>
      <w:r w:rsidR="00E90197" w:rsidRPr="00E90197">
        <w:rPr>
          <w:rFonts w:cs="Times New Roman"/>
        </w:rPr>
        <w:t xml:space="preserve">) </w:t>
      </w:r>
      <w:r w:rsidRPr="00E90197">
        <w:rPr>
          <w:rFonts w:cs="Times New Roman"/>
        </w:rPr>
        <w:t xml:space="preserve">osoba. </w:t>
      </w:r>
    </w:p>
    <w:p w14:paraId="74016918" w14:textId="438DBB0A" w:rsidR="00515644" w:rsidRPr="00CD19BB" w:rsidRDefault="00515644" w:rsidP="00CD19BB">
      <w:pPr>
        <w:spacing w:after="0" w:line="276" w:lineRule="auto"/>
        <w:jc w:val="both"/>
        <w:rPr>
          <w:rFonts w:cs="Times New Roman"/>
        </w:rPr>
      </w:pPr>
      <w:r w:rsidRPr="00CD19BB">
        <w:rPr>
          <w:rFonts w:cs="Times New Roman"/>
        </w:rPr>
        <w:t xml:space="preserve">Hrvatski zavod za zapošljavanje provodio je </w:t>
      </w:r>
      <w:r w:rsidR="000B1FA9">
        <w:rPr>
          <w:rFonts w:cs="Times New Roman"/>
        </w:rPr>
        <w:t xml:space="preserve">i </w:t>
      </w:r>
      <w:r w:rsidRPr="00CD19BB">
        <w:rPr>
          <w:rFonts w:cs="Times New Roman"/>
        </w:rPr>
        <w:t>potpore za zapošljavanje kojima se potiče zapošljavanje osoba sufinanciranjem troška plaće poslodavcima te potpore kojima se potiče zapošljavanje za stjecanje prvog radnog iskustva</w:t>
      </w:r>
      <w:r w:rsidR="00CD19BB" w:rsidRPr="00CD19BB">
        <w:rPr>
          <w:rFonts w:cs="Times New Roman"/>
        </w:rPr>
        <w:t>.</w:t>
      </w:r>
      <w:r w:rsidR="00CD19BB" w:rsidRPr="00CD19BB">
        <w:rPr>
          <w:szCs w:val="24"/>
        </w:rPr>
        <w:t xml:space="preserve"> </w:t>
      </w:r>
      <w:r w:rsidR="00CD19BB" w:rsidRPr="00CD19BB">
        <w:rPr>
          <w:rFonts w:cs="Times New Roman"/>
        </w:rPr>
        <w:t xml:space="preserve">U 2024. </w:t>
      </w:r>
      <w:r w:rsidR="00CD02EB">
        <w:rPr>
          <w:rFonts w:cs="Times New Roman"/>
        </w:rPr>
        <w:t>godini</w:t>
      </w:r>
      <w:r w:rsidR="00CD02EB" w:rsidRPr="002566F5">
        <w:rPr>
          <w:rFonts w:cs="Times New Roman"/>
        </w:rPr>
        <w:t xml:space="preserve"> </w:t>
      </w:r>
      <w:r w:rsidR="00CD19BB" w:rsidRPr="00CD19BB">
        <w:rPr>
          <w:rFonts w:cs="Times New Roman"/>
        </w:rPr>
        <w:t>ukupno je 68 (106 % više nego u 2023.</w:t>
      </w:r>
      <w:r w:rsidR="00CD02EB">
        <w:rPr>
          <w:rFonts w:cs="Times New Roman"/>
        </w:rPr>
        <w:t xml:space="preserve"> godini</w:t>
      </w:r>
      <w:r w:rsidR="00CD19BB" w:rsidRPr="00CD19BB">
        <w:rPr>
          <w:rFonts w:cs="Times New Roman"/>
        </w:rPr>
        <w:t>) poslodavaca koristilo mjere potpore za zapošljavanje i potpore za zapošljavanje za stjecanje prvog radnog iskustva, od kojih je 19 dodijeljeno za zapošljavanje žena.</w:t>
      </w:r>
      <w:r w:rsidRPr="00CD19BB">
        <w:rPr>
          <w:rFonts w:cs="Times New Roman"/>
        </w:rPr>
        <w:t xml:space="preserve"> Također, u 202</w:t>
      </w:r>
      <w:r w:rsidR="00CD19BB" w:rsidRPr="00CD19BB">
        <w:rPr>
          <w:rFonts w:cs="Times New Roman"/>
        </w:rPr>
        <w:t>4</w:t>
      </w:r>
      <w:r w:rsidRPr="00CD19BB">
        <w:rPr>
          <w:rFonts w:cs="Times New Roman"/>
        </w:rPr>
        <w:t xml:space="preserve">. </w:t>
      </w:r>
      <w:r w:rsidR="00CD02EB">
        <w:rPr>
          <w:rFonts w:cs="Times New Roman"/>
        </w:rPr>
        <w:t>godini</w:t>
      </w:r>
      <w:r w:rsidR="00CD02EB" w:rsidRPr="002566F5">
        <w:rPr>
          <w:rFonts w:cs="Times New Roman"/>
        </w:rPr>
        <w:t xml:space="preserve"> </w:t>
      </w:r>
      <w:r w:rsidRPr="00CD19BB">
        <w:rPr>
          <w:rFonts w:cs="Times New Roman"/>
        </w:rPr>
        <w:t xml:space="preserve">je osigurana financijska potpora za </w:t>
      </w:r>
      <w:r w:rsidR="00CD19BB" w:rsidRPr="00CD19BB">
        <w:rPr>
          <w:rFonts w:cs="Times New Roman"/>
        </w:rPr>
        <w:t>devet (28,57 % više nego 2023.</w:t>
      </w:r>
      <w:r w:rsidR="00CD02EB">
        <w:rPr>
          <w:rFonts w:cs="Times New Roman"/>
        </w:rPr>
        <w:t xml:space="preserve"> godine</w:t>
      </w:r>
      <w:r w:rsidR="00CD19BB" w:rsidRPr="00CD19BB">
        <w:rPr>
          <w:rFonts w:cs="Times New Roman"/>
        </w:rPr>
        <w:t xml:space="preserve">) </w:t>
      </w:r>
      <w:r w:rsidRPr="00CD19BB">
        <w:rPr>
          <w:rFonts w:cs="Times New Roman"/>
        </w:rPr>
        <w:t>novouključenih osoba u okviru aktivnosti podrške samozapošljavanju koju je provodio Hrvatski zavod za zapošljavanje</w:t>
      </w:r>
      <w:r w:rsidR="00CD19BB" w:rsidRPr="00CD19BB">
        <w:rPr>
          <w:rFonts w:cs="Times New Roman"/>
        </w:rPr>
        <w:t>, od toga 6 žena</w:t>
      </w:r>
      <w:r w:rsidRPr="00CD19BB">
        <w:rPr>
          <w:rFonts w:cs="Times New Roman"/>
        </w:rPr>
        <w:t>.</w:t>
      </w:r>
    </w:p>
    <w:p w14:paraId="7BA60E64" w14:textId="77777777" w:rsidR="00832700" w:rsidRPr="00CD19BB" w:rsidRDefault="00832700" w:rsidP="00D36147">
      <w:pPr>
        <w:spacing w:after="0" w:line="276" w:lineRule="auto"/>
        <w:jc w:val="both"/>
        <w:rPr>
          <w:rFonts w:cs="Times New Roman"/>
          <w:bCs/>
          <w:szCs w:val="24"/>
          <w:highlight w:val="yellow"/>
        </w:rPr>
      </w:pPr>
    </w:p>
    <w:p w14:paraId="16A5CE22" w14:textId="422A23E8" w:rsidR="00944620" w:rsidRPr="00CD19BB" w:rsidRDefault="00ED1E5D" w:rsidP="00D36147">
      <w:pPr>
        <w:spacing w:after="0" w:line="276" w:lineRule="auto"/>
        <w:jc w:val="both"/>
        <w:rPr>
          <w:rFonts w:cs="Times New Roman"/>
          <w:b/>
          <w:bCs/>
          <w:szCs w:val="24"/>
        </w:rPr>
      </w:pPr>
      <w:r w:rsidRPr="00CD19BB">
        <w:rPr>
          <w:rFonts w:cs="Times New Roman"/>
          <w:b/>
          <w:bCs/>
          <w:szCs w:val="24"/>
        </w:rPr>
        <w:t>Za provedbu aktivnosti u ovom sektorskom cilju u 202</w:t>
      </w:r>
      <w:r w:rsidR="000B764D">
        <w:rPr>
          <w:rFonts w:cs="Times New Roman"/>
          <w:b/>
          <w:bCs/>
          <w:szCs w:val="24"/>
        </w:rPr>
        <w:t>4</w:t>
      </w:r>
      <w:r w:rsidRPr="00CD19BB">
        <w:rPr>
          <w:rFonts w:cs="Times New Roman"/>
          <w:b/>
          <w:bCs/>
          <w:szCs w:val="24"/>
        </w:rPr>
        <w:t xml:space="preserve">. </w:t>
      </w:r>
      <w:r w:rsidR="00CD02EB" w:rsidRPr="00CD02EB">
        <w:rPr>
          <w:rFonts w:cs="Times New Roman"/>
          <w:b/>
        </w:rPr>
        <w:t>godini</w:t>
      </w:r>
      <w:r w:rsidR="00CD02EB" w:rsidRPr="002566F5">
        <w:rPr>
          <w:rFonts w:cs="Times New Roman"/>
        </w:rPr>
        <w:t xml:space="preserve"> </w:t>
      </w:r>
      <w:r w:rsidRPr="00CD19BB">
        <w:rPr>
          <w:rFonts w:cs="Times New Roman"/>
          <w:b/>
          <w:bCs/>
          <w:szCs w:val="24"/>
        </w:rPr>
        <w:t>Hrvatski zavod za zapošljavanje je</w:t>
      </w:r>
      <w:r w:rsidR="00AC0902" w:rsidRPr="00CD19BB">
        <w:rPr>
          <w:rFonts w:cs="Times New Roman"/>
          <w:b/>
          <w:bCs/>
          <w:szCs w:val="24"/>
        </w:rPr>
        <w:t xml:space="preserve"> </w:t>
      </w:r>
      <w:r w:rsidRPr="00CD19BB">
        <w:rPr>
          <w:rFonts w:cs="Times New Roman"/>
          <w:b/>
          <w:bCs/>
          <w:szCs w:val="24"/>
        </w:rPr>
        <w:t xml:space="preserve">ukupno utrošio </w:t>
      </w:r>
      <w:r w:rsidR="00CD19BB" w:rsidRPr="00CD19BB">
        <w:rPr>
          <w:rFonts w:cs="Times New Roman"/>
          <w:b/>
          <w:bCs/>
          <w:szCs w:val="24"/>
        </w:rPr>
        <w:t>78</w:t>
      </w:r>
      <w:r w:rsidR="009316E4" w:rsidRPr="00CD19BB">
        <w:rPr>
          <w:rFonts w:cs="Times New Roman"/>
          <w:b/>
          <w:bCs/>
          <w:szCs w:val="24"/>
        </w:rPr>
        <w:t>.</w:t>
      </w:r>
      <w:r w:rsidR="00CD19BB" w:rsidRPr="00CD19BB">
        <w:rPr>
          <w:rFonts w:cs="Times New Roman"/>
          <w:b/>
          <w:bCs/>
          <w:szCs w:val="24"/>
        </w:rPr>
        <w:t>107</w:t>
      </w:r>
      <w:r w:rsidR="009316E4" w:rsidRPr="00CD19BB">
        <w:rPr>
          <w:rFonts w:cs="Times New Roman"/>
          <w:b/>
          <w:bCs/>
          <w:szCs w:val="24"/>
        </w:rPr>
        <w:t>,</w:t>
      </w:r>
      <w:r w:rsidR="000B764D">
        <w:rPr>
          <w:rFonts w:cs="Times New Roman"/>
          <w:b/>
          <w:bCs/>
          <w:szCs w:val="24"/>
        </w:rPr>
        <w:t>85</w:t>
      </w:r>
      <w:r w:rsidR="009316E4" w:rsidRPr="00CD19BB">
        <w:rPr>
          <w:rFonts w:cs="Times New Roman"/>
          <w:b/>
          <w:bCs/>
          <w:szCs w:val="24"/>
        </w:rPr>
        <w:t xml:space="preserve"> </w:t>
      </w:r>
      <w:r w:rsidRPr="00CD19BB">
        <w:rPr>
          <w:rFonts w:cs="Times New Roman"/>
          <w:b/>
          <w:bCs/>
          <w:szCs w:val="24"/>
        </w:rPr>
        <w:t>EUR</w:t>
      </w:r>
      <w:r w:rsidR="009316E4" w:rsidRPr="00CD19BB">
        <w:rPr>
          <w:rFonts w:cs="Times New Roman"/>
          <w:b/>
          <w:bCs/>
          <w:szCs w:val="24"/>
        </w:rPr>
        <w:t>.</w:t>
      </w:r>
      <w:r w:rsidR="000B1FA9">
        <w:rPr>
          <w:rFonts w:cs="Times New Roman"/>
          <w:b/>
          <w:bCs/>
          <w:szCs w:val="24"/>
        </w:rPr>
        <w:t xml:space="preserve"> </w:t>
      </w:r>
      <w:r w:rsidRPr="000B1FA9">
        <w:rPr>
          <w:rFonts w:cs="Times New Roman"/>
          <w:bCs/>
          <w:szCs w:val="24"/>
        </w:rPr>
        <w:t>U</w:t>
      </w:r>
      <w:r w:rsidRPr="00CD19BB">
        <w:rPr>
          <w:rFonts w:cs="Times New Roman"/>
          <w:bCs/>
          <w:szCs w:val="24"/>
        </w:rPr>
        <w:t xml:space="preserve"> ova sredstva nisu uračunata znatna sredstva na aktivnosti državnog proračuna Hrvatskog zavoda zapošljavanje koja se odnose na aktivne politike zapošljavanja koje se financiraju iz državnog proračuna i iz drugih izvora financiranja jer nije moguće prikazati financijski utrošak koji se odnosi samo na pripadnike romske nacionalne </w:t>
      </w:r>
      <w:r w:rsidRPr="00A86FA4">
        <w:rPr>
          <w:rFonts w:cs="Times New Roman"/>
          <w:bCs/>
          <w:szCs w:val="24"/>
        </w:rPr>
        <w:t>manjine</w:t>
      </w:r>
      <w:r w:rsidR="00CD19BB" w:rsidRPr="00A86FA4">
        <w:rPr>
          <w:rFonts w:cs="Times New Roman"/>
          <w:bCs/>
          <w:szCs w:val="24"/>
        </w:rPr>
        <w:t xml:space="preserve"> ili je taj utrošak prikazan u izvješću o provedbi Operativnog programa romske nacionalne manjine, npr. javni radovi </w:t>
      </w:r>
      <w:r w:rsidR="00A86FA4" w:rsidRPr="00A86FA4">
        <w:rPr>
          <w:rFonts w:cs="Times New Roman"/>
          <w:bCs/>
          <w:szCs w:val="24"/>
        </w:rPr>
        <w:t xml:space="preserve">za koje je u 2024. </w:t>
      </w:r>
      <w:r w:rsidR="00CD02EB">
        <w:rPr>
          <w:rFonts w:cs="Times New Roman"/>
        </w:rPr>
        <w:t>godini</w:t>
      </w:r>
      <w:r w:rsidR="00CD02EB" w:rsidRPr="002566F5">
        <w:rPr>
          <w:rFonts w:cs="Times New Roman"/>
        </w:rPr>
        <w:t xml:space="preserve"> </w:t>
      </w:r>
      <w:r w:rsidR="00A86FA4" w:rsidRPr="00A86FA4">
        <w:rPr>
          <w:rFonts w:cs="Times New Roman"/>
          <w:bCs/>
          <w:szCs w:val="24"/>
        </w:rPr>
        <w:t>utrošeno ukupno 1.586.795,98 EUR</w:t>
      </w:r>
      <w:r w:rsidRPr="00A86FA4">
        <w:rPr>
          <w:rFonts w:cs="Times New Roman"/>
          <w:bCs/>
          <w:szCs w:val="24"/>
        </w:rPr>
        <w:t>.</w:t>
      </w:r>
      <w:bookmarkEnd w:id="11"/>
    </w:p>
    <w:p w14:paraId="42F519B7" w14:textId="77777777" w:rsidR="00496B38" w:rsidRDefault="00496B38" w:rsidP="00D36147">
      <w:pPr>
        <w:spacing w:after="0" w:line="276" w:lineRule="auto"/>
        <w:jc w:val="both"/>
        <w:rPr>
          <w:rFonts w:cs="Times New Roman"/>
          <w:bCs/>
          <w:szCs w:val="24"/>
        </w:rPr>
      </w:pPr>
    </w:p>
    <w:p w14:paraId="102A9C1A" w14:textId="77777777" w:rsidR="00D16E83" w:rsidRPr="00CD19BB" w:rsidRDefault="00D16E83" w:rsidP="00D36147">
      <w:pPr>
        <w:spacing w:after="0" w:line="276" w:lineRule="auto"/>
        <w:jc w:val="both"/>
        <w:rPr>
          <w:rFonts w:cs="Times New Roman"/>
          <w:bCs/>
          <w:szCs w:val="24"/>
        </w:rPr>
      </w:pPr>
    </w:p>
    <w:p w14:paraId="61BFC78E" w14:textId="740EDA1E" w:rsidR="00496B38" w:rsidRPr="00CD19BB" w:rsidRDefault="00496B38" w:rsidP="00D36147">
      <w:pPr>
        <w:spacing w:after="0" w:line="276" w:lineRule="auto"/>
        <w:jc w:val="both"/>
        <w:rPr>
          <w:rFonts w:cs="Times New Roman"/>
        </w:rPr>
      </w:pPr>
      <w:bookmarkStart w:id="12" w:name="_Hlk166758597"/>
      <w:r w:rsidRPr="00CD19BB">
        <w:rPr>
          <w:rFonts w:cs="Times New Roman"/>
        </w:rPr>
        <w:t xml:space="preserve">Za provedbu sektorskog cilja </w:t>
      </w:r>
      <w:r w:rsidRPr="00CD19BB">
        <w:rPr>
          <w:rFonts w:cs="Times New Roman"/>
          <w:b/>
          <w:i/>
        </w:rPr>
        <w:t>poboljšano zdravlje Roma i učinkovit, jednak pristup Roma kvalitetnim uslugama zdravstvene skrbi</w:t>
      </w:r>
      <w:r w:rsidRPr="00CD19BB">
        <w:rPr>
          <w:rFonts w:cs="Times New Roman"/>
        </w:rPr>
        <w:t xml:space="preserve"> u Akcijskom planu je planirana provedba aktivnosti koje doprinose ispunjavanju preduvjeta za sustavno praćenje zdravlja pripadnika romske nacionalne manjine. Nositelj aktivnosti je Ured u partnerstvu s Hrvatskim zavodom za javno zdravstvo, a provodit će se u sklopu projekta „Jednakost, uključivanje, participacija i integracija Roma putem brige o zdravlju – JUPI ZDRAV“, čije se financiranje planira sredstvima ESF+</w:t>
      </w:r>
      <w:r w:rsidR="003B0DEE" w:rsidRPr="00CD19BB">
        <w:rPr>
          <w:rFonts w:cs="Times New Roman"/>
        </w:rPr>
        <w:t xml:space="preserve"> </w:t>
      </w:r>
      <w:r w:rsidR="003B0DEE" w:rsidRPr="00CD19BB">
        <w:rPr>
          <w:rFonts w:cs="Times New Roman"/>
          <w:lang w:eastAsia="hr-HR"/>
        </w:rPr>
        <w:t xml:space="preserve">iz Programa </w:t>
      </w:r>
      <w:r w:rsidR="00AA0E5E">
        <w:rPr>
          <w:rFonts w:cs="Times New Roman"/>
          <w:lang w:eastAsia="hr-HR"/>
        </w:rPr>
        <w:t>„</w:t>
      </w:r>
      <w:r w:rsidR="003B0DEE" w:rsidRPr="00CD19BB">
        <w:rPr>
          <w:rFonts w:cs="Times New Roman"/>
          <w:lang w:eastAsia="hr-HR"/>
        </w:rPr>
        <w:t>Učinkoviti ljudski potencijali 2021.</w:t>
      </w:r>
      <w:r w:rsidR="009C4B7C">
        <w:rPr>
          <w:rFonts w:cs="Times New Roman"/>
          <w:lang w:eastAsia="hr-HR"/>
        </w:rPr>
        <w:t xml:space="preserve"> </w:t>
      </w:r>
      <w:r w:rsidR="003B0DEE" w:rsidRPr="00CD19BB">
        <w:rPr>
          <w:rFonts w:cs="Times New Roman"/>
          <w:lang w:eastAsia="hr-HR"/>
        </w:rPr>
        <w:t>-</w:t>
      </w:r>
      <w:r w:rsidR="009C4B7C">
        <w:rPr>
          <w:rFonts w:cs="Times New Roman"/>
          <w:lang w:eastAsia="hr-HR"/>
        </w:rPr>
        <w:t xml:space="preserve"> </w:t>
      </w:r>
      <w:r w:rsidR="003B0DEE" w:rsidRPr="00CD19BB">
        <w:rPr>
          <w:rFonts w:cs="Times New Roman"/>
          <w:lang w:eastAsia="hr-HR"/>
        </w:rPr>
        <w:t>2027.</w:t>
      </w:r>
      <w:r w:rsidR="00AA0E5E">
        <w:rPr>
          <w:rFonts w:cs="Times New Roman"/>
          <w:lang w:eastAsia="hr-HR"/>
        </w:rPr>
        <w:t>“</w:t>
      </w:r>
      <w:r w:rsidRPr="00CD19BB">
        <w:rPr>
          <w:rFonts w:cs="Times New Roman"/>
        </w:rPr>
        <w:t xml:space="preserve">, a početak projekta planiran je u </w:t>
      </w:r>
      <w:r w:rsidR="005412B3">
        <w:rPr>
          <w:rFonts w:cs="Times New Roman"/>
        </w:rPr>
        <w:t>prvom kvartalu 2026</w:t>
      </w:r>
      <w:r w:rsidRPr="00CD19BB">
        <w:rPr>
          <w:rFonts w:cs="Times New Roman"/>
        </w:rPr>
        <w:t>.</w:t>
      </w:r>
      <w:r w:rsidR="00635859">
        <w:rPr>
          <w:rFonts w:cs="Times New Roman"/>
        </w:rPr>
        <w:t xml:space="preserve"> </w:t>
      </w:r>
      <w:r w:rsidRPr="00CD19BB">
        <w:rPr>
          <w:rFonts w:cs="Times New Roman"/>
        </w:rPr>
        <w:t xml:space="preserve">Cilj projekta </w:t>
      </w:r>
      <w:r w:rsidR="00A70D61" w:rsidRPr="00CD19BB">
        <w:rPr>
          <w:rFonts w:cs="Times New Roman"/>
        </w:rPr>
        <w:t>je</w:t>
      </w:r>
      <w:r w:rsidRPr="00CD19BB">
        <w:rPr>
          <w:rFonts w:cs="Times New Roman"/>
        </w:rPr>
        <w:t xml:space="preserve"> prikupljanje podataka o zdravstvenom stanju pripadnika romske nacionalne manjine kako bi se omogućilo dugoročno praćenje i buduće planiranje adekvatnih aktivnosti u području zdravlja Romkinja i Roma, a tijekom 202</w:t>
      </w:r>
      <w:r w:rsidR="00D16E83">
        <w:rPr>
          <w:rFonts w:cs="Times New Roman"/>
        </w:rPr>
        <w:t>4</w:t>
      </w:r>
      <w:r w:rsidRPr="00CD19BB">
        <w:rPr>
          <w:rFonts w:cs="Times New Roman"/>
        </w:rPr>
        <w:t>.</w:t>
      </w:r>
      <w:r w:rsidR="00D16E83">
        <w:rPr>
          <w:rFonts w:cs="Times New Roman"/>
        </w:rPr>
        <w:t xml:space="preserve"> </w:t>
      </w:r>
      <w:r w:rsidR="00713137">
        <w:rPr>
          <w:rFonts w:cs="Times New Roman"/>
        </w:rPr>
        <w:t xml:space="preserve">godine </w:t>
      </w:r>
      <w:r w:rsidRPr="00CD19BB">
        <w:rPr>
          <w:rFonts w:cs="Times New Roman"/>
        </w:rPr>
        <w:t xml:space="preserve">poduzimane su daljnje pripremne radnje vezano uz </w:t>
      </w:r>
      <w:r w:rsidR="00996D8B" w:rsidRPr="00CD19BB">
        <w:rPr>
          <w:rFonts w:cs="Times New Roman"/>
        </w:rPr>
        <w:t>pripremu natječajne dokumentacije Poziva.</w:t>
      </w:r>
      <w:r w:rsidR="00CD19BB">
        <w:rPr>
          <w:rFonts w:cs="Times New Roman"/>
        </w:rPr>
        <w:t xml:space="preserve"> B</w:t>
      </w:r>
      <w:r w:rsidR="00B9247F">
        <w:rPr>
          <w:rFonts w:cs="Times New Roman"/>
        </w:rPr>
        <w:t>rojne relevantne aktivnosti</w:t>
      </w:r>
      <w:r w:rsidR="00CD19BB">
        <w:rPr>
          <w:rFonts w:cs="Times New Roman"/>
        </w:rPr>
        <w:t xml:space="preserve"> su navedene u prilozima </w:t>
      </w:r>
      <w:r w:rsidR="00026107">
        <w:rPr>
          <w:rFonts w:cs="Times New Roman"/>
        </w:rPr>
        <w:t>JLP(R)S</w:t>
      </w:r>
      <w:r w:rsidR="00CD19BB">
        <w:rPr>
          <w:rFonts w:cs="Times New Roman"/>
        </w:rPr>
        <w:t xml:space="preserve"> i izvješć</w:t>
      </w:r>
      <w:r w:rsidR="00DE0E20">
        <w:rPr>
          <w:rFonts w:cs="Times New Roman"/>
        </w:rPr>
        <w:t>im</w:t>
      </w:r>
      <w:r w:rsidR="00CD19BB">
        <w:rPr>
          <w:rFonts w:cs="Times New Roman"/>
        </w:rPr>
        <w:t>a županijskih</w:t>
      </w:r>
      <w:r w:rsidR="00B9247F">
        <w:rPr>
          <w:rFonts w:cs="Times New Roman"/>
        </w:rPr>
        <w:t xml:space="preserve"> </w:t>
      </w:r>
      <w:r w:rsidR="00713137">
        <w:rPr>
          <w:rFonts w:cs="Times New Roman"/>
        </w:rPr>
        <w:t xml:space="preserve">zavoda </w:t>
      </w:r>
      <w:r w:rsidR="00B9247F">
        <w:rPr>
          <w:rFonts w:cs="Times New Roman"/>
        </w:rPr>
        <w:t>za javno zdravstvo.</w:t>
      </w:r>
    </w:p>
    <w:bookmarkEnd w:id="12"/>
    <w:p w14:paraId="3ADA583E" w14:textId="77777777" w:rsidR="00944620" w:rsidRDefault="00944620" w:rsidP="00D36147">
      <w:pPr>
        <w:spacing w:after="0" w:line="276" w:lineRule="auto"/>
        <w:jc w:val="both"/>
        <w:rPr>
          <w:rFonts w:cs="Times New Roman"/>
          <w:szCs w:val="24"/>
        </w:rPr>
      </w:pPr>
    </w:p>
    <w:p w14:paraId="10E337F5" w14:textId="77777777" w:rsidR="00D16E83" w:rsidRPr="00B9247F" w:rsidRDefault="00D16E83" w:rsidP="00D36147">
      <w:pPr>
        <w:spacing w:after="0" w:line="276" w:lineRule="auto"/>
        <w:jc w:val="both"/>
        <w:rPr>
          <w:rFonts w:cs="Times New Roman"/>
          <w:szCs w:val="24"/>
        </w:rPr>
      </w:pPr>
    </w:p>
    <w:p w14:paraId="22937E13" w14:textId="72DB6ADC" w:rsidR="00ED1E5D" w:rsidRDefault="00ED1E5D" w:rsidP="00D36147">
      <w:pPr>
        <w:spacing w:after="0" w:line="276" w:lineRule="auto"/>
        <w:jc w:val="both"/>
        <w:rPr>
          <w:rFonts w:cs="Times New Roman"/>
        </w:rPr>
      </w:pPr>
      <w:bookmarkStart w:id="13" w:name="_Hlk166758613"/>
      <w:r w:rsidRPr="00B9247F">
        <w:rPr>
          <w:rFonts w:cs="Times New Roman"/>
        </w:rPr>
        <w:t xml:space="preserve">U okviru sektorskog cilja </w:t>
      </w:r>
      <w:r w:rsidRPr="00B9247F">
        <w:rPr>
          <w:rFonts w:cs="Times New Roman"/>
          <w:b/>
          <w:i/>
        </w:rPr>
        <w:t>učinkovit i jednak pristup Roma prikladnom, desegregiranom stanovanju i osnovnim uslugama</w:t>
      </w:r>
      <w:r w:rsidRPr="00B9247F">
        <w:rPr>
          <w:rFonts w:cs="Times New Roman"/>
        </w:rPr>
        <w:t xml:space="preserve"> aktivnosti su provodili Ministarstvo prostornog</w:t>
      </w:r>
      <w:r w:rsidR="00D16E83">
        <w:rPr>
          <w:rFonts w:cs="Times New Roman"/>
        </w:rPr>
        <w:t>a</w:t>
      </w:r>
      <w:r w:rsidRPr="00B9247F">
        <w:rPr>
          <w:rFonts w:cs="Times New Roman"/>
        </w:rPr>
        <w:t xml:space="preserve"> uređenja, graditeljstva i državne imovine, </w:t>
      </w:r>
      <w:r w:rsidR="00841CC7">
        <w:rPr>
          <w:rFonts w:cs="Times New Roman"/>
        </w:rPr>
        <w:t>Ured</w:t>
      </w:r>
      <w:r w:rsidR="00BD4696">
        <w:rPr>
          <w:rFonts w:cs="Times New Roman"/>
        </w:rPr>
        <w:t xml:space="preserve"> </w:t>
      </w:r>
      <w:r w:rsidRPr="00B9247F">
        <w:rPr>
          <w:rFonts w:cs="Times New Roman"/>
        </w:rPr>
        <w:t xml:space="preserve">i Ministarstvo regionalnoga razvoja i fondova </w:t>
      </w:r>
      <w:r w:rsidRPr="000B1FA9">
        <w:rPr>
          <w:rFonts w:cs="Times New Roman"/>
        </w:rPr>
        <w:t>Europske unije.</w:t>
      </w:r>
    </w:p>
    <w:p w14:paraId="770B36A6" w14:textId="3E101652" w:rsidR="00B9247F" w:rsidRDefault="00B9247F" w:rsidP="00D36147">
      <w:pPr>
        <w:spacing w:after="0" w:line="276" w:lineRule="auto"/>
        <w:jc w:val="both"/>
        <w:rPr>
          <w:rFonts w:cs="Times New Roman"/>
        </w:rPr>
      </w:pPr>
    </w:p>
    <w:p w14:paraId="26682672" w14:textId="4B370F8D" w:rsidR="00B9247F" w:rsidRPr="00B9247F" w:rsidRDefault="00B9247F" w:rsidP="00B9247F">
      <w:pPr>
        <w:spacing w:after="0" w:line="276" w:lineRule="auto"/>
        <w:jc w:val="both"/>
        <w:rPr>
          <w:rFonts w:cs="Times New Roman"/>
          <w:iCs/>
        </w:rPr>
      </w:pPr>
      <w:r w:rsidRPr="00B9247F">
        <w:rPr>
          <w:rFonts w:cs="Times New Roman"/>
        </w:rPr>
        <w:t xml:space="preserve">Ministarstvo prostornoga uređenja, graditeljstva i državne imovine je krajem 2023. </w:t>
      </w:r>
      <w:r w:rsidR="000F15CF">
        <w:rPr>
          <w:rFonts w:cs="Times New Roman"/>
        </w:rPr>
        <w:t xml:space="preserve">godine </w:t>
      </w:r>
      <w:r w:rsidRPr="00B9247F">
        <w:rPr>
          <w:rFonts w:cs="Times New Roman"/>
        </w:rPr>
        <w:t xml:space="preserve">donijelo Godišnji program unapređenja životnih uvjeta pripadnika romske nacionalne manjine </w:t>
      </w:r>
      <w:r w:rsidR="00B76094">
        <w:rPr>
          <w:rFonts w:cs="Times New Roman"/>
        </w:rPr>
        <w:t xml:space="preserve">(u daljnjem tekstu: Godišnji program) </w:t>
      </w:r>
      <w:r w:rsidRPr="00B9247F">
        <w:rPr>
          <w:rFonts w:cs="Times New Roman"/>
        </w:rPr>
        <w:t>u romskom naselju Torjanci (Osječko-baranjska županija, Općina Petlovac) za 2024. godinu</w:t>
      </w:r>
      <w:r w:rsidR="000B1FA9">
        <w:rPr>
          <w:rFonts w:cs="Times New Roman"/>
        </w:rPr>
        <w:t xml:space="preserve"> koji uključuje</w:t>
      </w:r>
      <w:r w:rsidRPr="00B9247F">
        <w:rPr>
          <w:rFonts w:cs="Times New Roman"/>
          <w:iCs/>
        </w:rPr>
        <w:t xml:space="preserve"> izgradnju 6 obiteljskih kuća. Općina Petlovac je početkom 2024. </w:t>
      </w:r>
      <w:r w:rsidR="000F15CF">
        <w:rPr>
          <w:rFonts w:cs="Times New Roman"/>
          <w:iCs/>
        </w:rPr>
        <w:t xml:space="preserve">godine </w:t>
      </w:r>
      <w:r w:rsidRPr="00B9247F">
        <w:rPr>
          <w:rFonts w:cs="Times New Roman"/>
          <w:iCs/>
        </w:rPr>
        <w:t xml:space="preserve">dostavila Ministarstvu </w:t>
      </w:r>
      <w:bookmarkStart w:id="14" w:name="_Hlk194582619"/>
      <w:r w:rsidRPr="00B9247F">
        <w:rPr>
          <w:rFonts w:cs="Times New Roman"/>
          <w:iCs/>
        </w:rPr>
        <w:t xml:space="preserve">prostornoga uređenja, graditeljstva i državne imovine </w:t>
      </w:r>
      <w:bookmarkEnd w:id="14"/>
      <w:r w:rsidRPr="00B9247F">
        <w:rPr>
          <w:rFonts w:cs="Times New Roman"/>
          <w:iCs/>
        </w:rPr>
        <w:t>odluke i ugovore o darovanju nekretnina za 6 korisnika programa. Ministarstvo</w:t>
      </w:r>
      <w:r w:rsidR="00B76094">
        <w:rPr>
          <w:rFonts w:cs="Times New Roman"/>
          <w:iCs/>
        </w:rPr>
        <w:t xml:space="preserve"> </w:t>
      </w:r>
      <w:r w:rsidR="00B76094" w:rsidRPr="00B9247F">
        <w:rPr>
          <w:rFonts w:cs="Times New Roman"/>
          <w:iCs/>
        </w:rPr>
        <w:t>prostornoga uređenja, graditeljstva i državne imovine</w:t>
      </w:r>
      <w:r w:rsidRPr="00B9247F">
        <w:rPr>
          <w:rFonts w:cs="Times New Roman"/>
          <w:iCs/>
        </w:rPr>
        <w:t xml:space="preserve"> je provelo postupak javne nabave i sklopilo ugovor o projektiranju kuća. Izrađeni su idejni i glavni projekti za gradnju svih 6 obiteljskih kuća te su podneseni zahtjevi za ishođenje građevinskih dozvola. Tijekom prosinca 2024. izdane su građevinske dozvole za gradnju 3 obiteljske kuće, a za gradnju preostale 3 obiteljske kuće očekuje se izdavanje građevinske dozvole u siječnju 2025. Izgradnja obiteljskih kuća predviđena je u 2025. </w:t>
      </w:r>
      <w:r w:rsidR="000F15CF">
        <w:rPr>
          <w:rFonts w:cs="Times New Roman"/>
          <w:iCs/>
        </w:rPr>
        <w:t xml:space="preserve">godini. </w:t>
      </w:r>
      <w:r w:rsidRPr="00B9247F">
        <w:rPr>
          <w:rFonts w:cs="Times New Roman"/>
          <w:iCs/>
        </w:rPr>
        <w:t xml:space="preserve">Aktivnost se provodi kroz proračunsku aktivnost A761075 Poboljšanje uvjeta življenja romske nacionalne manjine te su u 2024. </w:t>
      </w:r>
      <w:r w:rsidR="000F15CF">
        <w:rPr>
          <w:rFonts w:cs="Times New Roman"/>
          <w:iCs/>
        </w:rPr>
        <w:t xml:space="preserve">godini </w:t>
      </w:r>
      <w:r w:rsidRPr="00B9247F">
        <w:rPr>
          <w:rFonts w:cs="Times New Roman"/>
          <w:iCs/>
        </w:rPr>
        <w:t xml:space="preserve">utrošena sredstva u iznosu od 709.606 </w:t>
      </w:r>
      <w:r w:rsidR="00B76094">
        <w:rPr>
          <w:rFonts w:cs="Times New Roman"/>
          <w:iCs/>
        </w:rPr>
        <w:t xml:space="preserve">EUR </w:t>
      </w:r>
      <w:r w:rsidRPr="00B9247F">
        <w:rPr>
          <w:rFonts w:cs="Times New Roman"/>
          <w:iCs/>
        </w:rPr>
        <w:t xml:space="preserve">za građevinski materijal i sanitarnu opremu za uređenje kupaonica/sanitarnih čvorova, vanjsku PVC stolariju i podne obloge (laminat) koji su isporučeni krajem 2023., prema </w:t>
      </w:r>
      <w:r w:rsidR="00B76094">
        <w:rPr>
          <w:rFonts w:cs="Times New Roman"/>
          <w:iCs/>
        </w:rPr>
        <w:t>G</w:t>
      </w:r>
      <w:r w:rsidRPr="00B9247F">
        <w:rPr>
          <w:rFonts w:cs="Times New Roman"/>
          <w:iCs/>
        </w:rPr>
        <w:t xml:space="preserve">odišnjem programu za 2023. </w:t>
      </w:r>
      <w:r w:rsidR="000F15CF">
        <w:rPr>
          <w:rFonts w:cs="Times New Roman"/>
          <w:iCs/>
        </w:rPr>
        <w:t xml:space="preserve">godinu, </w:t>
      </w:r>
      <w:r w:rsidRPr="00B9247F">
        <w:rPr>
          <w:rFonts w:cs="Times New Roman"/>
          <w:iCs/>
        </w:rPr>
        <w:t xml:space="preserve">a plaćeni početkom 2024. </w:t>
      </w:r>
      <w:r w:rsidR="000F15CF">
        <w:rPr>
          <w:rFonts w:cs="Times New Roman"/>
          <w:iCs/>
        </w:rPr>
        <w:t>godine.</w:t>
      </w:r>
    </w:p>
    <w:p w14:paraId="7D69971F" w14:textId="77777777" w:rsidR="00B9247F" w:rsidRPr="00B9247F" w:rsidRDefault="00B9247F" w:rsidP="00B9247F">
      <w:pPr>
        <w:spacing w:after="0" w:line="276" w:lineRule="auto"/>
        <w:jc w:val="both"/>
        <w:rPr>
          <w:rFonts w:cs="Times New Roman"/>
          <w:iCs/>
        </w:rPr>
      </w:pPr>
    </w:p>
    <w:p w14:paraId="4CCE5494" w14:textId="4C7B6C64" w:rsidR="00B9247F" w:rsidRDefault="00B9247F" w:rsidP="00B9247F">
      <w:pPr>
        <w:spacing w:after="0" w:line="276" w:lineRule="auto"/>
        <w:jc w:val="both"/>
        <w:rPr>
          <w:rFonts w:cs="Times New Roman"/>
        </w:rPr>
      </w:pPr>
      <w:r w:rsidRPr="00B9247F">
        <w:rPr>
          <w:rFonts w:cs="Times New Roman"/>
        </w:rPr>
        <w:t xml:space="preserve">Ministarstvo prostornoga uređenja, graditeljstva i državne imovine provodilo je aktivnosti na unaprjeđenju prostornog uređenja područja naseljenih Romima u obliku dodjele financijske potpore za prostorno uređenje područja naseljenog Romima za 2024. </w:t>
      </w:r>
      <w:r w:rsidR="000F15CF">
        <w:rPr>
          <w:rFonts w:cs="Times New Roman"/>
          <w:iCs/>
        </w:rPr>
        <w:t xml:space="preserve">godinu. </w:t>
      </w:r>
      <w:r w:rsidRPr="00B9247F">
        <w:rPr>
          <w:rFonts w:cs="Times New Roman"/>
        </w:rPr>
        <w:t xml:space="preserve">Prihvatljivi podnositelji zahtjeva u svrhu dodjele financijske potpore bile su </w:t>
      </w:r>
      <w:r w:rsidR="00026107">
        <w:rPr>
          <w:rFonts w:cs="Times New Roman"/>
        </w:rPr>
        <w:t>JLP(R)S</w:t>
      </w:r>
      <w:r w:rsidRPr="00B9247F">
        <w:rPr>
          <w:rFonts w:cs="Times New Roman"/>
        </w:rPr>
        <w:t xml:space="preserve"> koje prema Popisu </w:t>
      </w:r>
      <w:r w:rsidRPr="00B9247F">
        <w:rPr>
          <w:rFonts w:cs="Times New Roman"/>
        </w:rPr>
        <w:lastRenderedPageBreak/>
        <w:t xml:space="preserve">stanovništva iz 2021. imaju više od 1 % pripadnika romske nacionalne manjine, pri čemu taj postotak čini najmanje 20 stanovnika pripadnika romske nacionalne manjine koji žive u toj </w:t>
      </w:r>
      <w:r w:rsidR="00026107">
        <w:rPr>
          <w:rFonts w:cs="Times New Roman"/>
        </w:rPr>
        <w:t>JLP(R)S</w:t>
      </w:r>
      <w:r>
        <w:rPr>
          <w:rFonts w:cs="Times New Roman"/>
        </w:rPr>
        <w:t xml:space="preserve">. </w:t>
      </w:r>
      <w:r w:rsidRPr="00B9247F">
        <w:rPr>
          <w:rFonts w:cs="Times New Roman"/>
        </w:rPr>
        <w:t xml:space="preserve">Ugovori o dodjeli financijske potpore za izradu prostornih planova i projektno-tehničke dokumentacije za potrebe ishođenja akata za gradnju sklopljeni su sa 6 </w:t>
      </w:r>
      <w:r w:rsidR="00026107">
        <w:rPr>
          <w:rFonts w:cs="Times New Roman"/>
        </w:rPr>
        <w:t>JLP(R)S</w:t>
      </w:r>
      <w:r>
        <w:rPr>
          <w:rFonts w:cs="Times New Roman"/>
        </w:rPr>
        <w:t xml:space="preserve">, a </w:t>
      </w:r>
      <w:r w:rsidRPr="00B9247F">
        <w:rPr>
          <w:rFonts w:cs="Times New Roman"/>
        </w:rPr>
        <w:t xml:space="preserve">utrošena su sredstva u sveukupnom iznosu od 79.313,50 </w:t>
      </w:r>
      <w:r w:rsidR="00B76094">
        <w:rPr>
          <w:rFonts w:cs="Times New Roman"/>
        </w:rPr>
        <w:t>EUR</w:t>
      </w:r>
      <w:r w:rsidR="00CD6F24">
        <w:rPr>
          <w:rFonts w:cs="Times New Roman"/>
        </w:rPr>
        <w:t>, koja nisu iskazana u ovom Izvješću s obzirom da se radi o aktivnosti Operativnog programa romske nacionalne manjine</w:t>
      </w:r>
      <w:r w:rsidRPr="00B9247F">
        <w:rPr>
          <w:rFonts w:cs="Times New Roman"/>
        </w:rPr>
        <w:t xml:space="preserve">. </w:t>
      </w:r>
    </w:p>
    <w:p w14:paraId="4C4F03F3" w14:textId="77777777" w:rsidR="006B358F" w:rsidRPr="0007513B" w:rsidRDefault="006B358F" w:rsidP="00D36147">
      <w:pPr>
        <w:spacing w:after="0" w:line="276" w:lineRule="auto"/>
        <w:jc w:val="both"/>
        <w:rPr>
          <w:rFonts w:cs="Times New Roman"/>
        </w:rPr>
      </w:pPr>
    </w:p>
    <w:p w14:paraId="1AAE575C" w14:textId="0E6AB765" w:rsidR="00ED1E5D" w:rsidRPr="009F7AC9" w:rsidRDefault="00841CC7" w:rsidP="0007513B">
      <w:pPr>
        <w:spacing w:after="0" w:line="276" w:lineRule="auto"/>
        <w:jc w:val="both"/>
        <w:rPr>
          <w:rFonts w:cs="Times New Roman"/>
        </w:rPr>
      </w:pPr>
      <w:r>
        <w:rPr>
          <w:rFonts w:cs="Times New Roman"/>
          <w:szCs w:val="24"/>
        </w:rPr>
        <w:t>Ured</w:t>
      </w:r>
      <w:r w:rsidR="00C7292F">
        <w:rPr>
          <w:rFonts w:cs="Times New Roman"/>
          <w:szCs w:val="24"/>
        </w:rPr>
        <w:t xml:space="preserve"> </w:t>
      </w:r>
      <w:r w:rsidR="00B76094">
        <w:rPr>
          <w:rFonts w:cs="Times New Roman"/>
          <w:szCs w:val="24"/>
        </w:rPr>
        <w:t xml:space="preserve">je </w:t>
      </w:r>
      <w:r w:rsidR="00ED1E5D" w:rsidRPr="0007513B">
        <w:rPr>
          <w:rFonts w:cs="Times New Roman"/>
        </w:rPr>
        <w:t xml:space="preserve">nositelj aktivnosti kojom se putem Povjerenstva osigurava financijska pomoć za pripadnike romske nacionalne manjine. </w:t>
      </w:r>
      <w:r w:rsidR="0007513B" w:rsidRPr="00FC64BF">
        <w:rPr>
          <w:rFonts w:cs="Times New Roman"/>
        </w:rPr>
        <w:t xml:space="preserve">Povjerenstvo je tijekom 2024. </w:t>
      </w:r>
      <w:r w:rsidR="000F15CF">
        <w:rPr>
          <w:rFonts w:cs="Times New Roman"/>
          <w:iCs/>
        </w:rPr>
        <w:t xml:space="preserve">godine </w:t>
      </w:r>
      <w:r w:rsidR="0007513B" w:rsidRPr="00FC64BF">
        <w:rPr>
          <w:rFonts w:cs="Times New Roman"/>
        </w:rPr>
        <w:t>za su/financiranje pripreme i provedbe projekata</w:t>
      </w:r>
      <w:r w:rsidR="00026107">
        <w:rPr>
          <w:rFonts w:cs="Times New Roman"/>
        </w:rPr>
        <w:t xml:space="preserve"> JLP(R)</w:t>
      </w:r>
      <w:proofErr w:type="spellStart"/>
      <w:r w:rsidR="00026107">
        <w:rPr>
          <w:rFonts w:cs="Times New Roman"/>
        </w:rPr>
        <w:t>S</w:t>
      </w:r>
      <w:r w:rsidR="00940F3D">
        <w:rPr>
          <w:rFonts w:cs="Times New Roman"/>
        </w:rPr>
        <w:t>financiralo</w:t>
      </w:r>
      <w:proofErr w:type="spellEnd"/>
      <w:r w:rsidR="0007513B" w:rsidRPr="00FC64BF">
        <w:rPr>
          <w:rFonts w:cs="Times New Roman"/>
        </w:rPr>
        <w:t xml:space="preserve"> 4 zamolbe ukupne </w:t>
      </w:r>
      <w:r w:rsidR="0007513B" w:rsidRPr="0007513B">
        <w:rPr>
          <w:rFonts w:cs="Times New Roman"/>
        </w:rPr>
        <w:t xml:space="preserve">vrijednosti 128.658,10 EUR. </w:t>
      </w:r>
      <w:r w:rsidR="0007513B" w:rsidRPr="0007513B">
        <w:rPr>
          <w:rFonts w:eastAsia="Times New Roman" w:cs="Times New Roman"/>
          <w:szCs w:val="24"/>
          <w:lang w:eastAsia="hr-HR"/>
        </w:rPr>
        <w:t>Uz to, Povjerenstvo je u okviru svojih zadaća t</w:t>
      </w:r>
      <w:r w:rsidR="0007513B" w:rsidRPr="0007513B">
        <w:rPr>
          <w:rFonts w:cs="Times New Roman"/>
        </w:rPr>
        <w:t xml:space="preserve">ijekom 2024. </w:t>
      </w:r>
      <w:proofErr w:type="spellStart"/>
      <w:r w:rsidR="000F15CF">
        <w:rPr>
          <w:rFonts w:cs="Times New Roman"/>
          <w:iCs/>
        </w:rPr>
        <w:t>godine</w:t>
      </w:r>
      <w:r w:rsidR="00940F3D">
        <w:rPr>
          <w:rFonts w:cs="Times New Roman"/>
          <w:iCs/>
        </w:rPr>
        <w:t>financiralo</w:t>
      </w:r>
      <w:proofErr w:type="spellEnd"/>
      <w:r w:rsidR="0007513B" w:rsidRPr="0007513B">
        <w:rPr>
          <w:rFonts w:cs="Times New Roman"/>
          <w:szCs w:val="24"/>
        </w:rPr>
        <w:t xml:space="preserve"> 15 zamolbi fizičkih osoba za </w:t>
      </w:r>
      <w:r w:rsidR="0007513B" w:rsidRPr="0007513B">
        <w:rPr>
          <w:rFonts w:eastAsia="Times New Roman" w:cs="Times New Roman"/>
          <w:szCs w:val="24"/>
          <w:lang w:eastAsia="hr-HR"/>
        </w:rPr>
        <w:t>su</w:t>
      </w:r>
      <w:r w:rsidR="0007513B" w:rsidRPr="00FC64BF">
        <w:rPr>
          <w:rFonts w:eastAsia="Times New Roman" w:cs="Times New Roman"/>
          <w:szCs w:val="24"/>
          <w:lang w:eastAsia="hr-HR"/>
        </w:rPr>
        <w:t>/financiranje žurnih potreba pripadnika romske nacionalne manjine koji se nalaze u riziku od siromaštva, a dostatnu potporu nisu osigurali kroz druge relevantne institucije,</w:t>
      </w:r>
      <w:r w:rsidR="0007513B" w:rsidRPr="00D139D1">
        <w:rPr>
          <w:rFonts w:cs="Times New Roman"/>
          <w:szCs w:val="24"/>
        </w:rPr>
        <w:t xml:space="preserve"> ukupne vrijednosti 52.133,38 EUR (8 zahtjeva je odobreno pripadnicama romske </w:t>
      </w:r>
      <w:r w:rsidR="0007513B" w:rsidRPr="000E78D0">
        <w:rPr>
          <w:rFonts w:cs="Times New Roman"/>
          <w:szCs w:val="24"/>
        </w:rPr>
        <w:t>nacionalne manjine, u ukupnom iznosu od 24.308,14 EU</w:t>
      </w:r>
      <w:r w:rsidR="00B76094">
        <w:rPr>
          <w:rFonts w:cs="Times New Roman"/>
          <w:szCs w:val="24"/>
        </w:rPr>
        <w:t>R</w:t>
      </w:r>
      <w:r w:rsidR="0007513B" w:rsidRPr="000E78D0">
        <w:rPr>
          <w:rFonts w:cs="Times New Roman"/>
          <w:szCs w:val="24"/>
        </w:rPr>
        <w:t xml:space="preserve">), od čega je 14 zamolbi odobreno radi </w:t>
      </w:r>
      <w:r w:rsidR="0007513B" w:rsidRPr="00FC64BF">
        <w:rPr>
          <w:rFonts w:cs="Times New Roman"/>
          <w:bCs/>
        </w:rPr>
        <w:t>otklanjanje šteta uzrokovanih nenamjernim požarima, poplavama te ostalim nepredvidivim nepogodama i nesrećama na stambenim i drugim objektima</w:t>
      </w:r>
      <w:r w:rsidR="0007513B" w:rsidRPr="000E78D0">
        <w:rPr>
          <w:rFonts w:cs="Times New Roman"/>
          <w:szCs w:val="24"/>
        </w:rPr>
        <w:t xml:space="preserve">, a </w:t>
      </w:r>
      <w:r w:rsidR="0007513B">
        <w:rPr>
          <w:rFonts w:cs="Times New Roman"/>
          <w:szCs w:val="24"/>
        </w:rPr>
        <w:t>jedna</w:t>
      </w:r>
      <w:r w:rsidR="0007513B" w:rsidRPr="000E78D0">
        <w:rPr>
          <w:rFonts w:cs="Times New Roman"/>
          <w:szCs w:val="24"/>
        </w:rPr>
        <w:t xml:space="preserve"> zamolba za sufinanciranje liječenja, nabave lijekova i medicinskih pomagala. </w:t>
      </w:r>
    </w:p>
    <w:p w14:paraId="2D5A314D" w14:textId="77777777" w:rsidR="00ED1E5D" w:rsidRPr="009F7AC9" w:rsidRDefault="00ED1E5D" w:rsidP="00D36147">
      <w:pPr>
        <w:spacing w:after="0" w:line="276" w:lineRule="auto"/>
        <w:jc w:val="both"/>
        <w:rPr>
          <w:rFonts w:cs="Times New Roman"/>
        </w:rPr>
      </w:pPr>
    </w:p>
    <w:p w14:paraId="57F9255A" w14:textId="68AAD5EC" w:rsidR="009316E4" w:rsidRDefault="00ED1E5D" w:rsidP="00D36147">
      <w:pPr>
        <w:spacing w:after="0" w:line="276" w:lineRule="auto"/>
        <w:jc w:val="both"/>
        <w:rPr>
          <w:lang w:val="pt-BR"/>
        </w:rPr>
      </w:pPr>
      <w:bookmarkStart w:id="15" w:name="_Hlk170209155"/>
      <w:r w:rsidRPr="009F7AC9">
        <w:rPr>
          <w:rFonts w:cs="Times New Roman"/>
        </w:rPr>
        <w:t>Ministarstvo regionalnoga razvoja i fondova Europske unije je u 202</w:t>
      </w:r>
      <w:r w:rsidR="00A96367" w:rsidRPr="009F7AC9">
        <w:rPr>
          <w:rFonts w:cs="Times New Roman"/>
        </w:rPr>
        <w:t>4</w:t>
      </w:r>
      <w:r w:rsidRPr="009F7AC9">
        <w:rPr>
          <w:rFonts w:cs="Times New Roman"/>
        </w:rPr>
        <w:t xml:space="preserve">. </w:t>
      </w:r>
      <w:r w:rsidR="000F15CF">
        <w:rPr>
          <w:rFonts w:cs="Times New Roman"/>
          <w:iCs/>
        </w:rPr>
        <w:t xml:space="preserve">godini </w:t>
      </w:r>
      <w:r w:rsidRPr="009F7AC9">
        <w:rPr>
          <w:rFonts w:cs="Times New Roman"/>
        </w:rPr>
        <w:t>provodilo Program za unaprjeđenje infrastrukture na područjima naseljenim pripadnicima romske nacionalne manjine</w:t>
      </w:r>
      <w:r w:rsidR="00B76094">
        <w:rPr>
          <w:rFonts w:cs="Times New Roman"/>
        </w:rPr>
        <w:t xml:space="preserve"> (u daljnjem tekstu: Program)</w:t>
      </w:r>
      <w:r w:rsidR="009F7AC9">
        <w:rPr>
          <w:lang w:val="pt-BR"/>
        </w:rPr>
        <w:t>.</w:t>
      </w:r>
      <w:r w:rsidRPr="000B1FA9">
        <w:rPr>
          <w:rFonts w:cs="Times New Roman"/>
          <w:color w:val="70AD47" w:themeColor="accent6"/>
        </w:rPr>
        <w:t xml:space="preserve"> </w:t>
      </w:r>
      <w:bookmarkEnd w:id="15"/>
      <w:r w:rsidR="009F7AC9" w:rsidRPr="007969AF">
        <w:t xml:space="preserve">Korisnici Programa u širem smislu bili su stanovnici lokalne zajednice pripadnici romske nacionalne manjine koji imaju korist od provedbenih aktivnosti Programa. U užem smislu korisnici Programa bile su </w:t>
      </w:r>
      <w:r w:rsidR="00026107">
        <w:rPr>
          <w:rFonts w:cs="Times New Roman"/>
        </w:rPr>
        <w:t>JLP(R)S</w:t>
      </w:r>
      <w:r w:rsidR="009F7AC9" w:rsidRPr="007969AF">
        <w:t xml:space="preserve"> </w:t>
      </w:r>
      <w:proofErr w:type="spellStart"/>
      <w:r w:rsidR="009F7AC9" w:rsidRPr="007969AF">
        <w:t>s</w:t>
      </w:r>
      <w:proofErr w:type="spellEnd"/>
      <w:r w:rsidR="009F7AC9" w:rsidRPr="007969AF">
        <w:t xml:space="preserve"> udjelom višim od 1</w:t>
      </w:r>
      <w:r w:rsidR="000F15CF">
        <w:t xml:space="preserve"> </w:t>
      </w:r>
      <w:r w:rsidR="009F7AC9" w:rsidRPr="007969AF">
        <w:t xml:space="preserve">% pripadnika romske nacionalne manjine u stanovništvu prema Popisu stanovništva iz 2021., pri čemu taj postotak čini najmanje 30 stanovnika pripadnika romske nacionalne manjine koji žive u toj </w:t>
      </w:r>
      <w:r w:rsidR="00026107">
        <w:rPr>
          <w:rFonts w:cs="Times New Roman"/>
        </w:rPr>
        <w:t>JLP(R)S</w:t>
      </w:r>
      <w:r w:rsidR="009F7AC9">
        <w:t>.</w:t>
      </w:r>
      <w:r w:rsidR="009F7AC9" w:rsidRPr="009F7AC9">
        <w:rPr>
          <w:lang w:val="pt-BR"/>
        </w:rPr>
        <w:t xml:space="preserve"> </w:t>
      </w:r>
      <w:r w:rsidR="009F7AC9" w:rsidRPr="007969AF">
        <w:rPr>
          <w:lang w:val="pt-BR"/>
        </w:rPr>
        <w:t>Prihvatljive su bile građevine javne namjene, iz područja društvene, javne, komunalne, socijalne, okolišne i gospodarske infrastrukture, koje su bile na raspolaganju široj lokalnoj zajednici, a u okviru kojih je provedba pridonijela povećanju standarda društvene, javne, komunalne, socijalne i okolišne infrastrukture u romskim zajednicama</w:t>
      </w:r>
      <w:r w:rsidR="009F7AC9">
        <w:rPr>
          <w:lang w:val="pt-BR"/>
        </w:rPr>
        <w:t>.</w:t>
      </w:r>
      <w:r w:rsidR="009F7AC9" w:rsidRPr="009F7AC9">
        <w:rPr>
          <w:rFonts w:cs="Times New Roman"/>
        </w:rPr>
        <w:t xml:space="preserve"> </w:t>
      </w:r>
      <w:r w:rsidR="009F7AC9">
        <w:rPr>
          <w:rFonts w:cs="Times New Roman"/>
        </w:rPr>
        <w:t>P</w:t>
      </w:r>
      <w:r w:rsidR="009F7AC9" w:rsidRPr="009F7AC9">
        <w:rPr>
          <w:lang w:val="pt-BR"/>
        </w:rPr>
        <w:t xml:space="preserve">utem Programa je realiziran </w:t>
      </w:r>
      <w:r w:rsidR="009F7AC9" w:rsidRPr="007969AF">
        <w:rPr>
          <w:lang w:val="pt-BR"/>
        </w:rPr>
        <w:t xml:space="preserve">21 projekt, a ukupno je utrošen iznos od </w:t>
      </w:r>
      <w:r w:rsidR="00313FC9" w:rsidRPr="00313FC9">
        <w:rPr>
          <w:lang w:val="pt-BR"/>
        </w:rPr>
        <w:t>1.076.220,07 EUR što predstavlja povećanje od 57</w:t>
      </w:r>
      <w:r w:rsidR="000F15CF">
        <w:rPr>
          <w:lang w:val="pt-BR"/>
        </w:rPr>
        <w:t xml:space="preserve"> </w:t>
      </w:r>
      <w:r w:rsidR="00313FC9" w:rsidRPr="00313FC9">
        <w:rPr>
          <w:lang w:val="pt-BR"/>
        </w:rPr>
        <w:t xml:space="preserve">% </w:t>
      </w:r>
      <w:r w:rsidR="009F7AC9" w:rsidRPr="007969AF">
        <w:rPr>
          <w:lang w:val="pt-BR"/>
        </w:rPr>
        <w:t xml:space="preserve"> utrošenih sredstava u odnosu na 2023. </w:t>
      </w:r>
      <w:r w:rsidR="000F15CF">
        <w:rPr>
          <w:rFonts w:cs="Times New Roman"/>
          <w:iCs/>
        </w:rPr>
        <w:t>godinu.</w:t>
      </w:r>
    </w:p>
    <w:p w14:paraId="0F2348D3" w14:textId="77777777" w:rsidR="00B76094" w:rsidRPr="00AE2760" w:rsidRDefault="00B76094" w:rsidP="00D36147">
      <w:pPr>
        <w:spacing w:after="0" w:line="276" w:lineRule="auto"/>
        <w:jc w:val="both"/>
        <w:rPr>
          <w:rFonts w:cs="Times New Roman"/>
        </w:rPr>
      </w:pPr>
    </w:p>
    <w:p w14:paraId="233F0618" w14:textId="4F157EAE" w:rsidR="00ED1E5D" w:rsidRPr="00AE2760" w:rsidRDefault="00ED1E5D" w:rsidP="00D36147">
      <w:pPr>
        <w:spacing w:after="0" w:line="276" w:lineRule="auto"/>
        <w:jc w:val="both"/>
        <w:rPr>
          <w:rFonts w:cs="Times New Roman"/>
          <w:bCs/>
          <w:szCs w:val="24"/>
        </w:rPr>
      </w:pPr>
      <w:r w:rsidRPr="00AE2760" w:rsidDel="00CE4076">
        <w:rPr>
          <w:rFonts w:cs="Times New Roman"/>
          <w:b/>
          <w:bCs/>
          <w:szCs w:val="24"/>
        </w:rPr>
        <w:t xml:space="preserve">Za provedbu aktivnosti u sektorskom cilju </w:t>
      </w:r>
      <w:r w:rsidRPr="00AE2760">
        <w:rPr>
          <w:rFonts w:cs="Times New Roman"/>
          <w:b/>
          <w:bCs/>
          <w:i/>
          <w:szCs w:val="24"/>
        </w:rPr>
        <w:t>učinkovit i jednak pristup Roma prikladnom, desegregiranom stanovanju i osnovnim uslugama</w:t>
      </w:r>
      <w:r w:rsidRPr="00AE2760" w:rsidDel="00CE4076">
        <w:rPr>
          <w:rFonts w:cs="Times New Roman"/>
          <w:b/>
          <w:bCs/>
          <w:szCs w:val="24"/>
        </w:rPr>
        <w:t xml:space="preserve"> u 202</w:t>
      </w:r>
      <w:r w:rsidR="00B76094">
        <w:rPr>
          <w:rFonts w:cs="Times New Roman"/>
          <w:b/>
          <w:bCs/>
          <w:szCs w:val="24"/>
        </w:rPr>
        <w:t>4</w:t>
      </w:r>
      <w:r w:rsidRPr="00AE2760" w:rsidDel="00CE4076">
        <w:rPr>
          <w:rFonts w:cs="Times New Roman"/>
          <w:b/>
          <w:bCs/>
          <w:szCs w:val="24"/>
        </w:rPr>
        <w:t xml:space="preserve">. </w:t>
      </w:r>
      <w:r w:rsidR="009259CD" w:rsidRPr="009259CD">
        <w:rPr>
          <w:rFonts w:cs="Times New Roman"/>
          <w:b/>
          <w:iCs/>
        </w:rPr>
        <w:t>godini</w:t>
      </w:r>
      <w:r w:rsidR="009259CD">
        <w:rPr>
          <w:rFonts w:cs="Times New Roman"/>
          <w:iCs/>
        </w:rPr>
        <w:t xml:space="preserve"> </w:t>
      </w:r>
      <w:r w:rsidRPr="00AE2760">
        <w:rPr>
          <w:rFonts w:cs="Times New Roman"/>
          <w:b/>
          <w:bCs/>
          <w:szCs w:val="24"/>
        </w:rPr>
        <w:t xml:space="preserve">nadležna tijela su utrošila ukupno </w:t>
      </w:r>
      <w:r w:rsidR="000E20C8">
        <w:rPr>
          <w:rFonts w:cs="Times New Roman"/>
          <w:b/>
          <w:bCs/>
          <w:szCs w:val="24"/>
        </w:rPr>
        <w:t>1.960.405,67</w:t>
      </w:r>
      <w:r w:rsidRPr="00AE2760">
        <w:rPr>
          <w:rFonts w:cs="Times New Roman"/>
          <w:b/>
          <w:bCs/>
          <w:szCs w:val="24"/>
        </w:rPr>
        <w:t xml:space="preserve"> EUR</w:t>
      </w:r>
      <w:r w:rsidRPr="00AE2760">
        <w:rPr>
          <w:rFonts w:cs="Times New Roman"/>
          <w:bCs/>
          <w:szCs w:val="24"/>
        </w:rPr>
        <w:t>.</w:t>
      </w:r>
    </w:p>
    <w:p w14:paraId="22C79F7B" w14:textId="20CD940B" w:rsidR="00410784" w:rsidRDefault="00410784" w:rsidP="00D36147">
      <w:pPr>
        <w:spacing w:after="0" w:line="276" w:lineRule="auto"/>
        <w:jc w:val="both"/>
        <w:rPr>
          <w:rFonts w:cs="Times New Roman"/>
          <w:bCs/>
          <w:color w:val="FF0000"/>
          <w:szCs w:val="24"/>
        </w:rPr>
      </w:pPr>
    </w:p>
    <w:p w14:paraId="50B9060C" w14:textId="69096178" w:rsidR="00C7631B" w:rsidRDefault="00AE2760" w:rsidP="000B1FA9">
      <w:pPr>
        <w:spacing w:after="0" w:line="276" w:lineRule="auto"/>
        <w:jc w:val="both"/>
        <w:rPr>
          <w:rFonts w:cs="Times New Roman"/>
          <w:szCs w:val="24"/>
        </w:rPr>
      </w:pPr>
      <w:r w:rsidRPr="007D3AE6">
        <w:rPr>
          <w:rFonts w:cs="Times New Roman"/>
          <w:bCs/>
          <w:szCs w:val="24"/>
        </w:rPr>
        <w:t>Zaključno, z</w:t>
      </w:r>
      <w:r w:rsidR="000B1FA9" w:rsidRPr="007D3AE6">
        <w:rPr>
          <w:rFonts w:cs="Times New Roman"/>
          <w:szCs w:val="24"/>
        </w:rPr>
        <w:t xml:space="preserve">a provođenje Akcijskog plana u 2024. </w:t>
      </w:r>
      <w:r w:rsidR="009259CD">
        <w:rPr>
          <w:rFonts w:cs="Times New Roman"/>
          <w:iCs/>
        </w:rPr>
        <w:t xml:space="preserve">godini </w:t>
      </w:r>
      <w:r w:rsidR="000B1FA9" w:rsidRPr="007D3AE6">
        <w:rPr>
          <w:rFonts w:cs="Times New Roman"/>
          <w:szCs w:val="24"/>
        </w:rPr>
        <w:t xml:space="preserve">utrošena su sredstva u ukupnom iznosu od </w:t>
      </w:r>
      <w:r w:rsidR="00F61A19">
        <w:rPr>
          <w:rFonts w:cs="Times New Roman"/>
          <w:szCs w:val="24"/>
        </w:rPr>
        <w:t>7.</w:t>
      </w:r>
      <w:r w:rsidR="000E20C8">
        <w:rPr>
          <w:rFonts w:cs="Times New Roman"/>
          <w:szCs w:val="24"/>
        </w:rPr>
        <w:t>7</w:t>
      </w:r>
      <w:r w:rsidR="00204D02">
        <w:rPr>
          <w:rFonts w:cs="Times New Roman"/>
          <w:szCs w:val="24"/>
        </w:rPr>
        <w:t>33</w:t>
      </w:r>
      <w:r w:rsidR="00F61A19">
        <w:rPr>
          <w:rFonts w:cs="Times New Roman"/>
          <w:szCs w:val="24"/>
        </w:rPr>
        <w:t>.</w:t>
      </w:r>
      <w:r w:rsidR="00204D02">
        <w:rPr>
          <w:rFonts w:cs="Times New Roman"/>
          <w:szCs w:val="24"/>
        </w:rPr>
        <w:t>952</w:t>
      </w:r>
      <w:r w:rsidR="000E20C8">
        <w:rPr>
          <w:rFonts w:cs="Times New Roman"/>
          <w:szCs w:val="24"/>
        </w:rPr>
        <w:t>,</w:t>
      </w:r>
      <w:r w:rsidR="00204D02">
        <w:rPr>
          <w:rFonts w:cs="Times New Roman"/>
          <w:szCs w:val="24"/>
        </w:rPr>
        <w:t>01</w:t>
      </w:r>
      <w:r w:rsidR="007D3AE6" w:rsidRPr="007D3AE6">
        <w:rPr>
          <w:rFonts w:cs="Times New Roman"/>
          <w:szCs w:val="24"/>
        </w:rPr>
        <w:t xml:space="preserve"> EUR, od toga 7.</w:t>
      </w:r>
      <w:r w:rsidR="00204D02">
        <w:rPr>
          <w:rFonts w:cs="Times New Roman"/>
          <w:szCs w:val="24"/>
        </w:rPr>
        <w:t>346</w:t>
      </w:r>
      <w:r w:rsidR="007D3AE6" w:rsidRPr="007D3AE6">
        <w:rPr>
          <w:rFonts w:cs="Times New Roman"/>
          <w:szCs w:val="24"/>
        </w:rPr>
        <w:t>.</w:t>
      </w:r>
      <w:r w:rsidR="00204D02">
        <w:rPr>
          <w:rFonts w:cs="Times New Roman"/>
          <w:szCs w:val="24"/>
        </w:rPr>
        <w:t>952</w:t>
      </w:r>
      <w:r w:rsidR="007D3AE6" w:rsidRPr="007D3AE6">
        <w:rPr>
          <w:rFonts w:cs="Times New Roman"/>
          <w:szCs w:val="24"/>
        </w:rPr>
        <w:t>,</w:t>
      </w:r>
      <w:r w:rsidR="00204D02">
        <w:rPr>
          <w:rFonts w:cs="Times New Roman"/>
          <w:szCs w:val="24"/>
        </w:rPr>
        <w:t>01</w:t>
      </w:r>
      <w:r w:rsidR="007D3AE6" w:rsidRPr="007D3AE6">
        <w:rPr>
          <w:rFonts w:cs="Times New Roman"/>
          <w:szCs w:val="24"/>
        </w:rPr>
        <w:t xml:space="preserve"> EUR sredstava iz državnog proračuna te </w:t>
      </w:r>
      <w:r w:rsidR="00F61A19">
        <w:rPr>
          <w:rFonts w:cs="Times New Roman"/>
          <w:szCs w:val="24"/>
        </w:rPr>
        <w:t>387</w:t>
      </w:r>
      <w:r w:rsidR="007D3AE6" w:rsidRPr="007D3AE6">
        <w:rPr>
          <w:rFonts w:cs="Times New Roman"/>
          <w:szCs w:val="24"/>
        </w:rPr>
        <w:t>.</w:t>
      </w:r>
      <w:r w:rsidR="00F61A19">
        <w:rPr>
          <w:rFonts w:cs="Times New Roman"/>
          <w:szCs w:val="24"/>
        </w:rPr>
        <w:t>000,00</w:t>
      </w:r>
      <w:r w:rsidR="007D3AE6" w:rsidRPr="007D3AE6">
        <w:rPr>
          <w:rFonts w:cs="Times New Roman"/>
          <w:szCs w:val="24"/>
        </w:rPr>
        <w:t xml:space="preserve"> EUR sredstava </w:t>
      </w:r>
      <w:r w:rsidR="002A5061">
        <w:rPr>
          <w:rFonts w:cs="Times New Roman"/>
          <w:szCs w:val="24"/>
        </w:rPr>
        <w:t xml:space="preserve">fondova </w:t>
      </w:r>
      <w:r w:rsidR="007D3AE6" w:rsidRPr="007D3AE6">
        <w:rPr>
          <w:rFonts w:cs="Times New Roman"/>
          <w:szCs w:val="24"/>
        </w:rPr>
        <w:t>EU i drugih izvora</w:t>
      </w:r>
      <w:r w:rsidR="00B051AE">
        <w:rPr>
          <w:rFonts w:cs="Times New Roman"/>
          <w:szCs w:val="24"/>
        </w:rPr>
        <w:t xml:space="preserve">, </w:t>
      </w:r>
      <w:r w:rsidR="00C7631B">
        <w:rPr>
          <w:rFonts w:cs="Times New Roman"/>
          <w:szCs w:val="24"/>
        </w:rPr>
        <w:t xml:space="preserve">odnosno 51,16 % </w:t>
      </w:r>
      <w:r w:rsidR="00C7631B" w:rsidRPr="00585380">
        <w:rPr>
          <w:rFonts w:cs="Times New Roman"/>
          <w:szCs w:val="24"/>
        </w:rPr>
        <w:t>viš</w:t>
      </w:r>
      <w:r w:rsidR="00662E4B">
        <w:rPr>
          <w:rFonts w:cs="Times New Roman"/>
          <w:szCs w:val="24"/>
        </w:rPr>
        <w:t>e</w:t>
      </w:r>
      <w:r w:rsidR="00C7631B" w:rsidRPr="00585380">
        <w:rPr>
          <w:rFonts w:cs="Times New Roman"/>
          <w:szCs w:val="24"/>
        </w:rPr>
        <w:t xml:space="preserve"> od sredstava </w:t>
      </w:r>
      <w:r w:rsidR="00662E4B" w:rsidRPr="00585380">
        <w:rPr>
          <w:rFonts w:cs="Times New Roman"/>
          <w:szCs w:val="24"/>
        </w:rPr>
        <w:t xml:space="preserve">utrošenih </w:t>
      </w:r>
      <w:r w:rsidR="00C7631B" w:rsidRPr="00585380">
        <w:rPr>
          <w:rFonts w:cs="Times New Roman"/>
          <w:szCs w:val="24"/>
        </w:rPr>
        <w:t>za provođenje Akcijskog plana u 2023.</w:t>
      </w:r>
      <w:r w:rsidR="009259CD">
        <w:rPr>
          <w:rFonts w:cs="Times New Roman"/>
          <w:szCs w:val="24"/>
        </w:rPr>
        <w:t xml:space="preserve"> </w:t>
      </w:r>
      <w:r w:rsidR="009259CD">
        <w:rPr>
          <w:rFonts w:cs="Times New Roman"/>
          <w:iCs/>
        </w:rPr>
        <w:t>godini</w:t>
      </w:r>
      <w:r w:rsidR="00C7631B" w:rsidRPr="00585380">
        <w:rPr>
          <w:rFonts w:cs="Times New Roman"/>
          <w:szCs w:val="24"/>
        </w:rPr>
        <w:t xml:space="preserve"> (5.116.399,66 EUR).</w:t>
      </w:r>
    </w:p>
    <w:p w14:paraId="5B5E0D8C" w14:textId="103ED97B" w:rsidR="000B1FA9" w:rsidRPr="007D3AE6" w:rsidRDefault="00B051AE" w:rsidP="000B1FA9">
      <w:pPr>
        <w:spacing w:after="0" w:line="276" w:lineRule="auto"/>
        <w:jc w:val="both"/>
        <w:rPr>
          <w:rFonts w:cs="Times New Roman"/>
          <w:szCs w:val="24"/>
        </w:rPr>
      </w:pPr>
      <w:r>
        <w:rPr>
          <w:rFonts w:cs="Times New Roman"/>
          <w:szCs w:val="24"/>
        </w:rPr>
        <w:t>Pri tome</w:t>
      </w:r>
      <w:r w:rsidR="000B1FA9" w:rsidRPr="007D3AE6">
        <w:rPr>
          <w:rFonts w:cs="Times New Roman"/>
          <w:szCs w:val="24"/>
        </w:rPr>
        <w:t xml:space="preserve"> </w:t>
      </w:r>
      <w:r>
        <w:rPr>
          <w:rFonts w:cs="Times New Roman"/>
          <w:szCs w:val="24"/>
        </w:rPr>
        <w:t>u</w:t>
      </w:r>
      <w:r w:rsidR="000B1FA9" w:rsidRPr="007D3AE6">
        <w:rPr>
          <w:rFonts w:cs="Times New Roman"/>
          <w:szCs w:val="24"/>
        </w:rPr>
        <w:t xml:space="preserve"> ova sredstva nisu uračunate znatne investicije na lokalnoj i područnoj razini, sredstva nadležnih tijela u okviru redovitih aktivnosti i aktivnosti sufinancirane sredstvima fondova EU </w:t>
      </w:r>
      <w:r w:rsidR="000B1FA9" w:rsidRPr="007D3AE6">
        <w:rPr>
          <w:rFonts w:cs="Times New Roman"/>
          <w:szCs w:val="24"/>
        </w:rPr>
        <w:lastRenderedPageBreak/>
        <w:t xml:space="preserve">za koje se ne vodi statistika u odnosu na etničku pripadnost korisnika. Početak provedbe projekata planiranih u okviru ESF+ iz Programa </w:t>
      </w:r>
      <w:r w:rsidR="00AA0E5E">
        <w:rPr>
          <w:rFonts w:cs="Times New Roman"/>
          <w:szCs w:val="24"/>
        </w:rPr>
        <w:t>„</w:t>
      </w:r>
      <w:r w:rsidR="000B1FA9" w:rsidRPr="007D3AE6">
        <w:rPr>
          <w:rFonts w:cs="Times New Roman"/>
          <w:szCs w:val="24"/>
        </w:rPr>
        <w:t>Učinkoviti ljudski potencijali 2021.</w:t>
      </w:r>
      <w:r w:rsidR="00AA0E5E">
        <w:rPr>
          <w:rFonts w:cs="Times New Roman"/>
          <w:szCs w:val="24"/>
        </w:rPr>
        <w:t xml:space="preserve"> </w:t>
      </w:r>
      <w:r w:rsidR="000B1FA9" w:rsidRPr="007D3AE6">
        <w:rPr>
          <w:rFonts w:cs="Times New Roman"/>
          <w:szCs w:val="24"/>
        </w:rPr>
        <w:t>- 2027.</w:t>
      </w:r>
      <w:r w:rsidR="00AA0E5E">
        <w:rPr>
          <w:rFonts w:cs="Times New Roman"/>
          <w:szCs w:val="24"/>
        </w:rPr>
        <w:t>“</w:t>
      </w:r>
      <w:r w:rsidR="000B1FA9" w:rsidRPr="007D3AE6">
        <w:rPr>
          <w:rFonts w:cs="Times New Roman"/>
          <w:szCs w:val="24"/>
        </w:rPr>
        <w:t xml:space="preserve"> očekuje se tijekom 2025</w:t>
      </w:r>
      <w:r w:rsidR="002A5061">
        <w:rPr>
          <w:rFonts w:cs="Times New Roman"/>
          <w:szCs w:val="24"/>
        </w:rPr>
        <w:t xml:space="preserve">. i </w:t>
      </w:r>
      <w:r w:rsidR="005412B3">
        <w:rPr>
          <w:rFonts w:cs="Times New Roman"/>
          <w:szCs w:val="24"/>
        </w:rPr>
        <w:t>2026</w:t>
      </w:r>
      <w:r w:rsidR="000B1FA9" w:rsidRPr="007D3AE6">
        <w:rPr>
          <w:rFonts w:cs="Times New Roman"/>
          <w:szCs w:val="24"/>
        </w:rPr>
        <w:t>.</w:t>
      </w:r>
      <w:r w:rsidR="00490DC1">
        <w:rPr>
          <w:rFonts w:cs="Times New Roman"/>
          <w:szCs w:val="24"/>
        </w:rPr>
        <w:t xml:space="preserve"> </w:t>
      </w:r>
      <w:r w:rsidR="009259CD">
        <w:rPr>
          <w:rFonts w:cs="Times New Roman"/>
          <w:iCs/>
        </w:rPr>
        <w:t xml:space="preserve">godine </w:t>
      </w:r>
      <w:r w:rsidR="000B1FA9" w:rsidRPr="007D3AE6">
        <w:rPr>
          <w:rFonts w:cs="Times New Roman"/>
          <w:szCs w:val="24"/>
        </w:rPr>
        <w:t>kao i dodatni porast udjela EU sredstava u ukupnoj provedbi Akcijskog plana.</w:t>
      </w:r>
    </w:p>
    <w:p w14:paraId="423A88E7" w14:textId="77777777" w:rsidR="000B1FA9" w:rsidRPr="007D3AE6" w:rsidRDefault="000B1FA9" w:rsidP="000B1FA9">
      <w:pPr>
        <w:spacing w:after="0" w:line="276" w:lineRule="auto"/>
        <w:jc w:val="both"/>
        <w:rPr>
          <w:rFonts w:cs="Times New Roman"/>
          <w:szCs w:val="24"/>
        </w:rPr>
      </w:pPr>
    </w:p>
    <w:p w14:paraId="5AA2E5FA" w14:textId="2F37D014" w:rsidR="000B1FA9" w:rsidRPr="007D3AE6" w:rsidRDefault="000B1FA9" w:rsidP="000B1FA9">
      <w:pPr>
        <w:spacing w:after="0" w:line="276" w:lineRule="auto"/>
        <w:jc w:val="both"/>
        <w:rPr>
          <w:rFonts w:cs="Times New Roman"/>
          <w:bCs/>
          <w:szCs w:val="24"/>
        </w:rPr>
      </w:pPr>
      <w:r w:rsidRPr="007C5FA7">
        <w:rPr>
          <w:rFonts w:cs="Times New Roman"/>
          <w:szCs w:val="24"/>
        </w:rPr>
        <w:t>Također, za komplementarne aktivnosti koje se provode u okviru Operativnog programa romske nacionalne manjine u 202</w:t>
      </w:r>
      <w:r w:rsidR="000B764D" w:rsidRPr="007C5FA7">
        <w:rPr>
          <w:rFonts w:cs="Times New Roman"/>
          <w:szCs w:val="24"/>
        </w:rPr>
        <w:t>4</w:t>
      </w:r>
      <w:r w:rsidRPr="007C5FA7">
        <w:rPr>
          <w:rFonts w:cs="Times New Roman"/>
          <w:szCs w:val="24"/>
        </w:rPr>
        <w:t xml:space="preserve">. </w:t>
      </w:r>
      <w:r w:rsidR="009259CD">
        <w:rPr>
          <w:rFonts w:cs="Times New Roman"/>
          <w:iCs/>
        </w:rPr>
        <w:t xml:space="preserve">godini </w:t>
      </w:r>
      <w:r w:rsidRPr="007C5FA7">
        <w:rPr>
          <w:rFonts w:cs="Times New Roman"/>
          <w:szCs w:val="24"/>
        </w:rPr>
        <w:t xml:space="preserve">utrošena su </w:t>
      </w:r>
      <w:r w:rsidR="007C5FA7">
        <w:rPr>
          <w:rFonts w:cs="Times New Roman"/>
          <w:szCs w:val="24"/>
        </w:rPr>
        <w:t xml:space="preserve">sredstva </w:t>
      </w:r>
      <w:r w:rsidRPr="007C5FA7">
        <w:rPr>
          <w:rFonts w:cs="Times New Roman"/>
          <w:szCs w:val="24"/>
        </w:rPr>
        <w:t xml:space="preserve">u ukupnom iznosu od </w:t>
      </w:r>
      <w:r w:rsidR="00FE64E3" w:rsidRPr="007C5FA7">
        <w:rPr>
          <w:rFonts w:cs="Times New Roman"/>
          <w:szCs w:val="24"/>
        </w:rPr>
        <w:t xml:space="preserve">7.725.165,87 </w:t>
      </w:r>
      <w:r w:rsidRPr="007C5FA7">
        <w:rPr>
          <w:rFonts w:cs="Times New Roman"/>
          <w:szCs w:val="24"/>
        </w:rPr>
        <w:t>EUR</w:t>
      </w:r>
      <w:r w:rsidR="00A87AC2">
        <w:rPr>
          <w:rFonts w:cs="Times New Roman"/>
          <w:szCs w:val="24"/>
        </w:rPr>
        <w:t>.</w:t>
      </w:r>
      <w:r w:rsidRPr="00A87AC2">
        <w:rPr>
          <w:rFonts w:cs="Times New Roman"/>
          <w:szCs w:val="24"/>
        </w:rPr>
        <w:t xml:space="preserve"> Zaključno se navodi kako je za unaprjeđenje položaja pripadnika romske nacionalne manjine u 202</w:t>
      </w:r>
      <w:r w:rsidR="000B764D" w:rsidRPr="00A87AC2">
        <w:rPr>
          <w:rFonts w:cs="Times New Roman"/>
          <w:szCs w:val="24"/>
        </w:rPr>
        <w:t>4</w:t>
      </w:r>
      <w:r w:rsidRPr="00A87AC2">
        <w:rPr>
          <w:rFonts w:cs="Times New Roman"/>
          <w:szCs w:val="24"/>
        </w:rPr>
        <w:t>. godini iz državnog proračuna utrošeno</w:t>
      </w:r>
      <w:r w:rsidR="000B764D" w:rsidRPr="00A87AC2">
        <w:rPr>
          <w:rFonts w:cs="Times New Roman"/>
          <w:szCs w:val="24"/>
        </w:rPr>
        <w:t xml:space="preserve"> </w:t>
      </w:r>
      <w:r w:rsidR="007C5FA7">
        <w:rPr>
          <w:rFonts w:cs="Times New Roman"/>
          <w:szCs w:val="24"/>
        </w:rPr>
        <w:t xml:space="preserve">ukupno </w:t>
      </w:r>
      <w:r w:rsidR="002A3EED" w:rsidRPr="002A3EED">
        <w:rPr>
          <w:rFonts w:cs="Times New Roman"/>
          <w:szCs w:val="24"/>
        </w:rPr>
        <w:t>15.459.117,</w:t>
      </w:r>
      <w:r w:rsidR="002A3EED">
        <w:rPr>
          <w:rFonts w:cs="Times New Roman"/>
          <w:szCs w:val="24"/>
        </w:rPr>
        <w:t>88</w:t>
      </w:r>
      <w:r w:rsidR="00AE3A59">
        <w:rPr>
          <w:rFonts w:cs="Times New Roman"/>
          <w:szCs w:val="24"/>
        </w:rPr>
        <w:t xml:space="preserve"> EUR</w:t>
      </w:r>
      <w:r w:rsidRPr="00A87AC2">
        <w:rPr>
          <w:rFonts w:cs="Times New Roman"/>
          <w:szCs w:val="24"/>
        </w:rPr>
        <w:t>.</w:t>
      </w:r>
      <w:r w:rsidRPr="007D3AE6">
        <w:rPr>
          <w:rFonts w:cs="Times New Roman"/>
          <w:szCs w:val="24"/>
        </w:rPr>
        <w:t xml:space="preserve"> </w:t>
      </w:r>
    </w:p>
    <w:p w14:paraId="562F8AD0" w14:textId="625E452B" w:rsidR="000B1FA9" w:rsidRPr="007D3AE6" w:rsidRDefault="000B1FA9" w:rsidP="00D36147">
      <w:pPr>
        <w:spacing w:after="0" w:line="276" w:lineRule="auto"/>
        <w:jc w:val="both"/>
        <w:rPr>
          <w:rFonts w:cs="Times New Roman"/>
          <w:bCs/>
          <w:szCs w:val="24"/>
        </w:rPr>
      </w:pPr>
    </w:p>
    <w:bookmarkEnd w:id="13"/>
    <w:p w14:paraId="7362EFAB" w14:textId="77777777" w:rsidR="00410784" w:rsidRPr="00CE622A" w:rsidRDefault="00410784" w:rsidP="00D36147">
      <w:pPr>
        <w:spacing w:after="0" w:line="276" w:lineRule="auto"/>
        <w:jc w:val="both"/>
        <w:rPr>
          <w:rFonts w:cs="Times New Roman"/>
          <w:bCs/>
          <w:color w:val="FF0000"/>
          <w:szCs w:val="24"/>
        </w:rPr>
      </w:pPr>
    </w:p>
    <w:p w14:paraId="4075147C" w14:textId="7DC014AB" w:rsidR="0002532C" w:rsidRPr="00CE622A" w:rsidRDefault="0002532C" w:rsidP="00D36147">
      <w:pPr>
        <w:spacing w:after="0" w:line="276" w:lineRule="auto"/>
        <w:rPr>
          <w:rFonts w:cs="Times New Roman"/>
          <w:bCs/>
          <w:color w:val="FF0000"/>
          <w:szCs w:val="24"/>
        </w:rPr>
      </w:pPr>
      <w:r w:rsidRPr="00CE622A">
        <w:rPr>
          <w:rFonts w:cs="Times New Roman"/>
          <w:bCs/>
          <w:color w:val="FF0000"/>
          <w:szCs w:val="24"/>
        </w:rPr>
        <w:br w:type="page"/>
      </w:r>
    </w:p>
    <w:p w14:paraId="2EC54237" w14:textId="6EDAD36C" w:rsidR="00C600F5" w:rsidRPr="00441179" w:rsidRDefault="00F0798C" w:rsidP="004A3B23">
      <w:pPr>
        <w:pStyle w:val="Heading1"/>
        <w:rPr>
          <w:rFonts w:cs="Times New Roman"/>
        </w:rPr>
      </w:pPr>
      <w:bookmarkStart w:id="16" w:name="_Toc132988315"/>
      <w:r w:rsidRPr="00441179">
        <w:rPr>
          <w:rFonts w:cs="Times New Roman"/>
        </w:rPr>
        <w:lastRenderedPageBreak/>
        <w:t xml:space="preserve">MJERE I </w:t>
      </w:r>
      <w:r w:rsidR="002873C9" w:rsidRPr="00441179">
        <w:rPr>
          <w:rFonts w:cs="Times New Roman"/>
        </w:rPr>
        <w:t>AKTIVNOSTI</w:t>
      </w:r>
      <w:r w:rsidR="00BD651B" w:rsidRPr="00441179">
        <w:rPr>
          <w:rFonts w:cs="Times New Roman"/>
        </w:rPr>
        <w:t xml:space="preserve"> U </w:t>
      </w:r>
      <w:r w:rsidR="00C600F5" w:rsidRPr="00441179">
        <w:rPr>
          <w:rFonts w:cs="Times New Roman"/>
        </w:rPr>
        <w:t>HORIZONTALN</w:t>
      </w:r>
      <w:r w:rsidR="00945C01" w:rsidRPr="00441179">
        <w:rPr>
          <w:rFonts w:cs="Times New Roman"/>
        </w:rPr>
        <w:t>OM</w:t>
      </w:r>
      <w:r w:rsidR="00C600F5" w:rsidRPr="00441179">
        <w:rPr>
          <w:rFonts w:cs="Times New Roman"/>
        </w:rPr>
        <w:t xml:space="preserve"> CILJ</w:t>
      </w:r>
      <w:r w:rsidR="00FE459D" w:rsidRPr="00441179">
        <w:rPr>
          <w:rFonts w:cs="Times New Roman"/>
        </w:rPr>
        <w:t>U</w:t>
      </w:r>
      <w:r w:rsidR="00945C01" w:rsidRPr="00441179">
        <w:rPr>
          <w:rFonts w:cs="Times New Roman"/>
        </w:rPr>
        <w:t xml:space="preserve"> </w:t>
      </w:r>
      <w:r w:rsidR="005F33A0" w:rsidRPr="00441179">
        <w:rPr>
          <w:rFonts w:cs="Times New Roman"/>
        </w:rPr>
        <w:t>BORBA PROTIV ANTIROMSKOG RASIZMA I DISKRIMINACIJE</w:t>
      </w:r>
      <w:bookmarkEnd w:id="16"/>
    </w:p>
    <w:p w14:paraId="6089FFFC" w14:textId="784145EE" w:rsidR="00C600F5" w:rsidRPr="00441179" w:rsidRDefault="00C600F5" w:rsidP="00D36147">
      <w:pPr>
        <w:spacing w:after="0" w:line="276" w:lineRule="auto"/>
        <w:jc w:val="both"/>
        <w:rPr>
          <w:rFonts w:cs="Times New Roman"/>
          <w:sz w:val="18"/>
          <w:szCs w:val="18"/>
        </w:rPr>
      </w:pPr>
    </w:p>
    <w:p w14:paraId="0EDA21D4" w14:textId="7D214D3C" w:rsidR="001C083A" w:rsidRPr="00441179" w:rsidRDefault="00A84FA2" w:rsidP="00D36147">
      <w:pPr>
        <w:spacing w:after="0" w:line="276" w:lineRule="auto"/>
        <w:jc w:val="both"/>
        <w:rPr>
          <w:rFonts w:cs="Times New Roman"/>
          <w:szCs w:val="24"/>
        </w:rPr>
      </w:pPr>
      <w:r w:rsidRPr="00441179">
        <w:rPr>
          <w:rFonts w:cs="Times New Roman"/>
          <w:szCs w:val="24"/>
        </w:rPr>
        <w:t xml:space="preserve">Svrha provedbe mjera i aktivnosti </w:t>
      </w:r>
      <w:r w:rsidR="00CE5E67" w:rsidRPr="00441179">
        <w:rPr>
          <w:rFonts w:cs="Times New Roman"/>
          <w:szCs w:val="24"/>
        </w:rPr>
        <w:t>je</w:t>
      </w:r>
      <w:r w:rsidRPr="00441179">
        <w:rPr>
          <w:rFonts w:cs="Times New Roman"/>
          <w:szCs w:val="24"/>
        </w:rPr>
        <w:t>:</w:t>
      </w:r>
      <w:r w:rsidR="001C083A" w:rsidRPr="00441179">
        <w:rPr>
          <w:rFonts w:cs="Times New Roman"/>
          <w:szCs w:val="24"/>
        </w:rPr>
        <w:t xml:space="preserve"> </w:t>
      </w:r>
    </w:p>
    <w:p w14:paraId="03584398" w14:textId="3DCC0026" w:rsidR="00001246" w:rsidRPr="00441179" w:rsidRDefault="001C083A" w:rsidP="004A3B23">
      <w:pPr>
        <w:pStyle w:val="ListParagraph"/>
        <w:numPr>
          <w:ilvl w:val="0"/>
          <w:numId w:val="3"/>
        </w:numPr>
        <w:spacing w:line="276" w:lineRule="auto"/>
        <w:jc w:val="both"/>
      </w:pPr>
      <w:r w:rsidRPr="00441179">
        <w:t xml:space="preserve">pojačavanje borbe protiv </w:t>
      </w:r>
      <w:r w:rsidR="00F1631F" w:rsidRPr="00441179">
        <w:t>diskriminacije, govora</w:t>
      </w:r>
      <w:r w:rsidR="00CE5E67" w:rsidRPr="00441179">
        <w:t xml:space="preserve"> i zločin</w:t>
      </w:r>
      <w:r w:rsidR="00F1631F" w:rsidRPr="00441179">
        <w:t xml:space="preserve">a iz mržnje te </w:t>
      </w:r>
      <w:r w:rsidRPr="00441179">
        <w:t>promicanje sveobuhvatnog sustava podrške i pomoći žrtvama dis</w:t>
      </w:r>
      <w:r w:rsidR="00CE5E67" w:rsidRPr="00441179">
        <w:t>kriminacije i zločina iz mržnje te</w:t>
      </w:r>
      <w:r w:rsidR="00F1631F" w:rsidRPr="00441179">
        <w:t xml:space="preserve"> </w:t>
      </w:r>
      <w:r w:rsidRPr="00441179">
        <w:t xml:space="preserve">promicanje pozitivnog govora o Romima </w:t>
      </w:r>
      <w:r w:rsidR="00CE5E67" w:rsidRPr="00441179">
        <w:t xml:space="preserve">kao i </w:t>
      </w:r>
      <w:r w:rsidRPr="00441179">
        <w:t xml:space="preserve">podizanje svijesti o romskim kulturama, jeziku i povijesti </w:t>
      </w:r>
      <w:r w:rsidR="00CE5E67" w:rsidRPr="00441179">
        <w:t>te</w:t>
      </w:r>
      <w:r w:rsidRPr="00441179">
        <w:t xml:space="preserve"> </w:t>
      </w:r>
    </w:p>
    <w:p w14:paraId="27FD7983" w14:textId="0B36582D" w:rsidR="001C083A" w:rsidRPr="00441179" w:rsidRDefault="001C083A" w:rsidP="00AB12E9">
      <w:pPr>
        <w:pStyle w:val="ListParagraph"/>
        <w:numPr>
          <w:ilvl w:val="0"/>
          <w:numId w:val="3"/>
        </w:numPr>
        <w:spacing w:line="276" w:lineRule="auto"/>
        <w:jc w:val="both"/>
      </w:pPr>
      <w:r w:rsidRPr="00441179">
        <w:t>poticanje međukulturalnog dijaloga</w:t>
      </w:r>
      <w:r w:rsidR="00001246" w:rsidRPr="00441179">
        <w:t xml:space="preserve"> i socijalne kohezije</w:t>
      </w:r>
      <w:r w:rsidRPr="00441179">
        <w:t xml:space="preserve"> na regionalnoj i lokalnoj razini</w:t>
      </w:r>
      <w:r w:rsidR="009259CD">
        <w:t>.</w:t>
      </w:r>
    </w:p>
    <w:bookmarkEnd w:id="1"/>
    <w:p w14:paraId="2BA572D3" w14:textId="77777777" w:rsidR="00114608" w:rsidRPr="00441179" w:rsidRDefault="00114608" w:rsidP="00D36147">
      <w:pPr>
        <w:spacing w:after="0" w:line="276" w:lineRule="auto"/>
        <w:jc w:val="both"/>
        <w:rPr>
          <w:rFonts w:cs="Times New Roman"/>
          <w:b/>
          <w:bCs/>
          <w:szCs w:val="24"/>
        </w:rPr>
      </w:pPr>
    </w:p>
    <w:p w14:paraId="71F1B98B" w14:textId="7A88BF01" w:rsidR="00996199" w:rsidRPr="00441179" w:rsidRDefault="00996199" w:rsidP="00D36147">
      <w:pPr>
        <w:pStyle w:val="Heading2"/>
        <w:spacing w:line="276" w:lineRule="auto"/>
        <w:rPr>
          <w:rFonts w:cs="Times New Roman"/>
        </w:rPr>
      </w:pPr>
      <w:r w:rsidRPr="00441179">
        <w:rPr>
          <w:rFonts w:cs="Times New Roman"/>
        </w:rPr>
        <w:t>Mjera 1.1. Smanjivanje broja Roma koji su doživjeli diskriminaciju i zločin iz mržnje</w:t>
      </w:r>
      <w:r w:rsidR="00936938" w:rsidRPr="00441179">
        <w:rPr>
          <w:rFonts w:cs="Times New Roman"/>
        </w:rPr>
        <w:t xml:space="preserve"> </w:t>
      </w:r>
    </w:p>
    <w:p w14:paraId="26B0C939" w14:textId="77777777" w:rsidR="0093347B" w:rsidRPr="00441179" w:rsidRDefault="0093347B" w:rsidP="004A3B23">
      <w:pPr>
        <w:spacing w:after="0" w:line="276" w:lineRule="auto"/>
        <w:jc w:val="both"/>
        <w:rPr>
          <w:rFonts w:cs="Times New Roman"/>
          <w:i/>
          <w:iCs/>
          <w:szCs w:val="24"/>
        </w:rPr>
      </w:pPr>
    </w:p>
    <w:p w14:paraId="5F3B4EEA" w14:textId="0FFB683D" w:rsidR="008472CB" w:rsidRPr="00441179" w:rsidRDefault="008472CB" w:rsidP="00AB12E9">
      <w:pPr>
        <w:spacing w:after="0" w:line="276" w:lineRule="auto"/>
        <w:jc w:val="both"/>
        <w:rPr>
          <w:rFonts w:cs="Times New Roman"/>
          <w:i/>
          <w:iCs/>
          <w:szCs w:val="24"/>
        </w:rPr>
      </w:pPr>
      <w:r w:rsidRPr="00441179">
        <w:rPr>
          <w:rFonts w:cs="Times New Roman"/>
          <w:i/>
          <w:iCs/>
          <w:szCs w:val="24"/>
        </w:rPr>
        <w:t xml:space="preserve">Aktivnost 1.1.1. </w:t>
      </w:r>
      <w:r w:rsidRPr="00441179">
        <w:rPr>
          <w:rFonts w:cs="Times New Roman"/>
          <w:i/>
          <w:szCs w:val="20"/>
        </w:rPr>
        <w:t xml:space="preserve">Podrška borbi protiv diskriminacije na lokalnoj razini </w:t>
      </w:r>
    </w:p>
    <w:p w14:paraId="0F49164C" w14:textId="5F7DE1F2" w:rsidR="00E0175B" w:rsidRPr="00A86FA4" w:rsidRDefault="008472CB" w:rsidP="00D36147">
      <w:pPr>
        <w:spacing w:after="0" w:line="276" w:lineRule="auto"/>
        <w:jc w:val="both"/>
        <w:rPr>
          <w:rFonts w:cs="Times New Roman"/>
          <w:i/>
          <w:iCs/>
          <w:sz w:val="20"/>
          <w:szCs w:val="20"/>
        </w:rPr>
      </w:pPr>
      <w:r w:rsidRPr="00FC64BF">
        <w:rPr>
          <w:rFonts w:cs="Times New Roman"/>
          <w:i/>
          <w:iCs/>
          <w:szCs w:val="24"/>
        </w:rPr>
        <w:t>Nositelj provedbe: Ured</w:t>
      </w:r>
      <w:r w:rsidR="006E539A">
        <w:rPr>
          <w:rFonts w:cs="Times New Roman"/>
          <w:i/>
          <w:iCs/>
          <w:szCs w:val="24"/>
        </w:rPr>
        <w:t xml:space="preserve"> za ljudska prava i oprava nacionalnih manjina</w:t>
      </w:r>
      <w:r w:rsidRPr="00FC64BF">
        <w:rPr>
          <w:rFonts w:cs="Times New Roman"/>
          <w:i/>
          <w:iCs/>
          <w:szCs w:val="24"/>
        </w:rPr>
        <w:t xml:space="preserve"> </w:t>
      </w:r>
    </w:p>
    <w:p w14:paraId="59DA245E" w14:textId="672186C8" w:rsidR="008472CB" w:rsidRPr="00FC64BF" w:rsidRDefault="00E0175B" w:rsidP="00D36147">
      <w:pPr>
        <w:spacing w:after="0" w:line="276" w:lineRule="auto"/>
        <w:jc w:val="both"/>
        <w:rPr>
          <w:rFonts w:cs="Times New Roman"/>
          <w:szCs w:val="24"/>
        </w:rPr>
      </w:pPr>
      <w:r w:rsidRPr="00FC64BF">
        <w:rPr>
          <w:rFonts w:cs="Times New Roman"/>
          <w:szCs w:val="24"/>
        </w:rPr>
        <w:t>Provedba aktivnosti nije planirana u 202</w:t>
      </w:r>
      <w:r w:rsidR="006D1F45" w:rsidRPr="00FC64BF">
        <w:rPr>
          <w:rFonts w:cs="Times New Roman"/>
          <w:szCs w:val="24"/>
        </w:rPr>
        <w:t>4</w:t>
      </w:r>
      <w:r w:rsidRPr="00FC64BF">
        <w:rPr>
          <w:rFonts w:cs="Times New Roman"/>
          <w:szCs w:val="24"/>
        </w:rPr>
        <w:t xml:space="preserve">. </w:t>
      </w:r>
      <w:r w:rsidR="009259CD">
        <w:rPr>
          <w:rFonts w:cs="Times New Roman"/>
          <w:iCs/>
        </w:rPr>
        <w:t>godini.</w:t>
      </w:r>
    </w:p>
    <w:p w14:paraId="450BE819" w14:textId="77777777" w:rsidR="009316E4" w:rsidRPr="00FC64BF" w:rsidRDefault="009316E4" w:rsidP="00D36147">
      <w:pPr>
        <w:spacing w:after="0" w:line="276" w:lineRule="auto"/>
        <w:jc w:val="both"/>
        <w:rPr>
          <w:rFonts w:cs="Times New Roman"/>
          <w:szCs w:val="24"/>
        </w:rPr>
      </w:pPr>
    </w:p>
    <w:tbl>
      <w:tblPr>
        <w:tblStyle w:val="TableGrid"/>
        <w:tblW w:w="5000" w:type="pct"/>
        <w:tblLook w:val="04A0" w:firstRow="1" w:lastRow="0" w:firstColumn="1" w:lastColumn="0" w:noHBand="0" w:noVBand="1"/>
      </w:tblPr>
      <w:tblGrid>
        <w:gridCol w:w="3113"/>
        <w:gridCol w:w="1983"/>
        <w:gridCol w:w="2108"/>
        <w:gridCol w:w="1858"/>
      </w:tblGrid>
      <w:tr w:rsidR="006D1F45" w:rsidRPr="006D1F45" w14:paraId="1EB37FE5" w14:textId="77777777" w:rsidTr="00D36147">
        <w:tc>
          <w:tcPr>
            <w:tcW w:w="1718" w:type="pct"/>
            <w:shd w:val="clear" w:color="auto" w:fill="F2F2F2" w:themeFill="background1" w:themeFillShade="F2"/>
            <w:vAlign w:val="center"/>
          </w:tcPr>
          <w:p w14:paraId="20B20557" w14:textId="023CAB07" w:rsidR="008472CB" w:rsidRPr="00FC64BF" w:rsidRDefault="00BE2501" w:rsidP="00D36147">
            <w:pPr>
              <w:rPr>
                <w:rFonts w:cs="Times New Roman"/>
                <w:b/>
                <w:sz w:val="20"/>
                <w:szCs w:val="20"/>
              </w:rPr>
            </w:pPr>
            <w:r w:rsidRPr="00FC64BF">
              <w:rPr>
                <w:rFonts w:cs="Times New Roman"/>
                <w:b/>
                <w:sz w:val="20"/>
                <w:szCs w:val="20"/>
              </w:rPr>
              <w:t>Pokazatelji provedbe i pokazatelji uspješnosti provedbe</w:t>
            </w:r>
          </w:p>
        </w:tc>
        <w:tc>
          <w:tcPr>
            <w:tcW w:w="1094" w:type="pct"/>
            <w:shd w:val="clear" w:color="auto" w:fill="F2F2F2" w:themeFill="background1" w:themeFillShade="F2"/>
            <w:vAlign w:val="center"/>
          </w:tcPr>
          <w:p w14:paraId="68839041" w14:textId="25D3C798" w:rsidR="008472CB" w:rsidRPr="00FC64BF" w:rsidRDefault="004E75DD" w:rsidP="00D36147">
            <w:pPr>
              <w:jc w:val="center"/>
              <w:rPr>
                <w:rFonts w:cs="Times New Roman"/>
                <w:b/>
                <w:sz w:val="20"/>
                <w:szCs w:val="20"/>
              </w:rPr>
            </w:pPr>
            <w:r w:rsidRPr="00FC64BF">
              <w:rPr>
                <w:rFonts w:cs="Times New Roman"/>
                <w:b/>
                <w:sz w:val="20"/>
                <w:szCs w:val="20"/>
              </w:rPr>
              <w:t>Broj podržanih projekata</w:t>
            </w:r>
          </w:p>
        </w:tc>
        <w:tc>
          <w:tcPr>
            <w:tcW w:w="1163" w:type="pct"/>
            <w:shd w:val="clear" w:color="auto" w:fill="F2F2F2" w:themeFill="background1" w:themeFillShade="F2"/>
            <w:vAlign w:val="center"/>
          </w:tcPr>
          <w:p w14:paraId="1A41E98E" w14:textId="489CD2BB" w:rsidR="008472CB" w:rsidRPr="00FC64BF" w:rsidRDefault="004E75DD" w:rsidP="00D36147">
            <w:pPr>
              <w:jc w:val="center"/>
              <w:rPr>
                <w:rFonts w:cs="Times New Roman"/>
                <w:b/>
                <w:sz w:val="20"/>
                <w:szCs w:val="20"/>
              </w:rPr>
            </w:pPr>
            <w:r w:rsidRPr="00FC64BF">
              <w:rPr>
                <w:rFonts w:cs="Times New Roman"/>
                <w:b/>
                <w:sz w:val="20"/>
                <w:szCs w:val="20"/>
              </w:rPr>
              <w:t>Broj sudionika aktivnosti</w:t>
            </w:r>
          </w:p>
        </w:tc>
        <w:tc>
          <w:tcPr>
            <w:tcW w:w="1025" w:type="pct"/>
            <w:shd w:val="clear" w:color="auto" w:fill="F2F2F2" w:themeFill="background1" w:themeFillShade="F2"/>
            <w:vAlign w:val="center"/>
          </w:tcPr>
          <w:p w14:paraId="6DA99B30" w14:textId="434D38D5" w:rsidR="008472CB" w:rsidRPr="00FC64BF" w:rsidRDefault="004E75DD" w:rsidP="00D36147">
            <w:pPr>
              <w:jc w:val="center"/>
              <w:rPr>
                <w:rFonts w:cs="Times New Roman"/>
                <w:b/>
                <w:sz w:val="20"/>
                <w:szCs w:val="20"/>
              </w:rPr>
            </w:pPr>
            <w:r w:rsidRPr="00FC64BF">
              <w:rPr>
                <w:rFonts w:cs="Times New Roman"/>
                <w:b/>
                <w:sz w:val="20"/>
                <w:szCs w:val="20"/>
              </w:rPr>
              <w:t>Broj djece korisnika usluga</w:t>
            </w:r>
          </w:p>
        </w:tc>
      </w:tr>
      <w:tr w:rsidR="006D1F45" w:rsidRPr="006D1F45" w14:paraId="621CB723" w14:textId="77777777" w:rsidTr="00D36147">
        <w:tc>
          <w:tcPr>
            <w:tcW w:w="1718" w:type="pct"/>
            <w:shd w:val="clear" w:color="auto" w:fill="F2F2F2" w:themeFill="background1" w:themeFillShade="F2"/>
            <w:vAlign w:val="center"/>
          </w:tcPr>
          <w:p w14:paraId="673E269E" w14:textId="36554F08" w:rsidR="008472CB" w:rsidRPr="00FC64BF" w:rsidRDefault="008472CB" w:rsidP="006E539A">
            <w:pPr>
              <w:rPr>
                <w:rFonts w:cs="Times New Roman"/>
                <w:sz w:val="20"/>
                <w:szCs w:val="20"/>
              </w:rPr>
            </w:pPr>
            <w:r w:rsidRPr="00FC64BF">
              <w:rPr>
                <w:rFonts w:cs="Times New Roman"/>
                <w:sz w:val="20"/>
                <w:szCs w:val="20"/>
              </w:rPr>
              <w:t xml:space="preserve">Planirani ishodi za pokazatelje </w:t>
            </w:r>
            <w:r w:rsidR="0018416B" w:rsidRPr="00FC64BF">
              <w:rPr>
                <w:rFonts w:cs="Times New Roman"/>
                <w:sz w:val="20"/>
                <w:szCs w:val="20"/>
              </w:rPr>
              <w:t>provedbe u 202</w:t>
            </w:r>
            <w:r w:rsidR="00441179">
              <w:rPr>
                <w:rFonts w:cs="Times New Roman"/>
                <w:sz w:val="20"/>
                <w:szCs w:val="20"/>
              </w:rPr>
              <w:t>4</w:t>
            </w:r>
            <w:r w:rsidR="0018416B" w:rsidRPr="00FC64BF">
              <w:rPr>
                <w:rFonts w:cs="Times New Roman"/>
                <w:sz w:val="20"/>
                <w:szCs w:val="20"/>
              </w:rPr>
              <w:t xml:space="preserve">. </w:t>
            </w:r>
          </w:p>
        </w:tc>
        <w:tc>
          <w:tcPr>
            <w:tcW w:w="1094" w:type="pct"/>
            <w:vAlign w:val="center"/>
          </w:tcPr>
          <w:p w14:paraId="565C5E9A" w14:textId="048A289C" w:rsidR="008472CB" w:rsidRPr="00FC64BF" w:rsidRDefault="004E75DD" w:rsidP="00D36147">
            <w:pPr>
              <w:jc w:val="center"/>
              <w:rPr>
                <w:rFonts w:cs="Times New Roman"/>
                <w:sz w:val="20"/>
                <w:szCs w:val="20"/>
              </w:rPr>
            </w:pPr>
            <w:r w:rsidRPr="00FC64BF">
              <w:rPr>
                <w:rFonts w:cs="Times New Roman"/>
                <w:sz w:val="20"/>
                <w:szCs w:val="20"/>
              </w:rPr>
              <w:t>n/p</w:t>
            </w:r>
          </w:p>
        </w:tc>
        <w:tc>
          <w:tcPr>
            <w:tcW w:w="1163" w:type="pct"/>
            <w:vAlign w:val="center"/>
          </w:tcPr>
          <w:p w14:paraId="30A626AB" w14:textId="4344AB5C" w:rsidR="008472CB" w:rsidRPr="00FC64BF" w:rsidRDefault="004E75DD" w:rsidP="00D36147">
            <w:pPr>
              <w:jc w:val="center"/>
              <w:rPr>
                <w:rFonts w:cs="Times New Roman"/>
                <w:sz w:val="20"/>
                <w:szCs w:val="20"/>
              </w:rPr>
            </w:pPr>
            <w:r w:rsidRPr="00FC64BF">
              <w:rPr>
                <w:rFonts w:cs="Times New Roman"/>
                <w:sz w:val="20"/>
                <w:szCs w:val="20"/>
              </w:rPr>
              <w:t>n/p</w:t>
            </w:r>
          </w:p>
        </w:tc>
        <w:tc>
          <w:tcPr>
            <w:tcW w:w="1025" w:type="pct"/>
            <w:vAlign w:val="center"/>
          </w:tcPr>
          <w:p w14:paraId="71263719" w14:textId="3C6EB539" w:rsidR="008472CB" w:rsidRPr="00FC64BF" w:rsidRDefault="004E75DD" w:rsidP="00D36147">
            <w:pPr>
              <w:jc w:val="center"/>
              <w:rPr>
                <w:rFonts w:cs="Times New Roman"/>
                <w:sz w:val="20"/>
                <w:szCs w:val="20"/>
              </w:rPr>
            </w:pPr>
            <w:r w:rsidRPr="00FC64BF">
              <w:rPr>
                <w:rFonts w:cs="Times New Roman"/>
                <w:sz w:val="20"/>
                <w:szCs w:val="20"/>
              </w:rPr>
              <w:t>n/p</w:t>
            </w:r>
          </w:p>
        </w:tc>
      </w:tr>
      <w:tr w:rsidR="006D1F45" w:rsidRPr="006D1F45" w14:paraId="1AAC5C2F" w14:textId="77777777" w:rsidTr="00D36147">
        <w:tc>
          <w:tcPr>
            <w:tcW w:w="1718" w:type="pct"/>
            <w:shd w:val="clear" w:color="auto" w:fill="F2F2F2" w:themeFill="background1" w:themeFillShade="F2"/>
            <w:vAlign w:val="center"/>
          </w:tcPr>
          <w:p w14:paraId="02AA99B4" w14:textId="1AEC6D77" w:rsidR="008472CB" w:rsidRPr="00FC64BF" w:rsidRDefault="008472CB" w:rsidP="006E539A">
            <w:pPr>
              <w:rPr>
                <w:rFonts w:cs="Times New Roman"/>
                <w:sz w:val="20"/>
                <w:szCs w:val="20"/>
              </w:rPr>
            </w:pPr>
            <w:r w:rsidRPr="00FC64BF">
              <w:rPr>
                <w:rFonts w:cs="Times New Roman"/>
                <w:sz w:val="20"/>
                <w:szCs w:val="20"/>
              </w:rPr>
              <w:t xml:space="preserve">Ostvareni ishodi za pokazatelje </w:t>
            </w:r>
            <w:r w:rsidR="0018416B" w:rsidRPr="00FC64BF">
              <w:rPr>
                <w:rFonts w:cs="Times New Roman"/>
                <w:sz w:val="20"/>
                <w:szCs w:val="20"/>
              </w:rPr>
              <w:t>provedbe u 202</w:t>
            </w:r>
            <w:r w:rsidR="00441179">
              <w:rPr>
                <w:rFonts w:cs="Times New Roman"/>
                <w:sz w:val="20"/>
                <w:szCs w:val="20"/>
              </w:rPr>
              <w:t>4</w:t>
            </w:r>
            <w:r w:rsidR="0018416B" w:rsidRPr="00FC64BF">
              <w:rPr>
                <w:rFonts w:cs="Times New Roman"/>
                <w:sz w:val="20"/>
                <w:szCs w:val="20"/>
              </w:rPr>
              <w:t xml:space="preserve">. </w:t>
            </w:r>
          </w:p>
        </w:tc>
        <w:tc>
          <w:tcPr>
            <w:tcW w:w="1094" w:type="pct"/>
            <w:vAlign w:val="center"/>
          </w:tcPr>
          <w:p w14:paraId="65D735A7" w14:textId="7E2B2C83" w:rsidR="008472CB" w:rsidRPr="00FC64BF" w:rsidRDefault="008A3CDB" w:rsidP="00D36147">
            <w:pPr>
              <w:jc w:val="center"/>
              <w:rPr>
                <w:rFonts w:cs="Times New Roman"/>
                <w:sz w:val="20"/>
                <w:szCs w:val="20"/>
              </w:rPr>
            </w:pPr>
            <w:r w:rsidRPr="00FC64BF">
              <w:rPr>
                <w:rFonts w:cs="Times New Roman"/>
                <w:sz w:val="20"/>
                <w:szCs w:val="20"/>
              </w:rPr>
              <w:t>0</w:t>
            </w:r>
          </w:p>
        </w:tc>
        <w:tc>
          <w:tcPr>
            <w:tcW w:w="1163" w:type="pct"/>
            <w:vAlign w:val="center"/>
          </w:tcPr>
          <w:p w14:paraId="0C322868" w14:textId="77777777" w:rsidR="008472CB" w:rsidRPr="00FC64BF" w:rsidRDefault="008472CB" w:rsidP="00D36147">
            <w:pPr>
              <w:jc w:val="center"/>
              <w:rPr>
                <w:rFonts w:cs="Times New Roman"/>
                <w:sz w:val="20"/>
                <w:szCs w:val="20"/>
              </w:rPr>
            </w:pPr>
            <w:r w:rsidRPr="00FC64BF">
              <w:rPr>
                <w:rFonts w:cs="Times New Roman"/>
                <w:sz w:val="20"/>
                <w:szCs w:val="20"/>
              </w:rPr>
              <w:t>0</w:t>
            </w:r>
          </w:p>
        </w:tc>
        <w:tc>
          <w:tcPr>
            <w:tcW w:w="1025" w:type="pct"/>
            <w:vAlign w:val="center"/>
          </w:tcPr>
          <w:p w14:paraId="7B44D500" w14:textId="77777777" w:rsidR="008472CB" w:rsidRPr="00FC64BF" w:rsidRDefault="008472CB" w:rsidP="00D36147">
            <w:pPr>
              <w:jc w:val="center"/>
              <w:rPr>
                <w:rFonts w:cs="Times New Roman"/>
                <w:sz w:val="20"/>
                <w:szCs w:val="20"/>
              </w:rPr>
            </w:pPr>
            <w:r w:rsidRPr="00FC64BF">
              <w:rPr>
                <w:rFonts w:cs="Times New Roman"/>
                <w:sz w:val="20"/>
                <w:szCs w:val="20"/>
              </w:rPr>
              <w:t>0</w:t>
            </w:r>
          </w:p>
        </w:tc>
      </w:tr>
      <w:tr w:rsidR="006D1F45" w:rsidRPr="006D1F45" w14:paraId="78E89F69" w14:textId="77777777" w:rsidTr="00D36147">
        <w:tc>
          <w:tcPr>
            <w:tcW w:w="1718" w:type="pct"/>
            <w:shd w:val="clear" w:color="auto" w:fill="F2F2F2" w:themeFill="background1" w:themeFillShade="F2"/>
            <w:vAlign w:val="center"/>
          </w:tcPr>
          <w:p w14:paraId="6159423A" w14:textId="27BEB86D" w:rsidR="008472CB" w:rsidRPr="00FC64BF" w:rsidRDefault="008472CB" w:rsidP="00D36147">
            <w:pPr>
              <w:rPr>
                <w:rFonts w:cs="Times New Roman"/>
                <w:b/>
                <w:sz w:val="20"/>
                <w:szCs w:val="20"/>
              </w:rPr>
            </w:pPr>
            <w:r w:rsidRPr="00FC64BF">
              <w:rPr>
                <w:rFonts w:cs="Times New Roman"/>
                <w:b/>
                <w:sz w:val="20"/>
                <w:szCs w:val="20"/>
              </w:rPr>
              <w:t xml:space="preserve">IZVORI FINANCIRANJA </w:t>
            </w:r>
          </w:p>
        </w:tc>
        <w:tc>
          <w:tcPr>
            <w:tcW w:w="1094" w:type="pct"/>
            <w:vAlign w:val="center"/>
          </w:tcPr>
          <w:p w14:paraId="384E8C07" w14:textId="59579181" w:rsidR="008472CB" w:rsidRPr="00FC64BF" w:rsidRDefault="008472CB" w:rsidP="00D36147">
            <w:pPr>
              <w:jc w:val="center"/>
              <w:rPr>
                <w:rFonts w:cs="Times New Roman"/>
                <w:b/>
                <w:sz w:val="20"/>
                <w:szCs w:val="20"/>
              </w:rPr>
            </w:pPr>
            <w:r w:rsidRPr="00FC64BF">
              <w:rPr>
                <w:rFonts w:cs="Times New Roman"/>
                <w:b/>
                <w:sz w:val="20"/>
                <w:szCs w:val="20"/>
              </w:rPr>
              <w:t>Državni proračun (</w:t>
            </w:r>
            <w:r w:rsidR="008A3CDB" w:rsidRPr="00FC64BF">
              <w:rPr>
                <w:rFonts w:cs="Times New Roman"/>
                <w:b/>
                <w:sz w:val="20"/>
                <w:szCs w:val="20"/>
              </w:rPr>
              <w:t>EUR</w:t>
            </w:r>
            <w:r w:rsidRPr="00FC64BF">
              <w:rPr>
                <w:rFonts w:cs="Times New Roman"/>
                <w:b/>
                <w:sz w:val="20"/>
                <w:szCs w:val="20"/>
              </w:rPr>
              <w:t>)</w:t>
            </w:r>
          </w:p>
        </w:tc>
        <w:tc>
          <w:tcPr>
            <w:tcW w:w="1163" w:type="pct"/>
            <w:vAlign w:val="center"/>
          </w:tcPr>
          <w:p w14:paraId="385EC408" w14:textId="0F75DBB5" w:rsidR="008472CB" w:rsidRPr="00FC64BF" w:rsidRDefault="008472CB" w:rsidP="00D36147">
            <w:pPr>
              <w:jc w:val="center"/>
              <w:rPr>
                <w:rFonts w:cs="Times New Roman"/>
                <w:b/>
                <w:sz w:val="20"/>
                <w:szCs w:val="20"/>
              </w:rPr>
            </w:pPr>
            <w:r w:rsidRPr="00FC64BF">
              <w:rPr>
                <w:rFonts w:cs="Times New Roman"/>
                <w:b/>
                <w:sz w:val="20"/>
                <w:szCs w:val="20"/>
              </w:rPr>
              <w:t>EU financiranje (</w:t>
            </w:r>
            <w:r w:rsidR="008A3CDB" w:rsidRPr="00FC64BF">
              <w:rPr>
                <w:rFonts w:cs="Times New Roman"/>
                <w:b/>
                <w:sz w:val="20"/>
                <w:szCs w:val="20"/>
              </w:rPr>
              <w:t>EUR</w:t>
            </w:r>
            <w:r w:rsidRPr="00FC64BF">
              <w:rPr>
                <w:rFonts w:cs="Times New Roman"/>
                <w:b/>
                <w:sz w:val="20"/>
                <w:szCs w:val="20"/>
              </w:rPr>
              <w:t>)</w:t>
            </w:r>
          </w:p>
        </w:tc>
        <w:tc>
          <w:tcPr>
            <w:tcW w:w="1025" w:type="pct"/>
            <w:vAlign w:val="center"/>
          </w:tcPr>
          <w:p w14:paraId="2693386E" w14:textId="6BDDF133" w:rsidR="008472CB" w:rsidRPr="00FC64BF" w:rsidRDefault="008472CB" w:rsidP="00D36147">
            <w:pPr>
              <w:jc w:val="center"/>
              <w:rPr>
                <w:rFonts w:cs="Times New Roman"/>
                <w:b/>
                <w:sz w:val="20"/>
                <w:szCs w:val="20"/>
              </w:rPr>
            </w:pPr>
            <w:r w:rsidRPr="00FC64BF">
              <w:rPr>
                <w:rFonts w:cs="Times New Roman"/>
                <w:b/>
                <w:sz w:val="20"/>
                <w:szCs w:val="20"/>
              </w:rPr>
              <w:t>Drugi izvori (</w:t>
            </w:r>
            <w:r w:rsidR="008A3CDB" w:rsidRPr="00FC64BF">
              <w:rPr>
                <w:rFonts w:cs="Times New Roman"/>
                <w:b/>
                <w:sz w:val="20"/>
                <w:szCs w:val="20"/>
              </w:rPr>
              <w:t>EUR</w:t>
            </w:r>
            <w:r w:rsidRPr="00FC64BF">
              <w:rPr>
                <w:rFonts w:cs="Times New Roman"/>
                <w:b/>
                <w:sz w:val="20"/>
                <w:szCs w:val="20"/>
              </w:rPr>
              <w:t>)</w:t>
            </w:r>
          </w:p>
        </w:tc>
      </w:tr>
      <w:tr w:rsidR="006D1F45" w:rsidRPr="006D1F45" w14:paraId="14A3DA29" w14:textId="77777777" w:rsidTr="00D36147">
        <w:trPr>
          <w:trHeight w:val="587"/>
        </w:trPr>
        <w:tc>
          <w:tcPr>
            <w:tcW w:w="1718" w:type="pct"/>
            <w:shd w:val="clear" w:color="auto" w:fill="F2F2F2" w:themeFill="background1" w:themeFillShade="F2"/>
            <w:vAlign w:val="center"/>
          </w:tcPr>
          <w:p w14:paraId="0F387BFA" w14:textId="7B303543" w:rsidR="00CB56AF" w:rsidRPr="00FC64BF" w:rsidRDefault="00441179" w:rsidP="006E539A">
            <w:pPr>
              <w:rPr>
                <w:rFonts w:cs="Times New Roman"/>
                <w:sz w:val="20"/>
                <w:szCs w:val="20"/>
              </w:rPr>
            </w:pPr>
            <w:r>
              <w:rPr>
                <w:rFonts w:cs="Times New Roman"/>
                <w:sz w:val="20"/>
                <w:szCs w:val="20"/>
              </w:rPr>
              <w:t>Izvori financiranja u 2024</w:t>
            </w:r>
            <w:r w:rsidR="00CB56AF" w:rsidRPr="00FC64BF">
              <w:rPr>
                <w:rFonts w:cs="Times New Roman"/>
                <w:sz w:val="20"/>
                <w:szCs w:val="20"/>
              </w:rPr>
              <w:t xml:space="preserve">. </w:t>
            </w:r>
          </w:p>
        </w:tc>
        <w:tc>
          <w:tcPr>
            <w:tcW w:w="1094" w:type="pct"/>
            <w:vAlign w:val="center"/>
          </w:tcPr>
          <w:p w14:paraId="04F8F0FA" w14:textId="0502D808" w:rsidR="00CB56AF" w:rsidRPr="00FC64BF" w:rsidRDefault="00B20F64" w:rsidP="00D36147">
            <w:pPr>
              <w:jc w:val="center"/>
              <w:rPr>
                <w:rFonts w:cs="Times New Roman"/>
                <w:sz w:val="20"/>
                <w:szCs w:val="20"/>
              </w:rPr>
            </w:pPr>
            <w:r w:rsidRPr="00FC64BF">
              <w:rPr>
                <w:rFonts w:cs="Times New Roman"/>
                <w:sz w:val="20"/>
                <w:szCs w:val="20"/>
              </w:rPr>
              <w:t>0,00</w:t>
            </w:r>
          </w:p>
        </w:tc>
        <w:tc>
          <w:tcPr>
            <w:tcW w:w="1163" w:type="pct"/>
            <w:vAlign w:val="center"/>
          </w:tcPr>
          <w:p w14:paraId="5D41616A" w14:textId="5B7218A6" w:rsidR="00CB56AF" w:rsidRPr="00FC64BF" w:rsidRDefault="00CB56AF" w:rsidP="00D36147">
            <w:pPr>
              <w:jc w:val="center"/>
              <w:rPr>
                <w:rFonts w:cs="Times New Roman"/>
                <w:sz w:val="20"/>
                <w:szCs w:val="20"/>
              </w:rPr>
            </w:pPr>
            <w:r w:rsidRPr="00FC64BF">
              <w:rPr>
                <w:rFonts w:cs="Times New Roman"/>
                <w:sz w:val="20"/>
                <w:szCs w:val="20"/>
              </w:rPr>
              <w:t>0,00</w:t>
            </w:r>
          </w:p>
        </w:tc>
        <w:tc>
          <w:tcPr>
            <w:tcW w:w="1025" w:type="pct"/>
            <w:vAlign w:val="center"/>
          </w:tcPr>
          <w:p w14:paraId="3042FAFF" w14:textId="43288AA5" w:rsidR="00CB56AF" w:rsidRPr="00FC64BF" w:rsidRDefault="00CB56AF" w:rsidP="00D36147">
            <w:pPr>
              <w:jc w:val="center"/>
              <w:rPr>
                <w:rFonts w:cs="Times New Roman"/>
                <w:sz w:val="20"/>
                <w:szCs w:val="20"/>
              </w:rPr>
            </w:pPr>
            <w:r w:rsidRPr="00FC64BF">
              <w:rPr>
                <w:rFonts w:cs="Times New Roman"/>
                <w:sz w:val="20"/>
                <w:szCs w:val="20"/>
              </w:rPr>
              <w:t>0,00</w:t>
            </w:r>
          </w:p>
        </w:tc>
      </w:tr>
      <w:tr w:rsidR="006D1F45" w:rsidRPr="006D1F45" w14:paraId="3488091E" w14:textId="77777777" w:rsidTr="00D36147">
        <w:tc>
          <w:tcPr>
            <w:tcW w:w="1718" w:type="pct"/>
            <w:vMerge w:val="restart"/>
            <w:shd w:val="clear" w:color="auto" w:fill="F2F2F2" w:themeFill="background1" w:themeFillShade="F2"/>
            <w:vAlign w:val="center"/>
          </w:tcPr>
          <w:p w14:paraId="6CF52258" w14:textId="5689E930" w:rsidR="00CB56AF" w:rsidRPr="00FC64BF" w:rsidRDefault="00CB56AF" w:rsidP="00D36147">
            <w:pPr>
              <w:rPr>
                <w:rFonts w:cs="Times New Roman"/>
                <w:b/>
                <w:bCs/>
                <w:sz w:val="20"/>
                <w:szCs w:val="20"/>
              </w:rPr>
            </w:pPr>
            <w:r w:rsidRPr="00FC64BF">
              <w:rPr>
                <w:rFonts w:cs="Times New Roman"/>
                <w:b/>
                <w:bCs/>
                <w:sz w:val="20"/>
                <w:szCs w:val="20"/>
              </w:rPr>
              <w:t xml:space="preserve">UKUPNO UTROŠENA SREDSTVA PO IZVORU </w:t>
            </w:r>
          </w:p>
        </w:tc>
        <w:tc>
          <w:tcPr>
            <w:tcW w:w="1094" w:type="pct"/>
            <w:vAlign w:val="center"/>
          </w:tcPr>
          <w:p w14:paraId="133386CD" w14:textId="4520A44E" w:rsidR="00CB56AF" w:rsidRPr="00FC64BF" w:rsidRDefault="00CB56AF" w:rsidP="00D36147">
            <w:pPr>
              <w:jc w:val="center"/>
              <w:rPr>
                <w:rFonts w:cs="Times New Roman"/>
                <w:b/>
                <w:sz w:val="20"/>
                <w:szCs w:val="20"/>
              </w:rPr>
            </w:pPr>
            <w:r w:rsidRPr="00FC64BF">
              <w:rPr>
                <w:rFonts w:cs="Times New Roman"/>
                <w:b/>
                <w:sz w:val="20"/>
                <w:szCs w:val="20"/>
              </w:rPr>
              <w:t>Državni proračun (EUR)</w:t>
            </w:r>
          </w:p>
        </w:tc>
        <w:tc>
          <w:tcPr>
            <w:tcW w:w="1163" w:type="pct"/>
            <w:vAlign w:val="center"/>
          </w:tcPr>
          <w:p w14:paraId="3AC731A0" w14:textId="00D97B92" w:rsidR="00CB56AF" w:rsidRPr="00FC64BF" w:rsidRDefault="00CB56AF" w:rsidP="00D36147">
            <w:pPr>
              <w:jc w:val="center"/>
              <w:rPr>
                <w:rFonts w:cs="Times New Roman"/>
                <w:b/>
                <w:sz w:val="20"/>
                <w:szCs w:val="20"/>
              </w:rPr>
            </w:pPr>
            <w:r w:rsidRPr="00FC64BF">
              <w:rPr>
                <w:rFonts w:cs="Times New Roman"/>
                <w:b/>
                <w:sz w:val="20"/>
                <w:szCs w:val="20"/>
              </w:rPr>
              <w:t>EU financiranje (EUR)</w:t>
            </w:r>
          </w:p>
        </w:tc>
        <w:tc>
          <w:tcPr>
            <w:tcW w:w="1025" w:type="pct"/>
            <w:vAlign w:val="center"/>
          </w:tcPr>
          <w:p w14:paraId="06C7A816" w14:textId="183EB05F" w:rsidR="00CB56AF" w:rsidRPr="00FC64BF" w:rsidRDefault="00CB56AF" w:rsidP="00D36147">
            <w:pPr>
              <w:jc w:val="center"/>
              <w:rPr>
                <w:rFonts w:cs="Times New Roman"/>
                <w:b/>
                <w:sz w:val="20"/>
                <w:szCs w:val="20"/>
              </w:rPr>
            </w:pPr>
            <w:r w:rsidRPr="00FC64BF">
              <w:rPr>
                <w:rFonts w:cs="Times New Roman"/>
                <w:b/>
                <w:sz w:val="20"/>
                <w:szCs w:val="20"/>
              </w:rPr>
              <w:t>Drugi izvori (EUR)</w:t>
            </w:r>
          </w:p>
        </w:tc>
      </w:tr>
      <w:tr w:rsidR="006D1F45" w:rsidRPr="006D1F45" w14:paraId="684DC65C" w14:textId="77777777" w:rsidTr="00D36147">
        <w:trPr>
          <w:trHeight w:val="488"/>
        </w:trPr>
        <w:tc>
          <w:tcPr>
            <w:tcW w:w="1718" w:type="pct"/>
            <w:vMerge/>
            <w:shd w:val="clear" w:color="auto" w:fill="F2F2F2" w:themeFill="background1" w:themeFillShade="F2"/>
            <w:vAlign w:val="center"/>
          </w:tcPr>
          <w:p w14:paraId="61D2956B" w14:textId="77777777" w:rsidR="00CB56AF" w:rsidRPr="00FC64BF" w:rsidRDefault="00CB56AF" w:rsidP="00D36147">
            <w:pPr>
              <w:rPr>
                <w:rFonts w:cs="Times New Roman"/>
                <w:b/>
                <w:sz w:val="20"/>
                <w:szCs w:val="20"/>
              </w:rPr>
            </w:pPr>
          </w:p>
        </w:tc>
        <w:tc>
          <w:tcPr>
            <w:tcW w:w="1094" w:type="pct"/>
            <w:vAlign w:val="center"/>
          </w:tcPr>
          <w:p w14:paraId="33220568" w14:textId="104C1E2E" w:rsidR="00CB56AF" w:rsidRPr="00FC64BF" w:rsidRDefault="00CB56AF" w:rsidP="00D36147">
            <w:pPr>
              <w:jc w:val="center"/>
              <w:rPr>
                <w:rFonts w:cs="Times New Roman"/>
                <w:sz w:val="20"/>
                <w:szCs w:val="20"/>
              </w:rPr>
            </w:pPr>
            <w:r w:rsidRPr="00FC64BF">
              <w:rPr>
                <w:rFonts w:cs="Times New Roman"/>
                <w:sz w:val="20"/>
                <w:szCs w:val="20"/>
              </w:rPr>
              <w:t>0,00</w:t>
            </w:r>
          </w:p>
        </w:tc>
        <w:tc>
          <w:tcPr>
            <w:tcW w:w="1163" w:type="pct"/>
            <w:vAlign w:val="center"/>
          </w:tcPr>
          <w:p w14:paraId="3B3631C9" w14:textId="29F5B662" w:rsidR="00CB56AF" w:rsidRPr="00FC64BF" w:rsidRDefault="00CB56AF" w:rsidP="00D36147">
            <w:pPr>
              <w:jc w:val="center"/>
              <w:rPr>
                <w:rFonts w:cs="Times New Roman"/>
                <w:b/>
                <w:sz w:val="20"/>
                <w:szCs w:val="20"/>
              </w:rPr>
            </w:pPr>
            <w:r w:rsidRPr="00FC64BF">
              <w:rPr>
                <w:rFonts w:cs="Times New Roman"/>
                <w:sz w:val="20"/>
                <w:szCs w:val="20"/>
              </w:rPr>
              <w:t>0,00</w:t>
            </w:r>
          </w:p>
        </w:tc>
        <w:tc>
          <w:tcPr>
            <w:tcW w:w="1025" w:type="pct"/>
            <w:vAlign w:val="center"/>
          </w:tcPr>
          <w:p w14:paraId="2920BF0B" w14:textId="52629336" w:rsidR="00CB56AF" w:rsidRPr="00FC64BF" w:rsidRDefault="00CB56AF" w:rsidP="00D36147">
            <w:pPr>
              <w:jc w:val="center"/>
              <w:rPr>
                <w:rFonts w:cs="Times New Roman"/>
                <w:b/>
                <w:sz w:val="20"/>
                <w:szCs w:val="20"/>
              </w:rPr>
            </w:pPr>
            <w:r w:rsidRPr="00FC64BF">
              <w:rPr>
                <w:rFonts w:cs="Times New Roman"/>
                <w:sz w:val="20"/>
                <w:szCs w:val="20"/>
              </w:rPr>
              <w:t>0,00</w:t>
            </w:r>
          </w:p>
        </w:tc>
      </w:tr>
      <w:tr w:rsidR="006D1F45" w:rsidRPr="006D1F45" w14:paraId="5204CCBA" w14:textId="77777777" w:rsidTr="00D36147">
        <w:trPr>
          <w:trHeight w:val="311"/>
        </w:trPr>
        <w:tc>
          <w:tcPr>
            <w:tcW w:w="1718" w:type="pct"/>
            <w:shd w:val="clear" w:color="auto" w:fill="F2F2F2" w:themeFill="background1" w:themeFillShade="F2"/>
            <w:vAlign w:val="center"/>
          </w:tcPr>
          <w:p w14:paraId="0ABFAE90" w14:textId="33698C20" w:rsidR="00CB56AF" w:rsidRPr="00FC64BF" w:rsidRDefault="00CB56AF" w:rsidP="00D36147">
            <w:pPr>
              <w:rPr>
                <w:rFonts w:cs="Times New Roman"/>
                <w:sz w:val="20"/>
                <w:szCs w:val="20"/>
              </w:rPr>
            </w:pPr>
            <w:r w:rsidRPr="00FC64BF">
              <w:rPr>
                <w:rFonts w:cs="Times New Roman"/>
                <w:sz w:val="20"/>
                <w:szCs w:val="20"/>
              </w:rPr>
              <w:t xml:space="preserve">ROK PROVEDBE </w:t>
            </w:r>
            <w:r w:rsidR="009316E4" w:rsidRPr="00FC64BF">
              <w:rPr>
                <w:rFonts w:cs="Times New Roman"/>
                <w:sz w:val="20"/>
                <w:szCs w:val="20"/>
              </w:rPr>
              <w:t>A</w:t>
            </w:r>
            <w:r w:rsidRPr="00FC64BF">
              <w:rPr>
                <w:rFonts w:cs="Times New Roman"/>
                <w:sz w:val="20"/>
                <w:szCs w:val="20"/>
              </w:rPr>
              <w:t xml:space="preserve">KTIVNOSTI </w:t>
            </w:r>
          </w:p>
        </w:tc>
        <w:tc>
          <w:tcPr>
            <w:tcW w:w="3282" w:type="pct"/>
            <w:gridSpan w:val="3"/>
            <w:vAlign w:val="center"/>
          </w:tcPr>
          <w:p w14:paraId="76987671" w14:textId="2AB64EA4" w:rsidR="00CB56AF" w:rsidRPr="00FC64BF" w:rsidRDefault="00CB56AF" w:rsidP="00D36147">
            <w:pPr>
              <w:rPr>
                <w:rFonts w:cs="Times New Roman"/>
                <w:sz w:val="20"/>
                <w:szCs w:val="20"/>
              </w:rPr>
            </w:pPr>
            <w:r w:rsidRPr="00FC64BF">
              <w:rPr>
                <w:rFonts w:cs="Times New Roman"/>
                <w:sz w:val="20"/>
                <w:szCs w:val="20"/>
              </w:rPr>
              <w:t>IV. kvartal 2025.</w:t>
            </w:r>
          </w:p>
        </w:tc>
      </w:tr>
    </w:tbl>
    <w:p w14:paraId="3A1273F4" w14:textId="77777777" w:rsidR="000926C2" w:rsidRPr="00FC64BF" w:rsidRDefault="000926C2" w:rsidP="00D36147">
      <w:pPr>
        <w:spacing w:after="0" w:line="276" w:lineRule="auto"/>
        <w:jc w:val="both"/>
        <w:rPr>
          <w:rFonts w:cs="Times New Roman"/>
          <w:i/>
          <w:iCs/>
          <w:szCs w:val="24"/>
        </w:rPr>
      </w:pPr>
    </w:p>
    <w:p w14:paraId="76A496E7" w14:textId="233E24D0" w:rsidR="009316E4" w:rsidRPr="00FC64BF" w:rsidRDefault="00325789" w:rsidP="004A3B23">
      <w:pPr>
        <w:spacing w:after="0" w:line="276" w:lineRule="auto"/>
        <w:jc w:val="both"/>
        <w:rPr>
          <w:rFonts w:eastAsia="Calibri" w:cs="Times New Roman"/>
          <w:i/>
          <w:szCs w:val="24"/>
        </w:rPr>
      </w:pPr>
      <w:r w:rsidRPr="00FC64BF">
        <w:rPr>
          <w:rFonts w:cs="Times New Roman"/>
          <w:i/>
          <w:iCs/>
          <w:szCs w:val="24"/>
        </w:rPr>
        <w:t xml:space="preserve">Aktivnost </w:t>
      </w:r>
      <w:r w:rsidR="00E67CE2" w:rsidRPr="00FC64BF">
        <w:rPr>
          <w:rFonts w:eastAsia="Calibri" w:cs="Times New Roman"/>
          <w:i/>
          <w:szCs w:val="24"/>
        </w:rPr>
        <w:t>1.1.2. Edukacija studenata preddiplomskog stručnog i specijalističkog diplomskog stručnog studija Kriminalistike</w:t>
      </w:r>
    </w:p>
    <w:p w14:paraId="48B9B22F" w14:textId="2D43CC91" w:rsidR="00325789" w:rsidRPr="00FC64BF" w:rsidRDefault="00325789" w:rsidP="00AB12E9">
      <w:pPr>
        <w:spacing w:after="0" w:line="276" w:lineRule="auto"/>
        <w:jc w:val="both"/>
        <w:rPr>
          <w:rFonts w:cs="Times New Roman"/>
          <w:i/>
          <w:iCs/>
          <w:szCs w:val="24"/>
        </w:rPr>
      </w:pPr>
      <w:r w:rsidRPr="00FC64BF">
        <w:rPr>
          <w:rFonts w:cs="Times New Roman"/>
          <w:i/>
          <w:iCs/>
          <w:szCs w:val="24"/>
        </w:rPr>
        <w:t>Nositelj provedbe: Ministarstvo unutarnjih poslova</w:t>
      </w:r>
      <w:r w:rsidR="00983B3E" w:rsidRPr="00FC64BF">
        <w:rPr>
          <w:rFonts w:cs="Times New Roman"/>
          <w:i/>
          <w:iCs/>
          <w:szCs w:val="24"/>
        </w:rPr>
        <w:t xml:space="preserve"> - Veleučilište kriminalistike i javne sigurnosti</w:t>
      </w:r>
    </w:p>
    <w:p w14:paraId="1BB35550" w14:textId="54EFBFAD" w:rsidR="00190175" w:rsidRDefault="00190175" w:rsidP="00D36147">
      <w:pPr>
        <w:spacing w:after="0" w:line="276" w:lineRule="auto"/>
        <w:jc w:val="both"/>
        <w:rPr>
          <w:rFonts w:cs="Times New Roman"/>
          <w:i/>
          <w:iCs/>
          <w:szCs w:val="24"/>
        </w:rPr>
      </w:pPr>
    </w:p>
    <w:p w14:paraId="0C99220C" w14:textId="79DB0E26" w:rsidR="00983B3E" w:rsidRDefault="00983B3E" w:rsidP="00D36147">
      <w:pPr>
        <w:spacing w:after="0" w:line="276" w:lineRule="auto"/>
        <w:jc w:val="both"/>
        <w:rPr>
          <w:rFonts w:cs="Times New Roman"/>
          <w:iCs/>
          <w:szCs w:val="24"/>
        </w:rPr>
      </w:pPr>
      <w:r w:rsidRPr="00983B3E">
        <w:rPr>
          <w:rFonts w:cs="Times New Roman"/>
          <w:iCs/>
          <w:szCs w:val="24"/>
        </w:rPr>
        <w:t>Tijekom akademske godine 2024./2025. na Veleučilištu kriminalistike i javne sigurnosti, sukladno izvedbenom planu nastave, provedena je edukacija studenata Stručnog prijediplomskog studija Kriminalistika, u okviru kolegija Kriminalistička metodika istraživanja maloljetničke delinkvencije i kriminaliteta na štetu djece, kroz nastavne teme:</w:t>
      </w:r>
      <w:r w:rsidR="002F7831">
        <w:rPr>
          <w:rFonts w:cs="Times New Roman"/>
          <w:iCs/>
          <w:szCs w:val="24"/>
        </w:rPr>
        <w:t xml:space="preserve"> </w:t>
      </w:r>
      <w:r w:rsidRPr="00983B3E">
        <w:rPr>
          <w:rFonts w:cs="Times New Roman"/>
          <w:iCs/>
          <w:szCs w:val="24"/>
        </w:rPr>
        <w:t>Postupanje policije prema djeci žrtvama svih oblika zlostavljanja i iskorištavanja, Postupanje policije u sprječavanju i procesuiranju međuvršnjačkog nasilja, Zaštita djece od prisilnih maloljetničkih brakova i Prevencija maloljetničke delinkvencije i međuresorna suradnja, u okviru kojih su obrađene specifičnosti zaštite romske djece, kako počinitelja, tako i žrtava kaznenih djela i vršnjačkog nasilja</w:t>
      </w:r>
      <w:r>
        <w:rPr>
          <w:rFonts w:cs="Times New Roman"/>
          <w:iCs/>
          <w:szCs w:val="24"/>
        </w:rPr>
        <w:t>.</w:t>
      </w:r>
    </w:p>
    <w:p w14:paraId="4F33FDD6" w14:textId="538E957F" w:rsidR="00983B3E" w:rsidRPr="00FC64BF" w:rsidRDefault="004B627A" w:rsidP="00D36147">
      <w:pPr>
        <w:spacing w:after="0" w:line="276" w:lineRule="auto"/>
        <w:jc w:val="both"/>
        <w:rPr>
          <w:rFonts w:cs="Times New Roman"/>
          <w:iCs/>
          <w:szCs w:val="24"/>
        </w:rPr>
      </w:pPr>
      <w:r w:rsidRPr="004B627A">
        <w:rPr>
          <w:rFonts w:cs="Times New Roman"/>
          <w:iCs/>
          <w:szCs w:val="24"/>
        </w:rPr>
        <w:lastRenderedPageBreak/>
        <w:t>Izborni kolegiji Kriminalistička metodika istraživanja složenog kriminaliteta na štetu djece i Praktikum policijskog postupanja prema manjinskim i ugroženim skupinama u društvu održavaju se u 2. semestru akademske godine 2024./2025. Stručnog diplomskog studija Kriminalistika te stoga nisu održane planirane edukacije. Nastava iz ovih kolegija nije održana niti u akademskoj godini 2023./2024. iz razloga što ove kolegije studenti nisu birali</w:t>
      </w:r>
      <w:r>
        <w:rPr>
          <w:rFonts w:cs="Times New Roman"/>
          <w:iCs/>
          <w:szCs w:val="24"/>
        </w:rPr>
        <w:t>.</w:t>
      </w:r>
    </w:p>
    <w:p w14:paraId="3FADB07F" w14:textId="77777777" w:rsidR="004A3B23" w:rsidRPr="00FC64BF" w:rsidRDefault="004A3B23" w:rsidP="00D36147">
      <w:pPr>
        <w:spacing w:after="0" w:line="276" w:lineRule="auto"/>
        <w:jc w:val="both"/>
        <w:rPr>
          <w:rFonts w:cs="Times New Roman"/>
          <w:iCs/>
          <w:szCs w:val="24"/>
        </w:rPr>
      </w:pPr>
    </w:p>
    <w:tbl>
      <w:tblPr>
        <w:tblStyle w:val="TableGrid"/>
        <w:tblW w:w="0" w:type="auto"/>
        <w:tblLook w:val="04A0" w:firstRow="1" w:lastRow="0" w:firstColumn="1" w:lastColumn="0" w:noHBand="0" w:noVBand="1"/>
      </w:tblPr>
      <w:tblGrid>
        <w:gridCol w:w="2906"/>
        <w:gridCol w:w="2591"/>
        <w:gridCol w:w="2153"/>
        <w:gridCol w:w="1412"/>
      </w:tblGrid>
      <w:tr w:rsidR="00CE622A" w:rsidRPr="005E09F2" w14:paraId="420A6475" w14:textId="77777777" w:rsidTr="00D36147">
        <w:tc>
          <w:tcPr>
            <w:tcW w:w="2906" w:type="dxa"/>
            <w:shd w:val="clear" w:color="auto" w:fill="F2F2F2" w:themeFill="background1" w:themeFillShade="F2"/>
            <w:vAlign w:val="center"/>
          </w:tcPr>
          <w:p w14:paraId="11487105" w14:textId="77777777" w:rsidR="00523C5B" w:rsidRPr="00FC64BF" w:rsidRDefault="00523C5B" w:rsidP="00D36147">
            <w:pPr>
              <w:rPr>
                <w:rFonts w:cs="Times New Roman"/>
                <w:b/>
                <w:sz w:val="20"/>
                <w:szCs w:val="18"/>
              </w:rPr>
            </w:pPr>
            <w:r w:rsidRPr="00FC64BF">
              <w:rPr>
                <w:rFonts w:cs="Times New Roman"/>
                <w:b/>
                <w:sz w:val="20"/>
                <w:szCs w:val="18"/>
              </w:rPr>
              <w:t>Pokazatelji provedbe i pokazatelji uspješnosti provedbe</w:t>
            </w:r>
          </w:p>
        </w:tc>
        <w:tc>
          <w:tcPr>
            <w:tcW w:w="2591" w:type="dxa"/>
            <w:shd w:val="clear" w:color="auto" w:fill="F2F2F2" w:themeFill="background1" w:themeFillShade="F2"/>
            <w:vAlign w:val="center"/>
          </w:tcPr>
          <w:p w14:paraId="23248012" w14:textId="625CF02A" w:rsidR="00523C5B" w:rsidRPr="00FC64BF" w:rsidRDefault="00523C5B" w:rsidP="00D36147">
            <w:pPr>
              <w:jc w:val="center"/>
              <w:rPr>
                <w:rFonts w:cs="Times New Roman"/>
                <w:b/>
                <w:sz w:val="20"/>
                <w:szCs w:val="18"/>
              </w:rPr>
            </w:pPr>
            <w:r w:rsidRPr="00FC64BF">
              <w:rPr>
                <w:rFonts w:cs="Times New Roman"/>
                <w:b/>
                <w:sz w:val="20"/>
                <w:szCs w:val="18"/>
              </w:rPr>
              <w:t>Broj sati edukacije</w:t>
            </w:r>
          </w:p>
        </w:tc>
        <w:tc>
          <w:tcPr>
            <w:tcW w:w="2153" w:type="dxa"/>
            <w:shd w:val="clear" w:color="auto" w:fill="F2F2F2" w:themeFill="background1" w:themeFillShade="F2"/>
            <w:vAlign w:val="center"/>
          </w:tcPr>
          <w:p w14:paraId="4A51EF4E" w14:textId="2D7DDFA9" w:rsidR="00523C5B" w:rsidRPr="00FC64BF" w:rsidRDefault="00523C5B" w:rsidP="00D36147">
            <w:pPr>
              <w:jc w:val="center"/>
              <w:rPr>
                <w:rFonts w:cs="Times New Roman"/>
                <w:b/>
                <w:sz w:val="20"/>
                <w:szCs w:val="18"/>
              </w:rPr>
            </w:pPr>
            <w:r w:rsidRPr="00FC64BF">
              <w:rPr>
                <w:rFonts w:cs="Times New Roman"/>
                <w:b/>
                <w:sz w:val="20"/>
                <w:szCs w:val="18"/>
              </w:rPr>
              <w:t>Broj studenata</w:t>
            </w:r>
          </w:p>
        </w:tc>
        <w:tc>
          <w:tcPr>
            <w:tcW w:w="1412" w:type="dxa"/>
            <w:shd w:val="clear" w:color="auto" w:fill="F2F2F2" w:themeFill="background1" w:themeFillShade="F2"/>
            <w:vAlign w:val="center"/>
          </w:tcPr>
          <w:p w14:paraId="44566917" w14:textId="49FAEC52" w:rsidR="00523C5B" w:rsidRPr="00FC64BF" w:rsidRDefault="00523C5B" w:rsidP="00D36147">
            <w:pPr>
              <w:jc w:val="center"/>
              <w:rPr>
                <w:rFonts w:cs="Times New Roman"/>
                <w:b/>
                <w:sz w:val="20"/>
                <w:szCs w:val="18"/>
              </w:rPr>
            </w:pPr>
          </w:p>
        </w:tc>
      </w:tr>
      <w:tr w:rsidR="00CE622A" w:rsidRPr="005E09F2" w14:paraId="3A3B0A33" w14:textId="77777777" w:rsidTr="00D36147">
        <w:tc>
          <w:tcPr>
            <w:tcW w:w="2906" w:type="dxa"/>
            <w:shd w:val="clear" w:color="auto" w:fill="F2F2F2" w:themeFill="background1" w:themeFillShade="F2"/>
            <w:vAlign w:val="center"/>
          </w:tcPr>
          <w:p w14:paraId="23BCB2D3" w14:textId="037843AE" w:rsidR="00523C5B" w:rsidRPr="00FC64BF" w:rsidRDefault="00523C5B" w:rsidP="006E539A">
            <w:pPr>
              <w:rPr>
                <w:rFonts w:cs="Times New Roman"/>
                <w:sz w:val="20"/>
                <w:szCs w:val="18"/>
              </w:rPr>
            </w:pPr>
            <w:r w:rsidRPr="00FC64BF">
              <w:rPr>
                <w:rFonts w:cs="Times New Roman"/>
                <w:sz w:val="20"/>
                <w:szCs w:val="18"/>
              </w:rPr>
              <w:t>Planirani ishodi za pokazatelje provedbe u 202</w:t>
            </w:r>
            <w:r w:rsidR="00947259" w:rsidRPr="00FC64BF">
              <w:rPr>
                <w:rFonts w:cs="Times New Roman"/>
                <w:sz w:val="20"/>
                <w:szCs w:val="18"/>
              </w:rPr>
              <w:t>4</w:t>
            </w:r>
            <w:r w:rsidRPr="00FC64BF">
              <w:rPr>
                <w:rFonts w:cs="Times New Roman"/>
                <w:sz w:val="20"/>
                <w:szCs w:val="18"/>
              </w:rPr>
              <w:t xml:space="preserve">. </w:t>
            </w:r>
          </w:p>
        </w:tc>
        <w:tc>
          <w:tcPr>
            <w:tcW w:w="2591" w:type="dxa"/>
            <w:vAlign w:val="center"/>
          </w:tcPr>
          <w:p w14:paraId="192505B9" w14:textId="15AAF525" w:rsidR="00523C5B" w:rsidRPr="00FC64BF" w:rsidRDefault="00947259">
            <w:pPr>
              <w:jc w:val="center"/>
              <w:rPr>
                <w:rFonts w:cs="Times New Roman"/>
                <w:sz w:val="20"/>
                <w:szCs w:val="18"/>
              </w:rPr>
            </w:pPr>
            <w:r w:rsidRPr="00FC64BF">
              <w:rPr>
                <w:rFonts w:cs="Times New Roman"/>
                <w:sz w:val="20"/>
                <w:szCs w:val="18"/>
              </w:rPr>
              <w:t>4</w:t>
            </w:r>
          </w:p>
        </w:tc>
        <w:tc>
          <w:tcPr>
            <w:tcW w:w="2153" w:type="dxa"/>
            <w:vAlign w:val="center"/>
          </w:tcPr>
          <w:p w14:paraId="3C593F1B" w14:textId="5A8B4F5A" w:rsidR="00523C5B" w:rsidRPr="00FC64BF" w:rsidRDefault="00523C5B">
            <w:pPr>
              <w:jc w:val="center"/>
              <w:rPr>
                <w:rFonts w:cs="Times New Roman"/>
                <w:sz w:val="20"/>
                <w:szCs w:val="18"/>
              </w:rPr>
            </w:pPr>
            <w:r w:rsidRPr="00FC64BF">
              <w:rPr>
                <w:rFonts w:cs="Times New Roman"/>
                <w:sz w:val="20"/>
                <w:szCs w:val="18"/>
              </w:rPr>
              <w:t>6</w:t>
            </w:r>
            <w:r w:rsidR="00947259" w:rsidRPr="00FC64BF">
              <w:rPr>
                <w:rFonts w:cs="Times New Roman"/>
                <w:sz w:val="20"/>
                <w:szCs w:val="18"/>
              </w:rPr>
              <w:t>6</w:t>
            </w:r>
          </w:p>
        </w:tc>
        <w:tc>
          <w:tcPr>
            <w:tcW w:w="1412" w:type="dxa"/>
            <w:vAlign w:val="center"/>
          </w:tcPr>
          <w:p w14:paraId="46D6D1CA" w14:textId="7287CB82" w:rsidR="00523C5B" w:rsidRPr="00FC64BF" w:rsidRDefault="00523C5B" w:rsidP="00D36147">
            <w:pPr>
              <w:rPr>
                <w:rFonts w:cs="Times New Roman"/>
                <w:sz w:val="20"/>
                <w:szCs w:val="18"/>
              </w:rPr>
            </w:pPr>
          </w:p>
        </w:tc>
      </w:tr>
      <w:tr w:rsidR="00CE622A" w:rsidRPr="005E09F2" w14:paraId="47F5134D" w14:textId="77777777" w:rsidTr="00D36147">
        <w:tc>
          <w:tcPr>
            <w:tcW w:w="2906" w:type="dxa"/>
            <w:shd w:val="clear" w:color="auto" w:fill="F2F2F2" w:themeFill="background1" w:themeFillShade="F2"/>
            <w:vAlign w:val="center"/>
          </w:tcPr>
          <w:p w14:paraId="06031BE0" w14:textId="37C912E6" w:rsidR="00523C5B" w:rsidRPr="00FC64BF" w:rsidRDefault="00523C5B" w:rsidP="006E539A">
            <w:pPr>
              <w:rPr>
                <w:rFonts w:cs="Times New Roman"/>
                <w:sz w:val="20"/>
                <w:szCs w:val="18"/>
              </w:rPr>
            </w:pPr>
            <w:r w:rsidRPr="00FC64BF">
              <w:rPr>
                <w:rFonts w:cs="Times New Roman"/>
                <w:sz w:val="20"/>
                <w:szCs w:val="18"/>
              </w:rPr>
              <w:t>Ostvareni ishodi za pokazatelje provedbe u 202</w:t>
            </w:r>
            <w:r w:rsidR="00947259" w:rsidRPr="00FC64BF">
              <w:rPr>
                <w:rFonts w:cs="Times New Roman"/>
                <w:sz w:val="20"/>
                <w:szCs w:val="18"/>
              </w:rPr>
              <w:t>4</w:t>
            </w:r>
            <w:r w:rsidRPr="00FC64BF">
              <w:rPr>
                <w:rFonts w:cs="Times New Roman"/>
                <w:sz w:val="20"/>
                <w:szCs w:val="18"/>
              </w:rPr>
              <w:t xml:space="preserve">. </w:t>
            </w:r>
          </w:p>
        </w:tc>
        <w:tc>
          <w:tcPr>
            <w:tcW w:w="2591" w:type="dxa"/>
            <w:vAlign w:val="center"/>
          </w:tcPr>
          <w:p w14:paraId="40510F95" w14:textId="3F5870DD" w:rsidR="00523C5B" w:rsidRPr="00FC64BF" w:rsidRDefault="00947259">
            <w:pPr>
              <w:jc w:val="center"/>
              <w:rPr>
                <w:rFonts w:cs="Times New Roman"/>
                <w:sz w:val="20"/>
                <w:szCs w:val="18"/>
              </w:rPr>
            </w:pPr>
            <w:r w:rsidRPr="00FC64BF">
              <w:rPr>
                <w:rFonts w:cs="Times New Roman"/>
                <w:sz w:val="20"/>
                <w:szCs w:val="18"/>
              </w:rPr>
              <w:t>n/p</w:t>
            </w:r>
          </w:p>
        </w:tc>
        <w:tc>
          <w:tcPr>
            <w:tcW w:w="2153" w:type="dxa"/>
            <w:vAlign w:val="center"/>
          </w:tcPr>
          <w:p w14:paraId="00CF8B3E" w14:textId="3EEE9CF6" w:rsidR="00523C5B" w:rsidRPr="00FC64BF" w:rsidRDefault="00947259">
            <w:pPr>
              <w:jc w:val="center"/>
              <w:rPr>
                <w:rFonts w:cs="Times New Roman"/>
                <w:sz w:val="20"/>
                <w:szCs w:val="18"/>
              </w:rPr>
            </w:pPr>
            <w:r w:rsidRPr="00FC64BF">
              <w:rPr>
                <w:rFonts w:cs="Times New Roman"/>
                <w:sz w:val="20"/>
                <w:szCs w:val="18"/>
              </w:rPr>
              <w:t>n/p</w:t>
            </w:r>
          </w:p>
        </w:tc>
        <w:tc>
          <w:tcPr>
            <w:tcW w:w="1412" w:type="dxa"/>
            <w:vAlign w:val="center"/>
          </w:tcPr>
          <w:p w14:paraId="351D8145" w14:textId="5E9732DC" w:rsidR="00523C5B" w:rsidRPr="00FC64BF" w:rsidRDefault="00523C5B" w:rsidP="00D36147">
            <w:pPr>
              <w:rPr>
                <w:rFonts w:cs="Times New Roman"/>
                <w:sz w:val="20"/>
                <w:szCs w:val="18"/>
              </w:rPr>
            </w:pPr>
          </w:p>
        </w:tc>
      </w:tr>
      <w:tr w:rsidR="00CE622A" w:rsidRPr="005E09F2" w14:paraId="61AE0116" w14:textId="77777777" w:rsidTr="00D36147">
        <w:tc>
          <w:tcPr>
            <w:tcW w:w="2906" w:type="dxa"/>
            <w:shd w:val="clear" w:color="auto" w:fill="F2F2F2" w:themeFill="background1" w:themeFillShade="F2"/>
            <w:vAlign w:val="center"/>
          </w:tcPr>
          <w:p w14:paraId="1FF25125" w14:textId="77777777" w:rsidR="00523C5B" w:rsidRPr="00FC64BF" w:rsidRDefault="00523C5B" w:rsidP="00D36147">
            <w:pPr>
              <w:rPr>
                <w:rFonts w:cs="Times New Roman"/>
                <w:b/>
                <w:sz w:val="20"/>
                <w:szCs w:val="18"/>
              </w:rPr>
            </w:pPr>
            <w:r w:rsidRPr="00FC64BF">
              <w:rPr>
                <w:rFonts w:cs="Times New Roman"/>
                <w:b/>
                <w:sz w:val="20"/>
                <w:szCs w:val="18"/>
              </w:rPr>
              <w:t xml:space="preserve">IZVORI FINANCIRANJA </w:t>
            </w:r>
          </w:p>
        </w:tc>
        <w:tc>
          <w:tcPr>
            <w:tcW w:w="2591" w:type="dxa"/>
            <w:vAlign w:val="center"/>
          </w:tcPr>
          <w:p w14:paraId="2E1FC445" w14:textId="77777777" w:rsidR="00523C5B" w:rsidRPr="00FC64BF" w:rsidRDefault="00523C5B" w:rsidP="00D36147">
            <w:pPr>
              <w:jc w:val="center"/>
              <w:rPr>
                <w:rFonts w:cs="Times New Roman"/>
                <w:b/>
                <w:sz w:val="20"/>
                <w:szCs w:val="18"/>
              </w:rPr>
            </w:pPr>
            <w:r w:rsidRPr="00FC64BF">
              <w:rPr>
                <w:rFonts w:cs="Times New Roman"/>
                <w:b/>
                <w:sz w:val="20"/>
                <w:szCs w:val="18"/>
              </w:rPr>
              <w:t>Državni proračun (EUR)</w:t>
            </w:r>
          </w:p>
        </w:tc>
        <w:tc>
          <w:tcPr>
            <w:tcW w:w="2153" w:type="dxa"/>
            <w:vAlign w:val="center"/>
          </w:tcPr>
          <w:p w14:paraId="13B95E04" w14:textId="77777777" w:rsidR="00523C5B" w:rsidRPr="00FC64BF" w:rsidRDefault="00523C5B" w:rsidP="00D36147">
            <w:pPr>
              <w:jc w:val="center"/>
              <w:rPr>
                <w:rFonts w:cs="Times New Roman"/>
                <w:b/>
                <w:sz w:val="20"/>
                <w:szCs w:val="18"/>
              </w:rPr>
            </w:pPr>
            <w:r w:rsidRPr="00FC64BF">
              <w:rPr>
                <w:rFonts w:cs="Times New Roman"/>
                <w:b/>
                <w:sz w:val="20"/>
                <w:szCs w:val="18"/>
              </w:rPr>
              <w:t>EU financiranje (EUR)</w:t>
            </w:r>
          </w:p>
        </w:tc>
        <w:tc>
          <w:tcPr>
            <w:tcW w:w="1412" w:type="dxa"/>
            <w:vAlign w:val="center"/>
          </w:tcPr>
          <w:p w14:paraId="495875DA" w14:textId="77777777" w:rsidR="00523C5B" w:rsidRPr="00FC64BF" w:rsidRDefault="00523C5B" w:rsidP="00D36147">
            <w:pPr>
              <w:jc w:val="center"/>
              <w:rPr>
                <w:rFonts w:cs="Times New Roman"/>
                <w:b/>
                <w:sz w:val="20"/>
                <w:szCs w:val="18"/>
              </w:rPr>
            </w:pPr>
            <w:r w:rsidRPr="00FC64BF">
              <w:rPr>
                <w:rFonts w:cs="Times New Roman"/>
                <w:b/>
                <w:sz w:val="20"/>
                <w:szCs w:val="18"/>
              </w:rPr>
              <w:t>Drugi izvori (EUR)</w:t>
            </w:r>
          </w:p>
        </w:tc>
      </w:tr>
      <w:tr w:rsidR="00CE622A" w:rsidRPr="005E09F2" w14:paraId="3EED5167" w14:textId="77777777" w:rsidTr="00D36147">
        <w:trPr>
          <w:trHeight w:val="587"/>
        </w:trPr>
        <w:tc>
          <w:tcPr>
            <w:tcW w:w="2906" w:type="dxa"/>
            <w:shd w:val="clear" w:color="auto" w:fill="F2F2F2" w:themeFill="background1" w:themeFillShade="F2"/>
            <w:vAlign w:val="center"/>
          </w:tcPr>
          <w:p w14:paraId="6B6CA179" w14:textId="696F32D6" w:rsidR="00523C5B" w:rsidRPr="00FC64BF" w:rsidRDefault="00523C5B" w:rsidP="006E539A">
            <w:pPr>
              <w:rPr>
                <w:rFonts w:cs="Times New Roman"/>
                <w:sz w:val="20"/>
                <w:szCs w:val="18"/>
              </w:rPr>
            </w:pPr>
            <w:r w:rsidRPr="00FC64BF">
              <w:rPr>
                <w:rFonts w:cs="Times New Roman"/>
                <w:sz w:val="20"/>
                <w:szCs w:val="18"/>
              </w:rPr>
              <w:t xml:space="preserve">Izvori financiranja u godini </w:t>
            </w:r>
            <w:r w:rsidR="00DF0F76" w:rsidRPr="00FC64BF">
              <w:rPr>
                <w:rFonts w:cs="Times New Roman"/>
                <w:sz w:val="20"/>
                <w:szCs w:val="18"/>
              </w:rPr>
              <w:t>(proračunska pozicija i predviđeni iznos sredstava)</w:t>
            </w:r>
          </w:p>
        </w:tc>
        <w:tc>
          <w:tcPr>
            <w:tcW w:w="2591" w:type="dxa"/>
            <w:vAlign w:val="center"/>
          </w:tcPr>
          <w:p w14:paraId="417BA228" w14:textId="0DB7BC00" w:rsidR="00523C5B" w:rsidRPr="00FC64BF" w:rsidRDefault="00523C5B" w:rsidP="00A75D55">
            <w:pPr>
              <w:jc w:val="center"/>
              <w:rPr>
                <w:rFonts w:cs="Times New Roman"/>
                <w:sz w:val="20"/>
                <w:szCs w:val="18"/>
              </w:rPr>
            </w:pPr>
            <w:r w:rsidRPr="00FC64BF">
              <w:rPr>
                <w:rFonts w:cs="Times New Roman"/>
                <w:sz w:val="20"/>
                <w:szCs w:val="18"/>
              </w:rPr>
              <w:t>A553131 Administracija i</w:t>
            </w:r>
            <w:r w:rsidR="002F7831">
              <w:rPr>
                <w:rFonts w:cs="Times New Roman"/>
                <w:sz w:val="20"/>
                <w:szCs w:val="18"/>
              </w:rPr>
              <w:t xml:space="preserve"> </w:t>
            </w:r>
            <w:r w:rsidR="00A75D55" w:rsidRPr="00FC64BF">
              <w:rPr>
                <w:rFonts w:cs="Times New Roman"/>
                <w:sz w:val="20"/>
                <w:szCs w:val="18"/>
              </w:rPr>
              <w:t>u</w:t>
            </w:r>
            <w:r w:rsidRPr="00FC64BF">
              <w:rPr>
                <w:rFonts w:cs="Times New Roman"/>
                <w:sz w:val="20"/>
                <w:szCs w:val="18"/>
              </w:rPr>
              <w:t>pravljanje</w:t>
            </w:r>
          </w:p>
        </w:tc>
        <w:tc>
          <w:tcPr>
            <w:tcW w:w="2153" w:type="dxa"/>
            <w:vAlign w:val="center"/>
          </w:tcPr>
          <w:p w14:paraId="3F08B478" w14:textId="77777777" w:rsidR="00523C5B" w:rsidRPr="00FC64BF" w:rsidRDefault="00523C5B" w:rsidP="00D36147">
            <w:pPr>
              <w:jc w:val="center"/>
              <w:rPr>
                <w:rFonts w:cs="Times New Roman"/>
                <w:sz w:val="20"/>
                <w:szCs w:val="18"/>
              </w:rPr>
            </w:pPr>
            <w:r w:rsidRPr="00FC64BF">
              <w:rPr>
                <w:rFonts w:cs="Times New Roman"/>
                <w:sz w:val="20"/>
                <w:szCs w:val="18"/>
              </w:rPr>
              <w:t>0,00</w:t>
            </w:r>
          </w:p>
        </w:tc>
        <w:tc>
          <w:tcPr>
            <w:tcW w:w="1412" w:type="dxa"/>
            <w:vAlign w:val="center"/>
          </w:tcPr>
          <w:p w14:paraId="4C003490" w14:textId="77777777" w:rsidR="00523C5B" w:rsidRPr="00FC64BF" w:rsidRDefault="00523C5B" w:rsidP="00D36147">
            <w:pPr>
              <w:jc w:val="center"/>
              <w:rPr>
                <w:rFonts w:cs="Times New Roman"/>
                <w:sz w:val="20"/>
                <w:szCs w:val="18"/>
              </w:rPr>
            </w:pPr>
            <w:r w:rsidRPr="00FC64BF">
              <w:rPr>
                <w:rFonts w:cs="Times New Roman"/>
                <w:sz w:val="20"/>
                <w:szCs w:val="18"/>
              </w:rPr>
              <w:t>0,00</w:t>
            </w:r>
          </w:p>
        </w:tc>
      </w:tr>
      <w:tr w:rsidR="00CE622A" w:rsidRPr="005E09F2" w14:paraId="50E90A0C" w14:textId="77777777" w:rsidTr="00D36147">
        <w:tc>
          <w:tcPr>
            <w:tcW w:w="2906" w:type="dxa"/>
            <w:vMerge w:val="restart"/>
            <w:shd w:val="clear" w:color="auto" w:fill="F2F2F2" w:themeFill="background1" w:themeFillShade="F2"/>
            <w:vAlign w:val="center"/>
          </w:tcPr>
          <w:p w14:paraId="3158B522" w14:textId="77777777" w:rsidR="00523C5B" w:rsidRPr="00FC64BF" w:rsidRDefault="00523C5B" w:rsidP="00D36147">
            <w:pPr>
              <w:rPr>
                <w:rFonts w:cs="Times New Roman"/>
                <w:b/>
                <w:bCs/>
                <w:sz w:val="20"/>
                <w:szCs w:val="18"/>
              </w:rPr>
            </w:pPr>
            <w:r w:rsidRPr="00FC64BF">
              <w:rPr>
                <w:rFonts w:cs="Times New Roman"/>
                <w:b/>
                <w:bCs/>
                <w:sz w:val="20"/>
                <w:szCs w:val="18"/>
              </w:rPr>
              <w:t xml:space="preserve">UKUPNO UTROŠENA SREDSTVA PO IZVORU </w:t>
            </w:r>
          </w:p>
        </w:tc>
        <w:tc>
          <w:tcPr>
            <w:tcW w:w="2591" w:type="dxa"/>
            <w:vAlign w:val="center"/>
          </w:tcPr>
          <w:p w14:paraId="3329B597" w14:textId="77777777" w:rsidR="00523C5B" w:rsidRPr="00FC64BF" w:rsidRDefault="00523C5B" w:rsidP="00D36147">
            <w:pPr>
              <w:jc w:val="center"/>
              <w:rPr>
                <w:rFonts w:cs="Times New Roman"/>
                <w:b/>
                <w:sz w:val="20"/>
                <w:szCs w:val="18"/>
              </w:rPr>
            </w:pPr>
            <w:r w:rsidRPr="00FC64BF">
              <w:rPr>
                <w:rFonts w:cs="Times New Roman"/>
                <w:b/>
                <w:sz w:val="20"/>
                <w:szCs w:val="18"/>
              </w:rPr>
              <w:t>Državni proračun (EUR)</w:t>
            </w:r>
          </w:p>
        </w:tc>
        <w:tc>
          <w:tcPr>
            <w:tcW w:w="2153" w:type="dxa"/>
            <w:vAlign w:val="center"/>
          </w:tcPr>
          <w:p w14:paraId="62282C55" w14:textId="77777777" w:rsidR="00523C5B" w:rsidRPr="00FC64BF" w:rsidRDefault="00523C5B" w:rsidP="00D36147">
            <w:pPr>
              <w:jc w:val="center"/>
              <w:rPr>
                <w:rFonts w:cs="Times New Roman"/>
                <w:b/>
                <w:sz w:val="20"/>
                <w:szCs w:val="18"/>
              </w:rPr>
            </w:pPr>
            <w:r w:rsidRPr="00FC64BF">
              <w:rPr>
                <w:rFonts w:cs="Times New Roman"/>
                <w:b/>
                <w:sz w:val="20"/>
                <w:szCs w:val="18"/>
              </w:rPr>
              <w:t>EU financiranje (EUR)</w:t>
            </w:r>
          </w:p>
        </w:tc>
        <w:tc>
          <w:tcPr>
            <w:tcW w:w="1412" w:type="dxa"/>
            <w:vAlign w:val="center"/>
          </w:tcPr>
          <w:p w14:paraId="3A39A7D9" w14:textId="77777777" w:rsidR="00523C5B" w:rsidRPr="00FC64BF" w:rsidRDefault="00523C5B" w:rsidP="00D36147">
            <w:pPr>
              <w:jc w:val="center"/>
              <w:rPr>
                <w:rFonts w:cs="Times New Roman"/>
                <w:b/>
                <w:sz w:val="20"/>
                <w:szCs w:val="18"/>
              </w:rPr>
            </w:pPr>
            <w:r w:rsidRPr="00FC64BF">
              <w:rPr>
                <w:rFonts w:cs="Times New Roman"/>
                <w:b/>
                <w:sz w:val="20"/>
                <w:szCs w:val="18"/>
              </w:rPr>
              <w:t>Drugi izvori (EUR)</w:t>
            </w:r>
          </w:p>
        </w:tc>
      </w:tr>
      <w:tr w:rsidR="00CE622A" w:rsidRPr="005E09F2" w14:paraId="1B5F7696" w14:textId="77777777" w:rsidTr="00D36147">
        <w:trPr>
          <w:trHeight w:val="488"/>
        </w:trPr>
        <w:tc>
          <w:tcPr>
            <w:tcW w:w="2906" w:type="dxa"/>
            <w:vMerge/>
            <w:shd w:val="clear" w:color="auto" w:fill="F2F2F2" w:themeFill="background1" w:themeFillShade="F2"/>
            <w:vAlign w:val="center"/>
          </w:tcPr>
          <w:p w14:paraId="17333C83" w14:textId="77777777" w:rsidR="00523C5B" w:rsidRPr="00FC64BF" w:rsidRDefault="00523C5B" w:rsidP="00D36147">
            <w:pPr>
              <w:rPr>
                <w:rFonts w:cs="Times New Roman"/>
                <w:b/>
                <w:sz w:val="20"/>
                <w:szCs w:val="18"/>
              </w:rPr>
            </w:pPr>
          </w:p>
        </w:tc>
        <w:tc>
          <w:tcPr>
            <w:tcW w:w="2591" w:type="dxa"/>
            <w:vAlign w:val="center"/>
          </w:tcPr>
          <w:p w14:paraId="5FFAE549" w14:textId="55235608" w:rsidR="00523C5B" w:rsidRPr="00FC64BF" w:rsidRDefault="00A37454" w:rsidP="00D36147">
            <w:pPr>
              <w:jc w:val="center"/>
              <w:rPr>
                <w:rFonts w:cs="Times New Roman"/>
                <w:sz w:val="20"/>
                <w:szCs w:val="18"/>
              </w:rPr>
            </w:pPr>
            <w:r w:rsidRPr="00FC64BF">
              <w:rPr>
                <w:rFonts w:cs="Times New Roman"/>
                <w:sz w:val="20"/>
                <w:szCs w:val="18"/>
              </w:rPr>
              <w:t>A553131 Administracija i</w:t>
            </w:r>
            <w:r w:rsidR="00A75D55" w:rsidRPr="00FC64BF">
              <w:rPr>
                <w:rFonts w:cs="Times New Roman"/>
                <w:sz w:val="20"/>
                <w:szCs w:val="18"/>
              </w:rPr>
              <w:t xml:space="preserve"> u</w:t>
            </w:r>
            <w:r w:rsidRPr="00FC64BF">
              <w:rPr>
                <w:rFonts w:cs="Times New Roman"/>
                <w:sz w:val="20"/>
                <w:szCs w:val="18"/>
              </w:rPr>
              <w:t>pravljanje</w:t>
            </w:r>
          </w:p>
          <w:p w14:paraId="111B87C6" w14:textId="511B590B" w:rsidR="00A37454" w:rsidRPr="00FC64BF" w:rsidRDefault="00A37454" w:rsidP="00D36147">
            <w:pPr>
              <w:jc w:val="center"/>
              <w:rPr>
                <w:rFonts w:cs="Times New Roman"/>
                <w:b/>
                <w:sz w:val="20"/>
                <w:szCs w:val="18"/>
              </w:rPr>
            </w:pPr>
            <w:r w:rsidRPr="00FC64BF">
              <w:rPr>
                <w:rFonts w:cs="Times New Roman"/>
                <w:b/>
                <w:sz w:val="20"/>
                <w:szCs w:val="18"/>
              </w:rPr>
              <w:t>0,00</w:t>
            </w:r>
          </w:p>
        </w:tc>
        <w:tc>
          <w:tcPr>
            <w:tcW w:w="2153" w:type="dxa"/>
            <w:vAlign w:val="center"/>
          </w:tcPr>
          <w:p w14:paraId="68347AD0" w14:textId="77777777" w:rsidR="00523C5B" w:rsidRPr="00FC64BF" w:rsidRDefault="00523C5B" w:rsidP="00D36147">
            <w:pPr>
              <w:jc w:val="center"/>
              <w:rPr>
                <w:rFonts w:cs="Times New Roman"/>
                <w:b/>
                <w:sz w:val="20"/>
                <w:szCs w:val="18"/>
              </w:rPr>
            </w:pPr>
            <w:r w:rsidRPr="00FC64BF">
              <w:rPr>
                <w:rFonts w:cs="Times New Roman"/>
                <w:sz w:val="20"/>
                <w:szCs w:val="18"/>
              </w:rPr>
              <w:t>0,00</w:t>
            </w:r>
          </w:p>
        </w:tc>
        <w:tc>
          <w:tcPr>
            <w:tcW w:w="1412" w:type="dxa"/>
            <w:vAlign w:val="center"/>
          </w:tcPr>
          <w:p w14:paraId="40586D22" w14:textId="77777777" w:rsidR="00523C5B" w:rsidRPr="00FC64BF" w:rsidRDefault="00523C5B" w:rsidP="00D36147">
            <w:pPr>
              <w:jc w:val="center"/>
              <w:rPr>
                <w:rFonts w:cs="Times New Roman"/>
                <w:b/>
                <w:sz w:val="20"/>
                <w:szCs w:val="18"/>
              </w:rPr>
            </w:pPr>
            <w:r w:rsidRPr="00FC64BF">
              <w:rPr>
                <w:rFonts w:cs="Times New Roman"/>
                <w:sz w:val="20"/>
                <w:szCs w:val="18"/>
              </w:rPr>
              <w:t>0,00</w:t>
            </w:r>
          </w:p>
        </w:tc>
      </w:tr>
      <w:tr w:rsidR="00CE622A" w:rsidRPr="005E09F2" w14:paraId="7E3213CB" w14:textId="77777777" w:rsidTr="00D36147">
        <w:trPr>
          <w:trHeight w:val="398"/>
        </w:trPr>
        <w:tc>
          <w:tcPr>
            <w:tcW w:w="2906" w:type="dxa"/>
            <w:shd w:val="clear" w:color="auto" w:fill="F2F2F2" w:themeFill="background1" w:themeFillShade="F2"/>
            <w:vAlign w:val="center"/>
          </w:tcPr>
          <w:p w14:paraId="38552C0A" w14:textId="7C393E6C" w:rsidR="00523C5B" w:rsidRPr="00FC64BF" w:rsidRDefault="00523C5B" w:rsidP="00D36147">
            <w:pPr>
              <w:rPr>
                <w:rFonts w:cs="Times New Roman"/>
                <w:sz w:val="20"/>
                <w:szCs w:val="18"/>
              </w:rPr>
            </w:pPr>
            <w:r w:rsidRPr="00FC64BF">
              <w:rPr>
                <w:rFonts w:cs="Times New Roman"/>
                <w:sz w:val="20"/>
                <w:szCs w:val="18"/>
              </w:rPr>
              <w:t xml:space="preserve">ROK PROVEDBE AKTIVNOSTI </w:t>
            </w:r>
          </w:p>
        </w:tc>
        <w:tc>
          <w:tcPr>
            <w:tcW w:w="6156" w:type="dxa"/>
            <w:gridSpan w:val="3"/>
            <w:vAlign w:val="center"/>
          </w:tcPr>
          <w:p w14:paraId="3687436A" w14:textId="77F65807" w:rsidR="00523C5B" w:rsidRPr="00FC64BF" w:rsidRDefault="00523C5B" w:rsidP="00D36147">
            <w:pPr>
              <w:rPr>
                <w:rFonts w:cs="Times New Roman"/>
                <w:sz w:val="20"/>
                <w:szCs w:val="18"/>
              </w:rPr>
            </w:pPr>
            <w:r w:rsidRPr="00FC64BF">
              <w:rPr>
                <w:rFonts w:cs="Times New Roman"/>
                <w:sz w:val="20"/>
                <w:szCs w:val="18"/>
              </w:rPr>
              <w:t>II. kvartal 2025.</w:t>
            </w:r>
          </w:p>
        </w:tc>
      </w:tr>
    </w:tbl>
    <w:p w14:paraId="597F9176" w14:textId="77777777" w:rsidR="00A37454" w:rsidRDefault="00A37454" w:rsidP="004A3B23">
      <w:pPr>
        <w:spacing w:after="0" w:line="276" w:lineRule="auto"/>
        <w:jc w:val="both"/>
        <w:rPr>
          <w:rFonts w:cs="Times New Roman"/>
          <w:i/>
          <w:iCs/>
          <w:szCs w:val="24"/>
        </w:rPr>
      </w:pPr>
    </w:p>
    <w:p w14:paraId="65F346D2" w14:textId="77777777" w:rsidR="00B76094" w:rsidRPr="00441179" w:rsidRDefault="00B76094" w:rsidP="004A3B23">
      <w:pPr>
        <w:spacing w:after="0" w:line="276" w:lineRule="auto"/>
        <w:jc w:val="both"/>
        <w:rPr>
          <w:rFonts w:cs="Times New Roman"/>
          <w:i/>
          <w:iCs/>
          <w:szCs w:val="24"/>
        </w:rPr>
      </w:pPr>
    </w:p>
    <w:p w14:paraId="199A1CD3" w14:textId="55DDC093" w:rsidR="007C6944" w:rsidRPr="00441179" w:rsidRDefault="0052298B" w:rsidP="00AB12E9">
      <w:pPr>
        <w:spacing w:after="0" w:line="276" w:lineRule="auto"/>
        <w:jc w:val="both"/>
        <w:rPr>
          <w:rFonts w:cs="Times New Roman"/>
          <w:i/>
          <w:iCs/>
          <w:szCs w:val="24"/>
        </w:rPr>
      </w:pPr>
      <w:bookmarkStart w:id="17" w:name="_Hlk164149851"/>
      <w:r w:rsidRPr="00441179">
        <w:rPr>
          <w:rFonts w:cs="Times New Roman"/>
          <w:i/>
          <w:iCs/>
          <w:szCs w:val="24"/>
        </w:rPr>
        <w:t>A</w:t>
      </w:r>
      <w:r w:rsidR="00996199" w:rsidRPr="00441179">
        <w:rPr>
          <w:rFonts w:cs="Times New Roman"/>
          <w:i/>
          <w:iCs/>
          <w:szCs w:val="24"/>
        </w:rPr>
        <w:t>ktivnost 1.1.</w:t>
      </w:r>
      <w:r w:rsidR="00E67CE2" w:rsidRPr="00441179">
        <w:rPr>
          <w:rFonts w:cs="Times New Roman"/>
          <w:i/>
          <w:iCs/>
          <w:szCs w:val="24"/>
        </w:rPr>
        <w:t>3</w:t>
      </w:r>
      <w:r w:rsidR="00996199" w:rsidRPr="00441179">
        <w:rPr>
          <w:rFonts w:cs="Times New Roman"/>
          <w:i/>
          <w:iCs/>
          <w:szCs w:val="24"/>
        </w:rPr>
        <w:t>. Jačanje i promicanje sigurnosti u zajednici</w:t>
      </w:r>
    </w:p>
    <w:bookmarkEnd w:id="17"/>
    <w:p w14:paraId="6F82672F" w14:textId="3B23B1A7" w:rsidR="00996199" w:rsidRPr="00441179" w:rsidRDefault="007C6944" w:rsidP="00D36147">
      <w:pPr>
        <w:spacing w:after="0" w:line="276" w:lineRule="auto"/>
        <w:jc w:val="both"/>
        <w:rPr>
          <w:rFonts w:cs="Times New Roman"/>
          <w:i/>
          <w:iCs/>
          <w:szCs w:val="24"/>
        </w:rPr>
      </w:pPr>
      <w:r w:rsidRPr="00441179">
        <w:rPr>
          <w:rFonts w:cs="Times New Roman"/>
          <w:i/>
          <w:iCs/>
          <w:szCs w:val="24"/>
        </w:rPr>
        <w:t>Nositelj provedbe:</w:t>
      </w:r>
      <w:r w:rsidR="001D53B8" w:rsidRPr="00441179">
        <w:rPr>
          <w:rFonts w:cs="Times New Roman"/>
          <w:i/>
          <w:iCs/>
          <w:szCs w:val="24"/>
        </w:rPr>
        <w:t xml:space="preserve"> Ministarstvo unutarnjih poslova</w:t>
      </w:r>
    </w:p>
    <w:p w14:paraId="038107B6" w14:textId="339BEE2A" w:rsidR="002E36EB" w:rsidRPr="00441179" w:rsidRDefault="002E36EB" w:rsidP="00D36147">
      <w:pPr>
        <w:spacing w:after="0" w:line="276" w:lineRule="auto"/>
        <w:jc w:val="both"/>
        <w:rPr>
          <w:rFonts w:cs="Times New Roman"/>
          <w:i/>
          <w:iCs/>
          <w:szCs w:val="24"/>
        </w:rPr>
      </w:pPr>
    </w:p>
    <w:p w14:paraId="0EBFE5DF" w14:textId="69FE363F" w:rsidR="007E6B68" w:rsidRPr="00FC64BF" w:rsidRDefault="007E6B68" w:rsidP="007E6B68">
      <w:pPr>
        <w:jc w:val="both"/>
        <w:rPr>
          <w:rFonts w:cs="Times New Roman"/>
          <w:szCs w:val="24"/>
        </w:rPr>
      </w:pPr>
      <w:r w:rsidRPr="00FC64BF">
        <w:rPr>
          <w:rFonts w:cs="Times New Roman"/>
          <w:szCs w:val="24"/>
        </w:rPr>
        <w:t>Jačanje i promicanje sigurnosti u zajednici u okviru prevencije protupravnih i drugih društveno neprihvatljivih ponašanja povezanih s pripadnicima romske nacionalne manjine provođenjem Provedbenog programa preventivnih mjera usmjerenih na povećanje sigurnosti te jačanje socijalne uključenosti Roma na području Policijske uprave međimurske 2023.-2025., a aktivnosti se provode</w:t>
      </w:r>
      <w:r w:rsidR="00441179">
        <w:rPr>
          <w:rFonts w:cs="Times New Roman"/>
          <w:szCs w:val="24"/>
        </w:rPr>
        <w:t xml:space="preserve"> </w:t>
      </w:r>
      <w:r w:rsidRPr="00FC64BF">
        <w:rPr>
          <w:rFonts w:cs="Times New Roman"/>
          <w:szCs w:val="24"/>
        </w:rPr>
        <w:t>i u vidu informativnih punktova Mobilnim preventivnim centrom policije i na druge načine, kontrolnih punktova (pojačana nazočnost policijskih službenika na terenu-formalni nadzor), predavanja, radionice, javne akcije, okrugli stolovi i dr.).</w:t>
      </w:r>
    </w:p>
    <w:p w14:paraId="5B6F5BC9" w14:textId="59DDA28E" w:rsidR="007E6B68" w:rsidRPr="00FC64BF" w:rsidRDefault="007E6B68" w:rsidP="007E6B68">
      <w:pPr>
        <w:jc w:val="both"/>
        <w:rPr>
          <w:rFonts w:cs="Times New Roman"/>
          <w:szCs w:val="24"/>
        </w:rPr>
      </w:pPr>
      <w:r w:rsidRPr="00FC64BF">
        <w:rPr>
          <w:rFonts w:cs="Times New Roman"/>
          <w:szCs w:val="24"/>
        </w:rPr>
        <w:t xml:space="preserve">Tijekom 2024. </w:t>
      </w:r>
      <w:r w:rsidR="00961E55">
        <w:rPr>
          <w:rFonts w:cs="Times New Roman"/>
          <w:szCs w:val="24"/>
        </w:rPr>
        <w:t xml:space="preserve">godine </w:t>
      </w:r>
      <w:r w:rsidRPr="00FC64BF">
        <w:rPr>
          <w:rFonts w:cs="Times New Roman"/>
          <w:szCs w:val="24"/>
        </w:rPr>
        <w:t xml:space="preserve">organizirano je 12 (planiranih 5) događanja uz 1118 sudionika (planirano 60) i 12 medijskih objava (planirano 5), izvor A 553131 Administracija i upravljanje te ukupni trošak nije moguće specificirati. </w:t>
      </w:r>
    </w:p>
    <w:p w14:paraId="3658B166" w14:textId="14EDF102" w:rsidR="007E6B68" w:rsidRPr="00FC64BF" w:rsidRDefault="007E6B68" w:rsidP="007E6B68">
      <w:pPr>
        <w:jc w:val="both"/>
        <w:rPr>
          <w:rFonts w:cs="Times New Roman"/>
          <w:szCs w:val="24"/>
        </w:rPr>
      </w:pPr>
      <w:r w:rsidRPr="00FC64BF">
        <w:rPr>
          <w:rFonts w:cs="Times New Roman"/>
          <w:szCs w:val="24"/>
        </w:rPr>
        <w:t xml:space="preserve">Nacionalni preventivni </w:t>
      </w:r>
      <w:r w:rsidRPr="00441179">
        <w:rPr>
          <w:rFonts w:cs="Times New Roman"/>
          <w:szCs w:val="24"/>
        </w:rPr>
        <w:t>projekt „Imam izbor“</w:t>
      </w:r>
      <w:r w:rsidRPr="00FC64BF">
        <w:rPr>
          <w:rFonts w:cs="Times New Roman"/>
          <w:szCs w:val="24"/>
        </w:rPr>
        <w:t xml:space="preserve"> provodio se tijekom školske godine 2024</w:t>
      </w:r>
      <w:r w:rsidR="00961E55">
        <w:rPr>
          <w:rFonts w:cs="Times New Roman"/>
          <w:szCs w:val="24"/>
        </w:rPr>
        <w:t>.</w:t>
      </w:r>
      <w:r w:rsidRPr="00FC64BF">
        <w:rPr>
          <w:rFonts w:cs="Times New Roman"/>
          <w:szCs w:val="24"/>
        </w:rPr>
        <w:t>/</w:t>
      </w:r>
      <w:r w:rsidR="00B76094">
        <w:rPr>
          <w:rFonts w:cs="Times New Roman"/>
          <w:szCs w:val="24"/>
        </w:rPr>
        <w:t>20</w:t>
      </w:r>
      <w:r w:rsidRPr="00FC64BF">
        <w:rPr>
          <w:rFonts w:cs="Times New Roman"/>
          <w:szCs w:val="24"/>
        </w:rPr>
        <w:t>25</w:t>
      </w:r>
      <w:r w:rsidR="00325CD1">
        <w:rPr>
          <w:rFonts w:cs="Times New Roman"/>
          <w:szCs w:val="24"/>
        </w:rPr>
        <w:t xml:space="preserve">. </w:t>
      </w:r>
      <w:r w:rsidRPr="00FC64BF">
        <w:rPr>
          <w:rFonts w:cs="Times New Roman"/>
          <w:szCs w:val="24"/>
        </w:rPr>
        <w:t>u odgojno-obrazovnim ustanovama na području više županija uz posebni naglasak na Međimursku županiju. Kroz ovaj Projekt policija je uspostavila kvalitetnu suradnju s romskim udrugama, organizacijama civilnog društva i odgojno obrazovnim ustanovama s ciljem provedbe zajedničkih aktivnosti. Projekt je tematski usmjeren na osnaživanje socijalne uključenosti manjinskih društvenih skupina u društvenu zajednicu, s naglaskom na dijalog i poštivanje kulturoloških sličnosti i različitosti kroz kulturu tolerancije, nenasilja i nediskriminacije i sprječavanja svih oblika mržnje. Ciljana skupina u projektu su djeca romske nacionalnosti u dobi od 10 i 11 godina.</w:t>
      </w:r>
      <w:r w:rsidR="00441179">
        <w:rPr>
          <w:rFonts w:cs="Times New Roman"/>
          <w:szCs w:val="24"/>
        </w:rPr>
        <w:t xml:space="preserve"> </w:t>
      </w:r>
      <w:r w:rsidRPr="00FC64BF">
        <w:rPr>
          <w:rFonts w:cs="Times New Roman"/>
          <w:szCs w:val="24"/>
        </w:rPr>
        <w:t>Tijekom 2024.</w:t>
      </w:r>
      <w:r w:rsidR="00961E55">
        <w:rPr>
          <w:rFonts w:cs="Times New Roman"/>
          <w:szCs w:val="24"/>
        </w:rPr>
        <w:t xml:space="preserve"> godine</w:t>
      </w:r>
      <w:r w:rsidRPr="00FC64BF">
        <w:rPr>
          <w:rFonts w:cs="Times New Roman"/>
          <w:szCs w:val="24"/>
        </w:rPr>
        <w:t xml:space="preserve"> organizirano je 49 (planiranih </w:t>
      </w:r>
      <w:r w:rsidRPr="00FC64BF">
        <w:rPr>
          <w:rFonts w:cs="Times New Roman"/>
          <w:szCs w:val="24"/>
        </w:rPr>
        <w:lastRenderedPageBreak/>
        <w:t>10) događanja uz 2</w:t>
      </w:r>
      <w:r w:rsidR="00961E55">
        <w:rPr>
          <w:rFonts w:cs="Times New Roman"/>
          <w:szCs w:val="24"/>
        </w:rPr>
        <w:t xml:space="preserve"> </w:t>
      </w:r>
      <w:r w:rsidRPr="00FC64BF">
        <w:rPr>
          <w:rFonts w:cs="Times New Roman"/>
          <w:szCs w:val="24"/>
        </w:rPr>
        <w:t>615 sudionika (planirano 100), izvor A 553131 Administracija i upravljanje te ukupni trošak nije moguće specificirati.</w:t>
      </w:r>
    </w:p>
    <w:p w14:paraId="52A0805B" w14:textId="1B23D576" w:rsidR="007E6B68" w:rsidRPr="00FC64BF" w:rsidRDefault="007E6B68" w:rsidP="007E6B68">
      <w:pPr>
        <w:jc w:val="both"/>
        <w:rPr>
          <w:rFonts w:cs="Times New Roman"/>
          <w:szCs w:val="24"/>
        </w:rPr>
      </w:pPr>
    </w:p>
    <w:p w14:paraId="151575D2" w14:textId="5CCB7503" w:rsidR="00CC5943" w:rsidRDefault="00CC5943" w:rsidP="007E6B68">
      <w:pPr>
        <w:jc w:val="both"/>
        <w:rPr>
          <w:rFonts w:cs="Times New Roman"/>
          <w:szCs w:val="24"/>
        </w:rPr>
      </w:pPr>
      <w:r w:rsidRPr="00FC64BF">
        <w:rPr>
          <w:rFonts w:cs="Times New Roman"/>
          <w:szCs w:val="24"/>
        </w:rPr>
        <w:t xml:space="preserve">Sukladno planu preventivnih mjera za potresom pogođeno područje Sisačko-moslavačke županije, tijekom 2024. </w:t>
      </w:r>
      <w:r w:rsidR="00961E55">
        <w:rPr>
          <w:rFonts w:cs="Times New Roman"/>
          <w:szCs w:val="24"/>
        </w:rPr>
        <w:t xml:space="preserve">godine </w:t>
      </w:r>
      <w:r w:rsidRPr="00FC64BF">
        <w:rPr>
          <w:rFonts w:cs="Times New Roman"/>
          <w:szCs w:val="24"/>
        </w:rPr>
        <w:t xml:space="preserve">Ministarstvo unutarnjih poslova je, u suradnji s drugim relevantnim dionicima, provelo niz </w:t>
      </w:r>
      <w:r w:rsidRPr="00FC64BF">
        <w:rPr>
          <w:rFonts w:cs="Times New Roman"/>
          <w:bCs/>
          <w:szCs w:val="24"/>
        </w:rPr>
        <w:t xml:space="preserve">preventivno-intervencijskih mjera odnosno veliki broj različitih programa prevencije </w:t>
      </w:r>
      <w:r w:rsidRPr="00FC64BF">
        <w:rPr>
          <w:rFonts w:cs="Times New Roman"/>
          <w:bCs/>
          <w:iCs/>
          <w:szCs w:val="24"/>
        </w:rPr>
        <w:t>s ciljem senzibilizacije i edukacije potencijalnih ranjivih skupina te senzibilizacije građana o važnosti reakcije na sve oblike nasilja.</w:t>
      </w:r>
      <w:r w:rsidR="00441179">
        <w:rPr>
          <w:rFonts w:cs="Times New Roman"/>
          <w:bCs/>
          <w:iCs/>
          <w:szCs w:val="24"/>
        </w:rPr>
        <w:t xml:space="preserve"> </w:t>
      </w:r>
      <w:r w:rsidRPr="00FC64BF">
        <w:rPr>
          <w:rFonts w:cs="Times New Roman"/>
          <w:szCs w:val="24"/>
        </w:rPr>
        <w:t xml:space="preserve">Tijekom 2024. </w:t>
      </w:r>
      <w:r w:rsidR="00961E55">
        <w:rPr>
          <w:rFonts w:cs="Times New Roman"/>
          <w:szCs w:val="24"/>
        </w:rPr>
        <w:t xml:space="preserve">godine </w:t>
      </w:r>
      <w:r w:rsidRPr="00FC64BF">
        <w:rPr>
          <w:rFonts w:cs="Times New Roman"/>
          <w:szCs w:val="24"/>
        </w:rPr>
        <w:t>organizirano je 212 (planiranih 10) događanja uz 7</w:t>
      </w:r>
      <w:r w:rsidR="00734C8B">
        <w:rPr>
          <w:rFonts w:cs="Times New Roman"/>
          <w:szCs w:val="24"/>
        </w:rPr>
        <w:t xml:space="preserve"> </w:t>
      </w:r>
      <w:r w:rsidRPr="00FC64BF">
        <w:rPr>
          <w:rFonts w:cs="Times New Roman"/>
          <w:szCs w:val="24"/>
        </w:rPr>
        <w:t xml:space="preserve">985 sudionika (planirano 200) i 12 medijskih objava (planirano 10), izvor A 553131 Administracija i upravljanje te ukupni trošak nije moguće specificirati. </w:t>
      </w:r>
    </w:p>
    <w:p w14:paraId="11A5E571" w14:textId="77777777" w:rsidR="00441179" w:rsidRPr="00FC64BF" w:rsidRDefault="00441179" w:rsidP="007E6B68">
      <w:pPr>
        <w:jc w:val="both"/>
        <w:rPr>
          <w:rFonts w:cs="Times New Roman"/>
          <w:szCs w:val="24"/>
        </w:rPr>
      </w:pPr>
    </w:p>
    <w:p w14:paraId="62492CB8" w14:textId="72A37019" w:rsidR="00F21B16" w:rsidRPr="00F21B16" w:rsidRDefault="00F21B16" w:rsidP="00F21B16">
      <w:pPr>
        <w:jc w:val="both"/>
        <w:rPr>
          <w:rFonts w:cs="Times New Roman"/>
          <w:iCs/>
          <w:szCs w:val="24"/>
        </w:rPr>
      </w:pPr>
      <w:r>
        <w:rPr>
          <w:rFonts w:cs="Times New Roman"/>
          <w:iCs/>
          <w:szCs w:val="24"/>
        </w:rPr>
        <w:t>P</w:t>
      </w:r>
      <w:r w:rsidRPr="00F21B16">
        <w:rPr>
          <w:rFonts w:cs="Times New Roman"/>
          <w:iCs/>
          <w:szCs w:val="24"/>
        </w:rPr>
        <w:t xml:space="preserve">ovodom obilježavanja Svjetskog dana Roma, </w:t>
      </w:r>
      <w:r>
        <w:rPr>
          <w:rFonts w:cs="Times New Roman"/>
          <w:iCs/>
          <w:szCs w:val="24"/>
        </w:rPr>
        <w:t>1</w:t>
      </w:r>
      <w:r w:rsidRPr="00F21B16">
        <w:rPr>
          <w:rFonts w:cs="Times New Roman"/>
          <w:iCs/>
          <w:szCs w:val="24"/>
        </w:rPr>
        <w:t>8. travnja 2024. na Policijskoj akademiji „Prvi hrvatski redarstvenik“ održan je Okrugli stol „Rad policije u manjinskim zajednicama - naglasak na romske zajednice“</w:t>
      </w:r>
      <w:r>
        <w:rPr>
          <w:rFonts w:cs="Times New Roman"/>
          <w:iCs/>
          <w:szCs w:val="24"/>
        </w:rPr>
        <w:t xml:space="preserve">. </w:t>
      </w:r>
      <w:r w:rsidRPr="00F21B16">
        <w:rPr>
          <w:rFonts w:cs="Times New Roman"/>
          <w:iCs/>
          <w:szCs w:val="24"/>
        </w:rPr>
        <w:t>Cilj okruglog stola bio je, kroz otvorenu raspravu različitih dionika i prezentaciju primjera dobre prakse u Hrvatskoj i Sloveniji, doprinijeti ostvarivanju vizije Nacionalnog plana, doprinijeti boljem razumijevanju uloge različitih institucija važnih za manjinske i romske zajednice, ali i unaprijeđenu postupanja i pristupa policije u radu u manjinskim, multietničkim i multikulturnim zajednicama.</w:t>
      </w:r>
      <w:r>
        <w:rPr>
          <w:rFonts w:cs="Times New Roman"/>
          <w:iCs/>
          <w:szCs w:val="24"/>
        </w:rPr>
        <w:t xml:space="preserve"> </w:t>
      </w:r>
      <w:r w:rsidRPr="00F21B16">
        <w:rPr>
          <w:rFonts w:cs="Times New Roman"/>
          <w:iCs/>
          <w:szCs w:val="24"/>
        </w:rPr>
        <w:t>Okrugli stol okupio je široki krug dionika te su u njemu aktivno sudjelovali predstavnici akademske zajednice, Ureda</w:t>
      </w:r>
      <w:r w:rsidR="006E539A">
        <w:rPr>
          <w:rFonts w:cs="Times New Roman"/>
          <w:iCs/>
          <w:szCs w:val="24"/>
        </w:rPr>
        <w:t xml:space="preserve"> za ljudska prava i prava nacionalnih manjina</w:t>
      </w:r>
      <w:r w:rsidRPr="00F21B16">
        <w:rPr>
          <w:rFonts w:cs="Times New Roman"/>
          <w:iCs/>
          <w:szCs w:val="24"/>
        </w:rPr>
        <w:t>, nevladinih romskih udruga i cent</w:t>
      </w:r>
      <w:r>
        <w:rPr>
          <w:rFonts w:cs="Times New Roman"/>
          <w:iCs/>
          <w:szCs w:val="24"/>
        </w:rPr>
        <w:t>a</w:t>
      </w:r>
      <w:r w:rsidRPr="00F21B16">
        <w:rPr>
          <w:rFonts w:cs="Times New Roman"/>
          <w:iCs/>
          <w:szCs w:val="24"/>
        </w:rPr>
        <w:t>ra za pružanje usluga u zajednici</w:t>
      </w:r>
      <w:r>
        <w:rPr>
          <w:rFonts w:cs="Times New Roman"/>
          <w:iCs/>
          <w:szCs w:val="24"/>
        </w:rPr>
        <w:t xml:space="preserve">, ukupno </w:t>
      </w:r>
      <w:r w:rsidRPr="00F21B16">
        <w:rPr>
          <w:rFonts w:cs="Times New Roman"/>
          <w:iCs/>
          <w:szCs w:val="24"/>
        </w:rPr>
        <w:t>60-tak sudionika</w:t>
      </w:r>
      <w:r>
        <w:rPr>
          <w:rFonts w:cs="Times New Roman"/>
          <w:iCs/>
          <w:szCs w:val="24"/>
        </w:rPr>
        <w:t>.</w:t>
      </w:r>
    </w:p>
    <w:p w14:paraId="60E7ABEB" w14:textId="77777777" w:rsidR="002135D1" w:rsidRPr="00FC64BF" w:rsidRDefault="002135D1"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p>
    <w:tbl>
      <w:tblPr>
        <w:tblStyle w:val="TableGrid"/>
        <w:tblW w:w="0" w:type="auto"/>
        <w:tblLook w:val="04A0" w:firstRow="1" w:lastRow="0" w:firstColumn="1" w:lastColumn="0" w:noHBand="0" w:noVBand="1"/>
      </w:tblPr>
      <w:tblGrid>
        <w:gridCol w:w="2896"/>
        <w:gridCol w:w="2130"/>
        <w:gridCol w:w="2079"/>
        <w:gridCol w:w="1957"/>
      </w:tblGrid>
      <w:tr w:rsidR="00CE622A" w:rsidRPr="00F21B16" w14:paraId="0F9EF020" w14:textId="77777777" w:rsidTr="00CA40F2">
        <w:tc>
          <w:tcPr>
            <w:tcW w:w="3114" w:type="dxa"/>
            <w:shd w:val="clear" w:color="auto" w:fill="F2F2F2" w:themeFill="background1" w:themeFillShade="F2"/>
            <w:vAlign w:val="center"/>
          </w:tcPr>
          <w:p w14:paraId="6AD15268" w14:textId="52706951" w:rsidR="008A3CDB" w:rsidRPr="00FC64BF" w:rsidRDefault="00B510B5" w:rsidP="00D36147">
            <w:pPr>
              <w:spacing w:line="276" w:lineRule="auto"/>
              <w:rPr>
                <w:rFonts w:cs="Times New Roman"/>
                <w:b/>
                <w:sz w:val="20"/>
                <w:szCs w:val="18"/>
              </w:rPr>
            </w:pPr>
            <w:bookmarkStart w:id="18" w:name="_Hlk164150576"/>
            <w:r w:rsidRPr="00FC64BF">
              <w:rPr>
                <w:rFonts w:cs="Times New Roman"/>
                <w:b/>
                <w:sz w:val="20"/>
                <w:szCs w:val="18"/>
              </w:rPr>
              <w:t>Pokazatelji provedbe i pokazatelji uspješnosti provedbe</w:t>
            </w:r>
          </w:p>
        </w:tc>
        <w:tc>
          <w:tcPr>
            <w:tcW w:w="2268" w:type="dxa"/>
            <w:shd w:val="clear" w:color="auto" w:fill="F2F2F2" w:themeFill="background1" w:themeFillShade="F2"/>
            <w:vAlign w:val="center"/>
          </w:tcPr>
          <w:p w14:paraId="7B535D23" w14:textId="32E60787" w:rsidR="008A3CDB" w:rsidRPr="00FC64BF" w:rsidRDefault="0087777A" w:rsidP="00D36147">
            <w:pPr>
              <w:spacing w:line="276" w:lineRule="auto"/>
              <w:jc w:val="center"/>
              <w:rPr>
                <w:rFonts w:cs="Times New Roman"/>
                <w:b/>
                <w:sz w:val="20"/>
                <w:szCs w:val="18"/>
              </w:rPr>
            </w:pPr>
            <w:r w:rsidRPr="00FC64BF">
              <w:rPr>
                <w:rFonts w:cs="Times New Roman"/>
                <w:b/>
                <w:sz w:val="20"/>
                <w:szCs w:val="18"/>
              </w:rPr>
              <w:t>Broj događanja</w:t>
            </w:r>
          </w:p>
        </w:tc>
        <w:tc>
          <w:tcPr>
            <w:tcW w:w="2235" w:type="dxa"/>
            <w:shd w:val="clear" w:color="auto" w:fill="F2F2F2" w:themeFill="background1" w:themeFillShade="F2"/>
            <w:vAlign w:val="center"/>
          </w:tcPr>
          <w:p w14:paraId="4828F423" w14:textId="47A8462D" w:rsidR="008A3CDB" w:rsidRPr="00FC64BF" w:rsidRDefault="0087777A" w:rsidP="00A75D55">
            <w:pPr>
              <w:spacing w:line="276" w:lineRule="auto"/>
              <w:jc w:val="center"/>
              <w:rPr>
                <w:rFonts w:cs="Times New Roman"/>
                <w:b/>
                <w:sz w:val="20"/>
                <w:szCs w:val="18"/>
              </w:rPr>
            </w:pPr>
            <w:r w:rsidRPr="00FC64BF">
              <w:rPr>
                <w:rFonts w:cs="Times New Roman"/>
                <w:b/>
                <w:sz w:val="20"/>
                <w:szCs w:val="18"/>
              </w:rPr>
              <w:t>Broj sudionika</w:t>
            </w:r>
            <w:r w:rsidR="00A75D55" w:rsidRPr="00FC64BF">
              <w:rPr>
                <w:rFonts w:cs="Times New Roman"/>
                <w:b/>
                <w:sz w:val="20"/>
                <w:szCs w:val="18"/>
              </w:rPr>
              <w:t xml:space="preserve"> </w:t>
            </w:r>
            <w:r w:rsidRPr="00FC64BF">
              <w:rPr>
                <w:rFonts w:cs="Times New Roman"/>
                <w:b/>
                <w:sz w:val="20"/>
                <w:szCs w:val="18"/>
              </w:rPr>
              <w:t>događanja</w:t>
            </w:r>
          </w:p>
        </w:tc>
        <w:tc>
          <w:tcPr>
            <w:tcW w:w="0" w:type="auto"/>
            <w:shd w:val="clear" w:color="auto" w:fill="F2F2F2" w:themeFill="background1" w:themeFillShade="F2"/>
            <w:vAlign w:val="center"/>
          </w:tcPr>
          <w:p w14:paraId="662AB642" w14:textId="6E3D3B33" w:rsidR="008A3CDB" w:rsidRPr="00FC64BF" w:rsidRDefault="0087777A" w:rsidP="00D36147">
            <w:pPr>
              <w:spacing w:line="276" w:lineRule="auto"/>
              <w:jc w:val="center"/>
              <w:rPr>
                <w:rFonts w:cs="Times New Roman"/>
                <w:b/>
                <w:sz w:val="20"/>
                <w:szCs w:val="18"/>
              </w:rPr>
            </w:pPr>
            <w:r w:rsidRPr="00FC64BF">
              <w:rPr>
                <w:rFonts w:cs="Times New Roman"/>
                <w:b/>
                <w:sz w:val="20"/>
                <w:szCs w:val="18"/>
              </w:rPr>
              <w:t>Broj medijskih objava</w:t>
            </w:r>
          </w:p>
        </w:tc>
      </w:tr>
      <w:tr w:rsidR="00CE622A" w:rsidRPr="00F21B16" w14:paraId="1A29C524" w14:textId="77777777" w:rsidTr="00A86FA4">
        <w:trPr>
          <w:trHeight w:val="860"/>
        </w:trPr>
        <w:tc>
          <w:tcPr>
            <w:tcW w:w="3114" w:type="dxa"/>
            <w:shd w:val="clear" w:color="auto" w:fill="F2F2F2" w:themeFill="background1" w:themeFillShade="F2"/>
            <w:vAlign w:val="center"/>
          </w:tcPr>
          <w:p w14:paraId="5F6EAF8C" w14:textId="03106EFD" w:rsidR="008A3CDB" w:rsidRPr="00FC64BF" w:rsidRDefault="008A3CDB" w:rsidP="006F69FB">
            <w:pPr>
              <w:spacing w:line="276" w:lineRule="auto"/>
              <w:rPr>
                <w:rFonts w:cs="Times New Roman"/>
                <w:sz w:val="20"/>
                <w:szCs w:val="18"/>
              </w:rPr>
            </w:pPr>
            <w:r w:rsidRPr="00FC64BF">
              <w:rPr>
                <w:rFonts w:cs="Times New Roman"/>
                <w:sz w:val="20"/>
                <w:szCs w:val="18"/>
              </w:rPr>
              <w:t>Planirani ishodi za pokazatelje provedbe u 202</w:t>
            </w:r>
            <w:r w:rsidR="00CC5943" w:rsidRPr="00FC64BF">
              <w:rPr>
                <w:rFonts w:cs="Times New Roman"/>
                <w:sz w:val="20"/>
                <w:szCs w:val="18"/>
              </w:rPr>
              <w:t>4</w:t>
            </w:r>
            <w:r w:rsidRPr="00FC64BF">
              <w:rPr>
                <w:rFonts w:cs="Times New Roman"/>
                <w:sz w:val="20"/>
                <w:szCs w:val="18"/>
              </w:rPr>
              <w:t xml:space="preserve">. </w:t>
            </w:r>
          </w:p>
        </w:tc>
        <w:tc>
          <w:tcPr>
            <w:tcW w:w="2268" w:type="dxa"/>
            <w:vAlign w:val="center"/>
          </w:tcPr>
          <w:p w14:paraId="34518958" w14:textId="092F595A" w:rsidR="008A3CDB" w:rsidRPr="00FC64BF" w:rsidRDefault="00F21B16">
            <w:pPr>
              <w:spacing w:line="276" w:lineRule="auto"/>
              <w:jc w:val="center"/>
              <w:rPr>
                <w:rFonts w:cs="Times New Roman"/>
                <w:sz w:val="20"/>
                <w:szCs w:val="18"/>
              </w:rPr>
            </w:pPr>
            <w:r w:rsidRPr="00FC64BF">
              <w:rPr>
                <w:rFonts w:cs="Times New Roman"/>
                <w:sz w:val="20"/>
                <w:szCs w:val="18"/>
              </w:rPr>
              <w:t>25</w:t>
            </w:r>
          </w:p>
        </w:tc>
        <w:tc>
          <w:tcPr>
            <w:tcW w:w="2235" w:type="dxa"/>
            <w:vAlign w:val="center"/>
          </w:tcPr>
          <w:p w14:paraId="370EB5A2" w14:textId="788386D1" w:rsidR="008A3CDB" w:rsidRPr="00FC64BF" w:rsidRDefault="00F21B16">
            <w:pPr>
              <w:spacing w:line="276" w:lineRule="auto"/>
              <w:jc w:val="center"/>
              <w:rPr>
                <w:rFonts w:cs="Times New Roman"/>
                <w:sz w:val="20"/>
                <w:szCs w:val="18"/>
              </w:rPr>
            </w:pPr>
            <w:r w:rsidRPr="00FC64BF">
              <w:rPr>
                <w:rFonts w:cs="Times New Roman"/>
                <w:sz w:val="20"/>
                <w:szCs w:val="18"/>
              </w:rPr>
              <w:t>309</w:t>
            </w:r>
          </w:p>
        </w:tc>
        <w:tc>
          <w:tcPr>
            <w:tcW w:w="0" w:type="auto"/>
            <w:vAlign w:val="center"/>
          </w:tcPr>
          <w:p w14:paraId="4A5AD853" w14:textId="26171A38" w:rsidR="008A3CDB" w:rsidRPr="00FC64BF" w:rsidRDefault="00F21B16" w:rsidP="00D36147">
            <w:pPr>
              <w:spacing w:line="276" w:lineRule="auto"/>
              <w:jc w:val="center"/>
              <w:rPr>
                <w:rFonts w:cs="Times New Roman"/>
                <w:sz w:val="20"/>
                <w:szCs w:val="18"/>
              </w:rPr>
            </w:pPr>
            <w:r w:rsidRPr="00FC64BF">
              <w:rPr>
                <w:rFonts w:cs="Times New Roman"/>
                <w:sz w:val="20"/>
                <w:szCs w:val="18"/>
              </w:rPr>
              <w:t>1</w:t>
            </w:r>
            <w:r w:rsidR="0087777A" w:rsidRPr="00FC64BF">
              <w:rPr>
                <w:rFonts w:cs="Times New Roman"/>
                <w:sz w:val="20"/>
                <w:szCs w:val="18"/>
              </w:rPr>
              <w:t>5</w:t>
            </w:r>
          </w:p>
        </w:tc>
      </w:tr>
      <w:tr w:rsidR="00F21B16" w:rsidRPr="00F21B16" w14:paraId="79EBCEF6" w14:textId="77777777" w:rsidTr="00CA40F2">
        <w:tc>
          <w:tcPr>
            <w:tcW w:w="3114" w:type="dxa"/>
            <w:shd w:val="clear" w:color="auto" w:fill="F2F2F2" w:themeFill="background1" w:themeFillShade="F2"/>
            <w:vAlign w:val="center"/>
          </w:tcPr>
          <w:p w14:paraId="4F7CB983" w14:textId="287E95C9" w:rsidR="008A3CDB" w:rsidRPr="00FC64BF" w:rsidRDefault="008A3CDB" w:rsidP="006F69FB">
            <w:pPr>
              <w:spacing w:line="276" w:lineRule="auto"/>
              <w:rPr>
                <w:rFonts w:cs="Times New Roman"/>
                <w:sz w:val="20"/>
                <w:szCs w:val="18"/>
              </w:rPr>
            </w:pPr>
            <w:r w:rsidRPr="00FC64BF">
              <w:rPr>
                <w:rFonts w:cs="Times New Roman"/>
                <w:sz w:val="20"/>
                <w:szCs w:val="18"/>
              </w:rPr>
              <w:t>Ostvareni ishodi za pokazatelje provedbe u 202</w:t>
            </w:r>
            <w:r w:rsidR="00CC5943" w:rsidRPr="00FC64BF">
              <w:rPr>
                <w:rFonts w:cs="Times New Roman"/>
                <w:sz w:val="20"/>
                <w:szCs w:val="18"/>
              </w:rPr>
              <w:t>4</w:t>
            </w:r>
            <w:r w:rsidRPr="00FC64BF">
              <w:rPr>
                <w:rFonts w:cs="Times New Roman"/>
                <w:sz w:val="20"/>
                <w:szCs w:val="18"/>
              </w:rPr>
              <w:t xml:space="preserve">. </w:t>
            </w:r>
          </w:p>
        </w:tc>
        <w:tc>
          <w:tcPr>
            <w:tcW w:w="2268" w:type="dxa"/>
            <w:vAlign w:val="center"/>
          </w:tcPr>
          <w:p w14:paraId="7EE5C2B5" w14:textId="404AB204" w:rsidR="008A3CDB" w:rsidRPr="00FC64BF" w:rsidRDefault="00F21B16">
            <w:pPr>
              <w:spacing w:line="276" w:lineRule="auto"/>
              <w:jc w:val="center"/>
              <w:rPr>
                <w:rFonts w:cs="Times New Roman"/>
                <w:sz w:val="20"/>
                <w:szCs w:val="18"/>
              </w:rPr>
            </w:pPr>
            <w:r w:rsidRPr="00FC64BF">
              <w:rPr>
                <w:rFonts w:cs="Times New Roman"/>
                <w:sz w:val="20"/>
                <w:szCs w:val="18"/>
              </w:rPr>
              <w:t>3</w:t>
            </w:r>
            <w:r w:rsidR="00B95C5E" w:rsidRPr="00FC64BF">
              <w:rPr>
                <w:rFonts w:cs="Times New Roman"/>
                <w:sz w:val="20"/>
                <w:szCs w:val="18"/>
              </w:rPr>
              <w:t>2</w:t>
            </w:r>
            <w:r w:rsidRPr="00FC64BF">
              <w:rPr>
                <w:rFonts w:cs="Times New Roman"/>
                <w:sz w:val="20"/>
                <w:szCs w:val="18"/>
              </w:rPr>
              <w:t>4</w:t>
            </w:r>
          </w:p>
        </w:tc>
        <w:tc>
          <w:tcPr>
            <w:tcW w:w="2235" w:type="dxa"/>
            <w:vAlign w:val="center"/>
          </w:tcPr>
          <w:p w14:paraId="4F6B9E14" w14:textId="0C9C19ED" w:rsidR="008A3CDB" w:rsidRPr="00FC64BF" w:rsidRDefault="00F21B16">
            <w:pPr>
              <w:spacing w:line="276" w:lineRule="auto"/>
              <w:jc w:val="center"/>
              <w:rPr>
                <w:rFonts w:cs="Times New Roman"/>
                <w:sz w:val="20"/>
                <w:szCs w:val="18"/>
              </w:rPr>
            </w:pPr>
            <w:r w:rsidRPr="00FC64BF">
              <w:rPr>
                <w:rFonts w:cs="Times New Roman"/>
                <w:sz w:val="20"/>
                <w:szCs w:val="18"/>
              </w:rPr>
              <w:t>11778</w:t>
            </w:r>
          </w:p>
        </w:tc>
        <w:tc>
          <w:tcPr>
            <w:tcW w:w="0" w:type="auto"/>
            <w:vAlign w:val="center"/>
          </w:tcPr>
          <w:p w14:paraId="6E9C36B6" w14:textId="5B9B3DBC" w:rsidR="008A3CDB" w:rsidRPr="00FC64BF" w:rsidRDefault="00B95C5E">
            <w:pPr>
              <w:spacing w:line="276" w:lineRule="auto"/>
              <w:jc w:val="center"/>
              <w:rPr>
                <w:rFonts w:cs="Times New Roman"/>
                <w:sz w:val="20"/>
                <w:szCs w:val="18"/>
              </w:rPr>
            </w:pPr>
            <w:r w:rsidRPr="00FC64BF">
              <w:rPr>
                <w:rFonts w:cs="Times New Roman"/>
                <w:sz w:val="20"/>
                <w:szCs w:val="18"/>
              </w:rPr>
              <w:t>2</w:t>
            </w:r>
            <w:r w:rsidR="00F21B16" w:rsidRPr="00FC64BF">
              <w:rPr>
                <w:rFonts w:cs="Times New Roman"/>
                <w:sz w:val="20"/>
                <w:szCs w:val="18"/>
              </w:rPr>
              <w:t>4</w:t>
            </w:r>
          </w:p>
        </w:tc>
      </w:tr>
      <w:tr w:rsidR="00CE622A" w:rsidRPr="00F21B16" w14:paraId="70DC0F85" w14:textId="77777777" w:rsidTr="00CA40F2">
        <w:tc>
          <w:tcPr>
            <w:tcW w:w="3114" w:type="dxa"/>
            <w:shd w:val="clear" w:color="auto" w:fill="F2F2F2" w:themeFill="background1" w:themeFillShade="F2"/>
            <w:vAlign w:val="center"/>
          </w:tcPr>
          <w:p w14:paraId="666FB477" w14:textId="77777777" w:rsidR="008A3CDB" w:rsidRPr="00FC64BF" w:rsidRDefault="008A3CDB" w:rsidP="004A3B23">
            <w:pPr>
              <w:spacing w:line="276" w:lineRule="auto"/>
              <w:rPr>
                <w:rFonts w:cs="Times New Roman"/>
                <w:b/>
                <w:sz w:val="20"/>
                <w:szCs w:val="18"/>
              </w:rPr>
            </w:pPr>
            <w:r w:rsidRPr="00FC64BF">
              <w:rPr>
                <w:rFonts w:cs="Times New Roman"/>
                <w:b/>
                <w:sz w:val="20"/>
                <w:szCs w:val="18"/>
              </w:rPr>
              <w:t xml:space="preserve">IZVORI FINANCIRANJA </w:t>
            </w:r>
          </w:p>
        </w:tc>
        <w:tc>
          <w:tcPr>
            <w:tcW w:w="2268" w:type="dxa"/>
            <w:vAlign w:val="center"/>
          </w:tcPr>
          <w:p w14:paraId="666B383B" w14:textId="77777777" w:rsidR="008A3CDB" w:rsidRPr="00FC64BF" w:rsidRDefault="008A3CDB" w:rsidP="00AB12E9">
            <w:pPr>
              <w:spacing w:line="276" w:lineRule="auto"/>
              <w:jc w:val="center"/>
              <w:rPr>
                <w:rFonts w:cs="Times New Roman"/>
                <w:b/>
                <w:sz w:val="20"/>
                <w:szCs w:val="18"/>
              </w:rPr>
            </w:pPr>
            <w:r w:rsidRPr="00FC64BF">
              <w:rPr>
                <w:rFonts w:cs="Times New Roman"/>
                <w:b/>
                <w:sz w:val="20"/>
                <w:szCs w:val="18"/>
              </w:rPr>
              <w:t>Državni proračun (EUR)</w:t>
            </w:r>
          </w:p>
        </w:tc>
        <w:tc>
          <w:tcPr>
            <w:tcW w:w="2235" w:type="dxa"/>
            <w:vAlign w:val="center"/>
          </w:tcPr>
          <w:p w14:paraId="3A592B11" w14:textId="77777777" w:rsidR="008A3CDB" w:rsidRPr="00FC64BF" w:rsidRDefault="008A3CDB" w:rsidP="00D36147">
            <w:pPr>
              <w:spacing w:line="276" w:lineRule="auto"/>
              <w:jc w:val="center"/>
              <w:rPr>
                <w:rFonts w:cs="Times New Roman"/>
                <w:b/>
                <w:sz w:val="20"/>
                <w:szCs w:val="18"/>
              </w:rPr>
            </w:pPr>
            <w:r w:rsidRPr="00FC64BF">
              <w:rPr>
                <w:rFonts w:cs="Times New Roman"/>
                <w:b/>
                <w:sz w:val="20"/>
                <w:szCs w:val="18"/>
              </w:rPr>
              <w:t>EU financiranje (EUR)</w:t>
            </w:r>
          </w:p>
        </w:tc>
        <w:tc>
          <w:tcPr>
            <w:tcW w:w="0" w:type="auto"/>
            <w:vAlign w:val="center"/>
          </w:tcPr>
          <w:p w14:paraId="09D5F9C7" w14:textId="77777777" w:rsidR="008A3CDB" w:rsidRPr="00FC64BF" w:rsidRDefault="008A3CDB"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F21B16" w14:paraId="6E3AE92B" w14:textId="77777777" w:rsidTr="00CA40F2">
        <w:tc>
          <w:tcPr>
            <w:tcW w:w="3114" w:type="dxa"/>
            <w:shd w:val="clear" w:color="auto" w:fill="F2F2F2" w:themeFill="background1" w:themeFillShade="F2"/>
            <w:vAlign w:val="center"/>
          </w:tcPr>
          <w:p w14:paraId="454C656A" w14:textId="1B450A81" w:rsidR="008A3CDB" w:rsidRPr="00FC64BF" w:rsidRDefault="008A3CDB" w:rsidP="006F69FB">
            <w:pPr>
              <w:spacing w:line="276" w:lineRule="auto"/>
              <w:rPr>
                <w:rFonts w:cs="Times New Roman"/>
                <w:sz w:val="20"/>
                <w:szCs w:val="18"/>
              </w:rPr>
            </w:pPr>
            <w:r w:rsidRPr="00FC64BF">
              <w:rPr>
                <w:rFonts w:cs="Times New Roman"/>
                <w:sz w:val="20"/>
                <w:szCs w:val="18"/>
              </w:rPr>
              <w:t>Izvori financiranja u 202</w:t>
            </w:r>
            <w:r w:rsidR="00CC5943" w:rsidRPr="00FC64BF">
              <w:rPr>
                <w:rFonts w:cs="Times New Roman"/>
                <w:sz w:val="20"/>
                <w:szCs w:val="18"/>
              </w:rPr>
              <w:t>4</w:t>
            </w:r>
            <w:r w:rsidRPr="00FC64BF">
              <w:rPr>
                <w:rFonts w:cs="Times New Roman"/>
                <w:sz w:val="20"/>
                <w:szCs w:val="18"/>
              </w:rPr>
              <w:t>. (proračunska pozicija i predviđeni iznos sredstava)</w:t>
            </w:r>
          </w:p>
        </w:tc>
        <w:tc>
          <w:tcPr>
            <w:tcW w:w="2268" w:type="dxa"/>
            <w:vAlign w:val="center"/>
          </w:tcPr>
          <w:p w14:paraId="1340BFA3" w14:textId="07DB826E" w:rsidR="008A3CDB" w:rsidRPr="00FC64BF" w:rsidRDefault="00DA6D38" w:rsidP="00AB12E9">
            <w:pPr>
              <w:spacing w:line="276" w:lineRule="auto"/>
              <w:jc w:val="center"/>
              <w:rPr>
                <w:rFonts w:cs="Times New Roman"/>
                <w:sz w:val="20"/>
                <w:szCs w:val="18"/>
              </w:rPr>
            </w:pPr>
            <w:r w:rsidRPr="00FC64BF">
              <w:rPr>
                <w:rFonts w:eastAsia="Calibri" w:cs="Times New Roman"/>
                <w:sz w:val="20"/>
                <w:szCs w:val="18"/>
              </w:rPr>
              <w:t>A553131 –Administracija i upravljanje</w:t>
            </w:r>
          </w:p>
        </w:tc>
        <w:tc>
          <w:tcPr>
            <w:tcW w:w="2235" w:type="dxa"/>
            <w:vAlign w:val="center"/>
          </w:tcPr>
          <w:p w14:paraId="36047EAC" w14:textId="77777777" w:rsidR="008A3CDB" w:rsidRPr="00FC64BF" w:rsidRDefault="008A3CDB" w:rsidP="00D36147">
            <w:pPr>
              <w:spacing w:line="276" w:lineRule="auto"/>
              <w:jc w:val="center"/>
              <w:rPr>
                <w:rFonts w:cs="Times New Roman"/>
                <w:sz w:val="20"/>
                <w:szCs w:val="18"/>
              </w:rPr>
            </w:pPr>
            <w:r w:rsidRPr="00FC64BF">
              <w:rPr>
                <w:rFonts w:cs="Times New Roman"/>
                <w:sz w:val="20"/>
                <w:szCs w:val="18"/>
              </w:rPr>
              <w:t>0,00</w:t>
            </w:r>
          </w:p>
        </w:tc>
        <w:tc>
          <w:tcPr>
            <w:tcW w:w="0" w:type="auto"/>
            <w:vAlign w:val="center"/>
          </w:tcPr>
          <w:p w14:paraId="657C57A3" w14:textId="77777777" w:rsidR="008A3CDB" w:rsidRPr="00FC64BF" w:rsidRDefault="008A3CDB" w:rsidP="00D36147">
            <w:pPr>
              <w:spacing w:line="276" w:lineRule="auto"/>
              <w:jc w:val="center"/>
              <w:rPr>
                <w:rFonts w:cs="Times New Roman"/>
                <w:sz w:val="20"/>
                <w:szCs w:val="18"/>
              </w:rPr>
            </w:pPr>
            <w:r w:rsidRPr="00FC64BF">
              <w:rPr>
                <w:rFonts w:cs="Times New Roman"/>
                <w:sz w:val="20"/>
                <w:szCs w:val="18"/>
              </w:rPr>
              <w:t>0,00</w:t>
            </w:r>
          </w:p>
        </w:tc>
      </w:tr>
      <w:tr w:rsidR="00CE622A" w:rsidRPr="00F21B16" w14:paraId="3CA4A848" w14:textId="77777777" w:rsidTr="00CA40F2">
        <w:tc>
          <w:tcPr>
            <w:tcW w:w="3114" w:type="dxa"/>
            <w:vMerge w:val="restart"/>
            <w:shd w:val="clear" w:color="auto" w:fill="F2F2F2" w:themeFill="background1" w:themeFillShade="F2"/>
            <w:vAlign w:val="center"/>
          </w:tcPr>
          <w:p w14:paraId="65101878" w14:textId="412A3A73" w:rsidR="008A3CDB" w:rsidRPr="00FC64BF" w:rsidRDefault="00DF0F76" w:rsidP="004A3B23">
            <w:pPr>
              <w:spacing w:line="276" w:lineRule="auto"/>
              <w:rPr>
                <w:rFonts w:cs="Times New Roman"/>
                <w:b/>
                <w:bCs/>
                <w:sz w:val="20"/>
                <w:szCs w:val="18"/>
              </w:rPr>
            </w:pPr>
            <w:r w:rsidRPr="00FC64BF">
              <w:rPr>
                <w:rFonts w:cs="Times New Roman"/>
                <w:b/>
                <w:bCs/>
                <w:sz w:val="20"/>
                <w:szCs w:val="18"/>
              </w:rPr>
              <w:t>UKUPNO UTROŠ</w:t>
            </w:r>
            <w:r w:rsidR="008A3CDB" w:rsidRPr="00FC64BF">
              <w:rPr>
                <w:rFonts w:cs="Times New Roman"/>
                <w:b/>
                <w:bCs/>
                <w:sz w:val="20"/>
                <w:szCs w:val="18"/>
              </w:rPr>
              <w:t xml:space="preserve">ENA SREDSTVA PO IZVORU </w:t>
            </w:r>
          </w:p>
        </w:tc>
        <w:tc>
          <w:tcPr>
            <w:tcW w:w="2268" w:type="dxa"/>
            <w:vAlign w:val="center"/>
          </w:tcPr>
          <w:p w14:paraId="3587AB8E" w14:textId="77777777" w:rsidR="008A3CDB" w:rsidRPr="00FC64BF" w:rsidRDefault="008A3CDB" w:rsidP="00AB12E9">
            <w:pPr>
              <w:spacing w:line="276" w:lineRule="auto"/>
              <w:jc w:val="center"/>
              <w:rPr>
                <w:rFonts w:cs="Times New Roman"/>
                <w:b/>
                <w:sz w:val="20"/>
                <w:szCs w:val="18"/>
              </w:rPr>
            </w:pPr>
            <w:r w:rsidRPr="00FC64BF">
              <w:rPr>
                <w:rFonts w:cs="Times New Roman"/>
                <w:b/>
                <w:sz w:val="20"/>
                <w:szCs w:val="18"/>
              </w:rPr>
              <w:t>Državni proračun (EUR)</w:t>
            </w:r>
          </w:p>
        </w:tc>
        <w:tc>
          <w:tcPr>
            <w:tcW w:w="2235" w:type="dxa"/>
            <w:vAlign w:val="center"/>
          </w:tcPr>
          <w:p w14:paraId="30CD3902" w14:textId="77777777" w:rsidR="008A3CDB" w:rsidRPr="00FC64BF" w:rsidRDefault="008A3CDB" w:rsidP="00D36147">
            <w:pPr>
              <w:spacing w:line="276" w:lineRule="auto"/>
              <w:jc w:val="center"/>
              <w:rPr>
                <w:rFonts w:cs="Times New Roman"/>
                <w:b/>
                <w:sz w:val="20"/>
                <w:szCs w:val="18"/>
              </w:rPr>
            </w:pPr>
            <w:r w:rsidRPr="00FC64BF">
              <w:rPr>
                <w:rFonts w:cs="Times New Roman"/>
                <w:b/>
                <w:sz w:val="20"/>
                <w:szCs w:val="18"/>
              </w:rPr>
              <w:t>EU financiranje (EUR)</w:t>
            </w:r>
          </w:p>
        </w:tc>
        <w:tc>
          <w:tcPr>
            <w:tcW w:w="0" w:type="auto"/>
            <w:vAlign w:val="center"/>
          </w:tcPr>
          <w:p w14:paraId="4C10D413" w14:textId="77777777" w:rsidR="008A3CDB" w:rsidRPr="00FC64BF" w:rsidRDefault="008A3CDB"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F21B16" w14:paraId="561B19D4" w14:textId="77777777" w:rsidTr="00B95C5E">
        <w:trPr>
          <w:trHeight w:val="70"/>
        </w:trPr>
        <w:tc>
          <w:tcPr>
            <w:tcW w:w="3114" w:type="dxa"/>
            <w:vMerge/>
            <w:shd w:val="clear" w:color="auto" w:fill="F2F2F2" w:themeFill="background1" w:themeFillShade="F2"/>
            <w:vAlign w:val="center"/>
          </w:tcPr>
          <w:p w14:paraId="13D8A1A8" w14:textId="77777777" w:rsidR="008A3CDB" w:rsidRPr="00FC64BF" w:rsidRDefault="008A3CDB" w:rsidP="00D36147">
            <w:pPr>
              <w:spacing w:line="276" w:lineRule="auto"/>
              <w:rPr>
                <w:rFonts w:cs="Times New Roman"/>
                <w:b/>
                <w:sz w:val="20"/>
                <w:szCs w:val="18"/>
              </w:rPr>
            </w:pPr>
          </w:p>
        </w:tc>
        <w:tc>
          <w:tcPr>
            <w:tcW w:w="2268" w:type="dxa"/>
            <w:vAlign w:val="center"/>
          </w:tcPr>
          <w:p w14:paraId="0B983860" w14:textId="77777777" w:rsidR="00B95C5E" w:rsidRPr="00FC64BF" w:rsidRDefault="00B95C5E" w:rsidP="00D36147">
            <w:pPr>
              <w:spacing w:line="276" w:lineRule="auto"/>
              <w:jc w:val="center"/>
              <w:rPr>
                <w:rFonts w:cs="Times New Roman"/>
                <w:sz w:val="20"/>
                <w:szCs w:val="18"/>
              </w:rPr>
            </w:pPr>
            <w:r w:rsidRPr="00FC64BF">
              <w:rPr>
                <w:rFonts w:cs="Times New Roman"/>
                <w:sz w:val="20"/>
                <w:szCs w:val="18"/>
              </w:rPr>
              <w:t xml:space="preserve">A553131 –Administracija i upravljanje </w:t>
            </w:r>
          </w:p>
          <w:p w14:paraId="78BE7927" w14:textId="69B78461" w:rsidR="008A3CDB" w:rsidRPr="00FC64BF" w:rsidRDefault="008A3CDB" w:rsidP="00D36147">
            <w:pPr>
              <w:spacing w:line="276" w:lineRule="auto"/>
              <w:jc w:val="center"/>
              <w:rPr>
                <w:rFonts w:cs="Times New Roman"/>
                <w:b/>
                <w:sz w:val="20"/>
                <w:szCs w:val="18"/>
              </w:rPr>
            </w:pPr>
            <w:r w:rsidRPr="00FC64BF">
              <w:rPr>
                <w:rFonts w:cs="Times New Roman"/>
                <w:b/>
                <w:sz w:val="20"/>
                <w:szCs w:val="18"/>
              </w:rPr>
              <w:t>0,00</w:t>
            </w:r>
          </w:p>
        </w:tc>
        <w:tc>
          <w:tcPr>
            <w:tcW w:w="2235" w:type="dxa"/>
            <w:vAlign w:val="center"/>
          </w:tcPr>
          <w:p w14:paraId="3E3AC62D" w14:textId="77777777" w:rsidR="008A3CDB" w:rsidRPr="00FC64BF" w:rsidRDefault="008A3CDB" w:rsidP="00D36147">
            <w:pPr>
              <w:spacing w:line="276" w:lineRule="auto"/>
              <w:jc w:val="center"/>
              <w:rPr>
                <w:rFonts w:cs="Times New Roman"/>
                <w:b/>
                <w:sz w:val="20"/>
                <w:szCs w:val="18"/>
              </w:rPr>
            </w:pPr>
            <w:r w:rsidRPr="00FC64BF">
              <w:rPr>
                <w:rFonts w:cs="Times New Roman"/>
                <w:sz w:val="20"/>
                <w:szCs w:val="18"/>
              </w:rPr>
              <w:t>0,00</w:t>
            </w:r>
          </w:p>
        </w:tc>
        <w:tc>
          <w:tcPr>
            <w:tcW w:w="0" w:type="auto"/>
            <w:vAlign w:val="center"/>
          </w:tcPr>
          <w:p w14:paraId="6FD193AC" w14:textId="77777777" w:rsidR="008A3CDB" w:rsidRPr="00FC64BF" w:rsidRDefault="008A3CDB" w:rsidP="00D36147">
            <w:pPr>
              <w:spacing w:line="276" w:lineRule="auto"/>
              <w:jc w:val="center"/>
              <w:rPr>
                <w:rFonts w:cs="Times New Roman"/>
                <w:b/>
                <w:sz w:val="20"/>
                <w:szCs w:val="18"/>
              </w:rPr>
            </w:pPr>
            <w:r w:rsidRPr="00FC64BF">
              <w:rPr>
                <w:rFonts w:cs="Times New Roman"/>
                <w:sz w:val="20"/>
                <w:szCs w:val="18"/>
              </w:rPr>
              <w:t>0,00</w:t>
            </w:r>
          </w:p>
        </w:tc>
      </w:tr>
      <w:tr w:rsidR="00CE622A" w:rsidRPr="00F21B16" w14:paraId="1B046E17" w14:textId="77777777" w:rsidTr="00DF0F76">
        <w:trPr>
          <w:trHeight w:val="316"/>
        </w:trPr>
        <w:tc>
          <w:tcPr>
            <w:tcW w:w="3114" w:type="dxa"/>
            <w:shd w:val="clear" w:color="auto" w:fill="F2F2F2" w:themeFill="background1" w:themeFillShade="F2"/>
            <w:vAlign w:val="center"/>
          </w:tcPr>
          <w:p w14:paraId="68BACD07" w14:textId="0F67833E" w:rsidR="008A3CDB" w:rsidRPr="00FC64BF" w:rsidRDefault="008A3CDB" w:rsidP="004A3B23">
            <w:pPr>
              <w:spacing w:line="276" w:lineRule="auto"/>
              <w:rPr>
                <w:rFonts w:cs="Times New Roman"/>
                <w:sz w:val="20"/>
                <w:szCs w:val="18"/>
              </w:rPr>
            </w:pPr>
            <w:r w:rsidRPr="00FC64BF">
              <w:rPr>
                <w:rFonts w:cs="Times New Roman"/>
                <w:sz w:val="20"/>
                <w:szCs w:val="18"/>
              </w:rPr>
              <w:t>ROK PROVEDBE AKTIVNOSTI</w:t>
            </w:r>
          </w:p>
        </w:tc>
        <w:tc>
          <w:tcPr>
            <w:tcW w:w="5948" w:type="dxa"/>
            <w:gridSpan w:val="3"/>
            <w:vAlign w:val="center"/>
          </w:tcPr>
          <w:p w14:paraId="61587EC6" w14:textId="3C46F93F" w:rsidR="008A3CDB" w:rsidRPr="00FC64BF" w:rsidRDefault="00DA6D38" w:rsidP="00AB12E9">
            <w:pPr>
              <w:spacing w:line="276" w:lineRule="auto"/>
              <w:rPr>
                <w:rFonts w:cs="Times New Roman"/>
                <w:sz w:val="20"/>
                <w:szCs w:val="18"/>
              </w:rPr>
            </w:pPr>
            <w:r w:rsidRPr="00FC64BF">
              <w:rPr>
                <w:rFonts w:eastAsia="Calibri" w:cs="Times New Roman"/>
                <w:sz w:val="20"/>
                <w:szCs w:val="18"/>
              </w:rPr>
              <w:t>II. kvartal 2025.</w:t>
            </w:r>
          </w:p>
        </w:tc>
      </w:tr>
      <w:bookmarkEnd w:id="18"/>
    </w:tbl>
    <w:p w14:paraId="72F03ED9" w14:textId="70C67CEF" w:rsidR="00DF0F76" w:rsidRPr="00FC64BF" w:rsidRDefault="00DF0F76" w:rsidP="004A3B23">
      <w:pPr>
        <w:spacing w:after="0" w:line="276" w:lineRule="auto"/>
        <w:jc w:val="both"/>
        <w:rPr>
          <w:rFonts w:cs="Times New Roman"/>
          <w:i/>
          <w:iCs/>
          <w:szCs w:val="24"/>
        </w:rPr>
      </w:pPr>
    </w:p>
    <w:p w14:paraId="09B3E08D" w14:textId="77777777" w:rsidR="00F21B16" w:rsidRPr="00FC64BF" w:rsidRDefault="00F21B16" w:rsidP="004A3B23">
      <w:pPr>
        <w:spacing w:after="0" w:line="276" w:lineRule="auto"/>
        <w:jc w:val="both"/>
        <w:rPr>
          <w:rFonts w:cs="Times New Roman"/>
          <w:i/>
          <w:iCs/>
          <w:szCs w:val="24"/>
        </w:rPr>
      </w:pPr>
    </w:p>
    <w:p w14:paraId="66D1D584" w14:textId="66B2DA88" w:rsidR="00325789" w:rsidRPr="00FC64BF" w:rsidRDefault="00325789" w:rsidP="00D36147">
      <w:pPr>
        <w:spacing w:after="0" w:line="276" w:lineRule="auto"/>
        <w:jc w:val="both"/>
        <w:rPr>
          <w:rFonts w:cs="Times New Roman"/>
          <w:i/>
          <w:iCs/>
          <w:szCs w:val="24"/>
        </w:rPr>
      </w:pPr>
      <w:r w:rsidRPr="00FC64BF">
        <w:rPr>
          <w:rFonts w:cs="Times New Roman"/>
          <w:i/>
          <w:iCs/>
          <w:szCs w:val="24"/>
        </w:rPr>
        <w:lastRenderedPageBreak/>
        <w:t>Aktivnost 1.1.4. Jačanje i promicanje sigurnosti u zajednici</w:t>
      </w:r>
    </w:p>
    <w:p w14:paraId="2B9259EB" w14:textId="111F75CF" w:rsidR="00F224F2" w:rsidRPr="00FC64BF" w:rsidRDefault="00325789" w:rsidP="00D36147">
      <w:pPr>
        <w:spacing w:after="0" w:line="276" w:lineRule="auto"/>
        <w:jc w:val="both"/>
        <w:rPr>
          <w:rFonts w:eastAsia="Yu Gothic" w:cs="Times New Roman"/>
          <w:b/>
          <w:szCs w:val="20"/>
          <w:lang w:eastAsia="hr-HR"/>
        </w:rPr>
      </w:pPr>
      <w:r w:rsidRPr="00FC64BF">
        <w:rPr>
          <w:rFonts w:cs="Times New Roman"/>
          <w:i/>
          <w:iCs/>
          <w:szCs w:val="24"/>
        </w:rPr>
        <w:t xml:space="preserve">Nositelj provedbe: </w:t>
      </w:r>
      <w:bookmarkStart w:id="19" w:name="_Hlk170222554"/>
      <w:r w:rsidRPr="00FC64BF">
        <w:rPr>
          <w:rFonts w:cs="Times New Roman"/>
          <w:i/>
          <w:iCs/>
          <w:szCs w:val="24"/>
        </w:rPr>
        <w:t>Ministarstvo unutarnjih poslova</w:t>
      </w:r>
      <w:r w:rsidRPr="00FC64BF">
        <w:rPr>
          <w:rFonts w:eastAsia="Yu Gothic" w:cs="Times New Roman"/>
          <w:b/>
          <w:szCs w:val="20"/>
          <w:lang w:eastAsia="hr-HR"/>
        </w:rPr>
        <w:t xml:space="preserve"> </w:t>
      </w:r>
      <w:bookmarkEnd w:id="19"/>
    </w:p>
    <w:p w14:paraId="7EF72EE2" w14:textId="125CD4EC" w:rsidR="009D125B" w:rsidRPr="00FC64BF" w:rsidRDefault="009D125B" w:rsidP="00D36147">
      <w:pPr>
        <w:spacing w:after="0" w:line="276" w:lineRule="auto"/>
        <w:jc w:val="both"/>
        <w:rPr>
          <w:rFonts w:eastAsia="Yu Gothic" w:cs="Times New Roman"/>
          <w:i/>
          <w:szCs w:val="20"/>
          <w:lang w:eastAsia="hr-HR"/>
        </w:rPr>
      </w:pPr>
      <w:r w:rsidRPr="00FC64BF">
        <w:rPr>
          <w:rFonts w:eastAsia="Yu Gothic" w:cs="Times New Roman"/>
          <w:i/>
          <w:szCs w:val="20"/>
          <w:lang w:eastAsia="hr-HR"/>
        </w:rPr>
        <w:t xml:space="preserve">Partneri: </w:t>
      </w:r>
      <w:r w:rsidR="00026107">
        <w:rPr>
          <w:rFonts w:cs="Times New Roman"/>
        </w:rPr>
        <w:t>JLP(R)S</w:t>
      </w:r>
      <w:r w:rsidRPr="00FC64BF">
        <w:rPr>
          <w:rFonts w:eastAsia="Yu Gothic" w:cs="Times New Roman"/>
          <w:i/>
          <w:szCs w:val="20"/>
          <w:lang w:eastAsia="hr-HR"/>
        </w:rPr>
        <w:t>, organizacije civilnog društva</w:t>
      </w:r>
    </w:p>
    <w:p w14:paraId="2AD4736B" w14:textId="77777777" w:rsidR="00400976" w:rsidRPr="00FC64BF" w:rsidRDefault="00400976" w:rsidP="00D36147">
      <w:pPr>
        <w:spacing w:after="0" w:line="276" w:lineRule="auto"/>
        <w:jc w:val="both"/>
        <w:rPr>
          <w:rFonts w:eastAsia="Yu Gothic" w:cs="Times New Roman"/>
          <w:b/>
          <w:szCs w:val="20"/>
          <w:lang w:eastAsia="hr-HR"/>
        </w:rPr>
      </w:pPr>
    </w:p>
    <w:p w14:paraId="454B5AE2" w14:textId="65B895C1" w:rsidR="009D125B" w:rsidRPr="00441179" w:rsidRDefault="00400976" w:rsidP="00D36147">
      <w:pPr>
        <w:overflowPunct w:val="0"/>
        <w:autoSpaceDE w:val="0"/>
        <w:autoSpaceDN w:val="0"/>
        <w:adjustRightInd w:val="0"/>
        <w:spacing w:after="0" w:line="276" w:lineRule="auto"/>
        <w:jc w:val="both"/>
        <w:textAlignment w:val="baseline"/>
        <w:rPr>
          <w:rFonts w:eastAsia="Calibri" w:cs="Times New Roman"/>
          <w:szCs w:val="24"/>
        </w:rPr>
      </w:pPr>
      <w:r w:rsidRPr="00FC64BF">
        <w:rPr>
          <w:rFonts w:eastAsia="Calibri" w:cs="Times New Roman"/>
          <w:szCs w:val="24"/>
        </w:rPr>
        <w:t xml:space="preserve">Projekt </w:t>
      </w:r>
      <w:r w:rsidR="00961E55" w:rsidRPr="00961E55">
        <w:rPr>
          <w:rFonts w:eastAsia="Calibri" w:cs="Times New Roman"/>
          <w:szCs w:val="24"/>
        </w:rPr>
        <w:t>„</w:t>
      </w:r>
      <w:r w:rsidRPr="00FC64BF">
        <w:rPr>
          <w:rFonts w:eastAsia="Calibri" w:cs="Times New Roman"/>
          <w:szCs w:val="24"/>
        </w:rPr>
        <w:t>Lily</w:t>
      </w:r>
      <w:r w:rsidR="00961E55">
        <w:rPr>
          <w:rFonts w:eastAsia="Calibri" w:cs="Times New Roman"/>
          <w:szCs w:val="24"/>
        </w:rPr>
        <w:t>“</w:t>
      </w:r>
      <w:r w:rsidRPr="00FC64BF">
        <w:rPr>
          <w:rFonts w:eastAsia="Calibri" w:cs="Times New Roman"/>
          <w:szCs w:val="24"/>
        </w:rPr>
        <w:t xml:space="preserve"> ima multimodularni karakter te se kroz međusobno povezan niz aktivnosti kontinuirano provodi u svim županijama Republike Hrvatske od 2019. </w:t>
      </w:r>
      <w:r w:rsidR="00961E55">
        <w:rPr>
          <w:rFonts w:cs="Times New Roman"/>
          <w:szCs w:val="24"/>
        </w:rPr>
        <w:t xml:space="preserve">godine. </w:t>
      </w:r>
      <w:r w:rsidRPr="00FC64BF">
        <w:rPr>
          <w:rFonts w:eastAsia="Calibri" w:cs="Times New Roman"/>
          <w:szCs w:val="24"/>
        </w:rPr>
        <w:t>Cilj ovog</w:t>
      </w:r>
      <w:r w:rsidR="00961E55">
        <w:rPr>
          <w:rFonts w:eastAsia="Calibri" w:cs="Times New Roman"/>
          <w:szCs w:val="24"/>
        </w:rPr>
        <w:t>a</w:t>
      </w:r>
      <w:r w:rsidRPr="00FC64BF">
        <w:rPr>
          <w:rFonts w:eastAsia="Calibri" w:cs="Times New Roman"/>
          <w:szCs w:val="24"/>
        </w:rPr>
        <w:t xml:space="preserve"> projekta je umrežavanje svih nadležnih državnih tijela, organizacija civilnog društva, pravnih osoba i drugih društveno odgovornih subjekata, a kako bi koordinirano pronašli zajednički odgovor u sprječavanju svih oblika nasilja nad ženama. Dodatno kroz svoje komponente sadržava i aktivnosti namijenjene osobama muškog spola s ciljem njihove </w:t>
      </w:r>
      <w:r w:rsidRPr="00441179">
        <w:rPr>
          <w:rFonts w:eastAsia="Calibri" w:cs="Times New Roman"/>
          <w:szCs w:val="24"/>
        </w:rPr>
        <w:t>senzibilizacije na temu ravnopravnosti spolova kao isključivanja svih oblika nasilnog ponašanja.</w:t>
      </w:r>
    </w:p>
    <w:p w14:paraId="1C75A6D0" w14:textId="1EFDF7E8" w:rsidR="005E09F2" w:rsidRPr="00FC64BF" w:rsidRDefault="005E09F2" w:rsidP="00D36147">
      <w:pPr>
        <w:overflowPunct w:val="0"/>
        <w:autoSpaceDE w:val="0"/>
        <w:autoSpaceDN w:val="0"/>
        <w:adjustRightInd w:val="0"/>
        <w:spacing w:after="0" w:line="276" w:lineRule="auto"/>
        <w:jc w:val="both"/>
        <w:textAlignment w:val="baseline"/>
        <w:rPr>
          <w:rFonts w:eastAsia="Calibri" w:cs="Times New Roman"/>
          <w:szCs w:val="24"/>
        </w:rPr>
      </w:pPr>
      <w:r>
        <w:rPr>
          <w:rFonts w:eastAsia="Calibri" w:cs="Times New Roman"/>
          <w:szCs w:val="24"/>
        </w:rPr>
        <w:t>U</w:t>
      </w:r>
      <w:r w:rsidRPr="005E09F2">
        <w:rPr>
          <w:rFonts w:eastAsia="Calibri" w:cs="Times New Roman"/>
          <w:szCs w:val="24"/>
        </w:rPr>
        <w:t xml:space="preserve"> 2024. </w:t>
      </w:r>
      <w:r w:rsidR="00961E55">
        <w:rPr>
          <w:rFonts w:cs="Times New Roman"/>
          <w:szCs w:val="24"/>
        </w:rPr>
        <w:t xml:space="preserve">godini </w:t>
      </w:r>
      <w:r w:rsidRPr="005E09F2">
        <w:rPr>
          <w:rFonts w:eastAsia="Calibri" w:cs="Times New Roman"/>
          <w:szCs w:val="24"/>
        </w:rPr>
        <w:t>evidentirano je 60 prekršaja počinjenih na štetu Roma (ukupno oštećenih – 92, od toga 22 maloljetna Roma i 70 punoljetnih Roma); broj počinitelja prekršaja neroma iznosio je 75 (6 maloljetnih počinitelja i 69 punoljetnih počinitelja</w:t>
      </w:r>
      <w:r w:rsidR="00961E55">
        <w:rPr>
          <w:rFonts w:eastAsia="Calibri" w:cs="Times New Roman"/>
          <w:szCs w:val="24"/>
        </w:rPr>
        <w:t>)</w:t>
      </w:r>
      <w:r>
        <w:rPr>
          <w:rFonts w:eastAsia="Calibri" w:cs="Times New Roman"/>
          <w:szCs w:val="24"/>
        </w:rPr>
        <w:t>. U</w:t>
      </w:r>
      <w:r w:rsidRPr="005E09F2">
        <w:rPr>
          <w:rFonts w:eastAsia="Calibri" w:cs="Times New Roman"/>
          <w:szCs w:val="24"/>
        </w:rPr>
        <w:t xml:space="preserve"> 2024. godini evidentirano je ukupno 369 prekršaja unutar romskih zajednica kojima je oštećeno 139 maloljetnih Roma i 471 punoljetnih Roma; broj počinitelja Roma iznosio je ukupno 579 (55 maloljetnih Roma i 524 punoljetnih Roma</w:t>
      </w:r>
      <w:r w:rsidR="00961E55">
        <w:rPr>
          <w:rFonts w:eastAsia="Calibri" w:cs="Times New Roman"/>
          <w:szCs w:val="24"/>
        </w:rPr>
        <w:t>)</w:t>
      </w:r>
      <w:r>
        <w:rPr>
          <w:rFonts w:eastAsia="Calibri" w:cs="Times New Roman"/>
          <w:szCs w:val="24"/>
        </w:rPr>
        <w:t>. K</w:t>
      </w:r>
      <w:r w:rsidRPr="005E09F2">
        <w:rPr>
          <w:rFonts w:eastAsia="Calibri" w:cs="Times New Roman"/>
          <w:szCs w:val="24"/>
        </w:rPr>
        <w:t xml:space="preserve">ada je riječ o prekršajima koje su počinili Romi, u 2024. </w:t>
      </w:r>
      <w:r w:rsidR="00961E55">
        <w:rPr>
          <w:rFonts w:eastAsia="Calibri" w:cs="Times New Roman"/>
          <w:szCs w:val="24"/>
        </w:rPr>
        <w:t xml:space="preserve">godini </w:t>
      </w:r>
      <w:r w:rsidRPr="005E09F2">
        <w:rPr>
          <w:rFonts w:eastAsia="Calibri" w:cs="Times New Roman"/>
          <w:szCs w:val="24"/>
        </w:rPr>
        <w:t>evidentirano je ukupno 1.040 prekršaja; broj oštećenih neroma iznosio je 276 (27 maloljetnih i 249 punoljetnih)</w:t>
      </w:r>
      <w:r w:rsidR="00441179">
        <w:rPr>
          <w:rFonts w:eastAsia="Calibri" w:cs="Times New Roman"/>
          <w:szCs w:val="24"/>
        </w:rPr>
        <w:t>,</w:t>
      </w:r>
      <w:r w:rsidRPr="005E09F2">
        <w:rPr>
          <w:rFonts w:eastAsia="Calibri" w:cs="Times New Roman"/>
          <w:szCs w:val="24"/>
        </w:rPr>
        <w:t xml:space="preserve"> a broj Roma počinitelja prekršaja iznosio je ukupno 1285 (62 maloljetna i 1223 punoljetna počinitelja)</w:t>
      </w:r>
      <w:r>
        <w:rPr>
          <w:rFonts w:eastAsia="Calibri" w:cs="Times New Roman"/>
          <w:szCs w:val="24"/>
        </w:rPr>
        <w:t xml:space="preserve">. </w:t>
      </w:r>
      <w:r w:rsidRPr="005E09F2">
        <w:rPr>
          <w:rFonts w:eastAsia="Calibri" w:cs="Times New Roman"/>
          <w:szCs w:val="24"/>
        </w:rPr>
        <w:t xml:space="preserve">Tijekom 2024. </w:t>
      </w:r>
      <w:r w:rsidR="00961E55">
        <w:rPr>
          <w:rFonts w:cs="Times New Roman"/>
          <w:szCs w:val="24"/>
        </w:rPr>
        <w:t xml:space="preserve">godine </w:t>
      </w:r>
      <w:r w:rsidRPr="005E09F2">
        <w:rPr>
          <w:rFonts w:eastAsia="Calibri" w:cs="Times New Roman"/>
          <w:szCs w:val="24"/>
        </w:rPr>
        <w:t>zabilježena su 4 kaznena djela zločina iz mržnje na štetu Roma i to 3 kaznena djela Prijetnje iz čl</w:t>
      </w:r>
      <w:r w:rsidR="0040064A">
        <w:rPr>
          <w:rFonts w:eastAsia="Calibri" w:cs="Times New Roman"/>
          <w:szCs w:val="24"/>
        </w:rPr>
        <w:t>anka</w:t>
      </w:r>
      <w:r w:rsidRPr="005E09F2">
        <w:rPr>
          <w:rFonts w:eastAsia="Calibri" w:cs="Times New Roman"/>
          <w:szCs w:val="24"/>
        </w:rPr>
        <w:t xml:space="preserve"> 139</w:t>
      </w:r>
      <w:r w:rsidR="00961E55">
        <w:rPr>
          <w:rFonts w:eastAsia="Calibri" w:cs="Times New Roman"/>
          <w:szCs w:val="24"/>
        </w:rPr>
        <w:t>.</w:t>
      </w:r>
      <w:r w:rsidRPr="005E09F2">
        <w:rPr>
          <w:rFonts w:eastAsia="Calibri" w:cs="Times New Roman"/>
          <w:szCs w:val="24"/>
        </w:rPr>
        <w:t xml:space="preserve"> </w:t>
      </w:r>
      <w:r w:rsidR="00961E55" w:rsidRPr="005E09F2">
        <w:rPr>
          <w:rFonts w:eastAsia="Calibri" w:cs="Times New Roman"/>
          <w:szCs w:val="24"/>
        </w:rPr>
        <w:t xml:space="preserve">Kaznenog zakona </w:t>
      </w:r>
      <w:r w:rsidRPr="005E09F2">
        <w:rPr>
          <w:rFonts w:eastAsia="Calibri" w:cs="Times New Roman"/>
          <w:szCs w:val="24"/>
        </w:rPr>
        <w:t xml:space="preserve">i 1 kazneno djelo </w:t>
      </w:r>
      <w:r w:rsidR="00961E55">
        <w:rPr>
          <w:rFonts w:eastAsia="Calibri" w:cs="Times New Roman"/>
          <w:szCs w:val="24"/>
        </w:rPr>
        <w:t>T</w:t>
      </w:r>
      <w:r w:rsidR="00961E55" w:rsidRPr="005E09F2">
        <w:rPr>
          <w:rFonts w:eastAsia="Calibri" w:cs="Times New Roman"/>
          <w:szCs w:val="24"/>
        </w:rPr>
        <w:t xml:space="preserve">jelesna </w:t>
      </w:r>
      <w:r w:rsidRPr="005E09F2">
        <w:rPr>
          <w:rFonts w:eastAsia="Calibri" w:cs="Times New Roman"/>
          <w:szCs w:val="24"/>
        </w:rPr>
        <w:t>ozljeda iz čl</w:t>
      </w:r>
      <w:r w:rsidR="0040064A">
        <w:rPr>
          <w:rFonts w:eastAsia="Calibri" w:cs="Times New Roman"/>
          <w:szCs w:val="24"/>
        </w:rPr>
        <w:t>anka</w:t>
      </w:r>
      <w:r w:rsidRPr="005E09F2">
        <w:rPr>
          <w:rFonts w:eastAsia="Calibri" w:cs="Times New Roman"/>
          <w:szCs w:val="24"/>
        </w:rPr>
        <w:t xml:space="preserve"> 117</w:t>
      </w:r>
      <w:r w:rsidR="00961E55">
        <w:rPr>
          <w:rFonts w:eastAsia="Calibri" w:cs="Times New Roman"/>
          <w:szCs w:val="24"/>
        </w:rPr>
        <w:t>.</w:t>
      </w:r>
      <w:r w:rsidRPr="005E09F2">
        <w:rPr>
          <w:rFonts w:eastAsia="Calibri" w:cs="Times New Roman"/>
          <w:szCs w:val="24"/>
        </w:rPr>
        <w:t xml:space="preserve"> Kaznenog zakona</w:t>
      </w:r>
      <w:r>
        <w:rPr>
          <w:rFonts w:eastAsia="Calibri" w:cs="Times New Roman"/>
          <w:szCs w:val="24"/>
        </w:rPr>
        <w:t xml:space="preserve">. </w:t>
      </w:r>
      <w:r w:rsidRPr="005E09F2">
        <w:rPr>
          <w:rFonts w:eastAsia="Calibri" w:cs="Times New Roman"/>
          <w:szCs w:val="24"/>
        </w:rPr>
        <w:t xml:space="preserve">Kaznena djela </w:t>
      </w:r>
      <w:r w:rsidR="00961E55">
        <w:rPr>
          <w:rFonts w:eastAsia="Calibri" w:cs="Times New Roman"/>
          <w:szCs w:val="24"/>
        </w:rPr>
        <w:t>J</w:t>
      </w:r>
      <w:r w:rsidR="00961E55" w:rsidRPr="005E09F2">
        <w:rPr>
          <w:rFonts w:eastAsia="Calibri" w:cs="Times New Roman"/>
          <w:szCs w:val="24"/>
        </w:rPr>
        <w:t xml:space="preserve">avnog </w:t>
      </w:r>
      <w:r w:rsidRPr="005E09F2">
        <w:rPr>
          <w:rFonts w:eastAsia="Calibri" w:cs="Times New Roman"/>
          <w:szCs w:val="24"/>
        </w:rPr>
        <w:t>poticanja na nasilje i mržnju iz čl</w:t>
      </w:r>
      <w:r w:rsidR="0040064A">
        <w:rPr>
          <w:rFonts w:eastAsia="Calibri" w:cs="Times New Roman"/>
          <w:szCs w:val="24"/>
        </w:rPr>
        <w:t>anka</w:t>
      </w:r>
      <w:r w:rsidRPr="005E09F2">
        <w:rPr>
          <w:rFonts w:eastAsia="Calibri" w:cs="Times New Roman"/>
          <w:szCs w:val="24"/>
        </w:rPr>
        <w:t xml:space="preserve"> 325. Kaznenog zakona na štetu Roma tijekom 2024. </w:t>
      </w:r>
      <w:r w:rsidR="00961E55">
        <w:rPr>
          <w:rFonts w:eastAsia="Calibri" w:cs="Times New Roman"/>
          <w:szCs w:val="24"/>
        </w:rPr>
        <w:t xml:space="preserve">godine </w:t>
      </w:r>
      <w:r w:rsidRPr="005E09F2">
        <w:rPr>
          <w:rFonts w:eastAsia="Calibri" w:cs="Times New Roman"/>
          <w:szCs w:val="24"/>
        </w:rPr>
        <w:t>nisu</w:t>
      </w:r>
      <w:r w:rsidR="002F7831">
        <w:rPr>
          <w:rFonts w:eastAsia="Calibri" w:cs="Times New Roman"/>
          <w:szCs w:val="24"/>
        </w:rPr>
        <w:t xml:space="preserve"> </w:t>
      </w:r>
      <w:r w:rsidRPr="005E09F2">
        <w:rPr>
          <w:rFonts w:eastAsia="Calibri" w:cs="Times New Roman"/>
          <w:szCs w:val="24"/>
        </w:rPr>
        <w:t>zabilježena</w:t>
      </w:r>
      <w:r>
        <w:rPr>
          <w:rFonts w:eastAsia="Calibri" w:cs="Times New Roman"/>
          <w:szCs w:val="24"/>
        </w:rPr>
        <w:t>.</w:t>
      </w:r>
    </w:p>
    <w:p w14:paraId="2A58A682" w14:textId="77777777" w:rsidR="00BB4B62" w:rsidRPr="00FC64BF" w:rsidRDefault="00BB4B62" w:rsidP="004A3B23">
      <w:pPr>
        <w:overflowPunct w:val="0"/>
        <w:autoSpaceDE w:val="0"/>
        <w:autoSpaceDN w:val="0"/>
        <w:adjustRightInd w:val="0"/>
        <w:spacing w:after="0" w:line="276" w:lineRule="auto"/>
        <w:jc w:val="both"/>
        <w:textAlignment w:val="baseline"/>
        <w:rPr>
          <w:rFonts w:eastAsia="Calibri" w:cs="Times New Roman"/>
          <w:szCs w:val="24"/>
        </w:rPr>
      </w:pPr>
    </w:p>
    <w:tbl>
      <w:tblPr>
        <w:tblStyle w:val="TableGrid"/>
        <w:tblW w:w="0" w:type="auto"/>
        <w:tblLook w:val="04A0" w:firstRow="1" w:lastRow="0" w:firstColumn="1" w:lastColumn="0" w:noHBand="0" w:noVBand="1"/>
      </w:tblPr>
      <w:tblGrid>
        <w:gridCol w:w="2830"/>
        <w:gridCol w:w="2268"/>
        <w:gridCol w:w="2131"/>
        <w:gridCol w:w="1833"/>
      </w:tblGrid>
      <w:tr w:rsidR="00CE622A" w:rsidRPr="005E09F2" w14:paraId="2D8B619E" w14:textId="77777777" w:rsidTr="00CA40F2">
        <w:tc>
          <w:tcPr>
            <w:tcW w:w="2830" w:type="dxa"/>
            <w:shd w:val="clear" w:color="auto" w:fill="F2F2F2" w:themeFill="background1" w:themeFillShade="F2"/>
            <w:vAlign w:val="center"/>
          </w:tcPr>
          <w:p w14:paraId="1F0E8C4A" w14:textId="77777777" w:rsidR="0087777A" w:rsidRPr="00FC64BF" w:rsidRDefault="0087777A" w:rsidP="00AB12E9">
            <w:pPr>
              <w:spacing w:line="276" w:lineRule="auto"/>
              <w:rPr>
                <w:rFonts w:cs="Times New Roman"/>
                <w:b/>
                <w:sz w:val="18"/>
                <w:szCs w:val="18"/>
              </w:rPr>
            </w:pPr>
            <w:bookmarkStart w:id="20" w:name="_Hlk164151567"/>
            <w:r w:rsidRPr="00FC64BF">
              <w:rPr>
                <w:rFonts w:cs="Times New Roman"/>
                <w:b/>
                <w:sz w:val="18"/>
                <w:szCs w:val="18"/>
              </w:rPr>
              <w:t>Pokazatelji provedbe i pokazatelji uspješnosti provedbe</w:t>
            </w:r>
          </w:p>
        </w:tc>
        <w:tc>
          <w:tcPr>
            <w:tcW w:w="2268" w:type="dxa"/>
            <w:shd w:val="clear" w:color="auto" w:fill="F2F2F2" w:themeFill="background1" w:themeFillShade="F2"/>
            <w:vAlign w:val="center"/>
          </w:tcPr>
          <w:p w14:paraId="0C28B6C5"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Broj događanja</w:t>
            </w:r>
          </w:p>
        </w:tc>
        <w:tc>
          <w:tcPr>
            <w:tcW w:w="2131" w:type="dxa"/>
            <w:shd w:val="clear" w:color="auto" w:fill="F2F2F2" w:themeFill="background1" w:themeFillShade="F2"/>
            <w:vAlign w:val="center"/>
          </w:tcPr>
          <w:p w14:paraId="2571AD2A" w14:textId="67292119" w:rsidR="0087777A" w:rsidRPr="00FC64BF" w:rsidRDefault="0087777A" w:rsidP="00A75D55">
            <w:pPr>
              <w:spacing w:line="276" w:lineRule="auto"/>
              <w:jc w:val="center"/>
              <w:rPr>
                <w:rFonts w:cs="Times New Roman"/>
                <w:b/>
                <w:sz w:val="18"/>
                <w:szCs w:val="18"/>
              </w:rPr>
            </w:pPr>
            <w:r w:rsidRPr="00FC64BF">
              <w:rPr>
                <w:rFonts w:cs="Times New Roman"/>
                <w:b/>
                <w:sz w:val="18"/>
                <w:szCs w:val="18"/>
              </w:rPr>
              <w:t>Broj sudionika</w:t>
            </w:r>
            <w:r w:rsidR="00A75D55" w:rsidRPr="00FC64BF">
              <w:rPr>
                <w:rFonts w:cs="Times New Roman"/>
                <w:b/>
                <w:sz w:val="18"/>
                <w:szCs w:val="18"/>
              </w:rPr>
              <w:t xml:space="preserve"> </w:t>
            </w:r>
            <w:r w:rsidRPr="00FC64BF">
              <w:rPr>
                <w:rFonts w:cs="Times New Roman"/>
                <w:b/>
                <w:sz w:val="18"/>
                <w:szCs w:val="18"/>
              </w:rPr>
              <w:t>događanja</w:t>
            </w:r>
          </w:p>
        </w:tc>
        <w:tc>
          <w:tcPr>
            <w:tcW w:w="1833" w:type="dxa"/>
            <w:shd w:val="clear" w:color="auto" w:fill="F2F2F2" w:themeFill="background1" w:themeFillShade="F2"/>
            <w:vAlign w:val="center"/>
          </w:tcPr>
          <w:p w14:paraId="150CF7CE"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Broj medijskih objava</w:t>
            </w:r>
          </w:p>
        </w:tc>
      </w:tr>
      <w:tr w:rsidR="00CE622A" w:rsidRPr="005E09F2" w14:paraId="54BCFB95" w14:textId="77777777" w:rsidTr="00CA40F2">
        <w:tc>
          <w:tcPr>
            <w:tcW w:w="2830" w:type="dxa"/>
            <w:shd w:val="clear" w:color="auto" w:fill="F2F2F2" w:themeFill="background1" w:themeFillShade="F2"/>
            <w:vAlign w:val="center"/>
          </w:tcPr>
          <w:p w14:paraId="572CC4B0" w14:textId="29718E13" w:rsidR="0087777A" w:rsidRPr="00FC64BF" w:rsidRDefault="0087777A" w:rsidP="006F69FB">
            <w:pPr>
              <w:spacing w:line="276" w:lineRule="auto"/>
              <w:rPr>
                <w:rFonts w:cs="Times New Roman"/>
                <w:sz w:val="18"/>
                <w:szCs w:val="18"/>
              </w:rPr>
            </w:pPr>
            <w:r w:rsidRPr="00FC64BF">
              <w:rPr>
                <w:rFonts w:cs="Times New Roman"/>
                <w:sz w:val="18"/>
                <w:szCs w:val="18"/>
              </w:rPr>
              <w:t>Planirani ishodi za pokazatelje provedbe u 202</w:t>
            </w:r>
            <w:r w:rsidR="005E09F2" w:rsidRPr="00FC64BF">
              <w:rPr>
                <w:rFonts w:cs="Times New Roman"/>
                <w:sz w:val="18"/>
                <w:szCs w:val="18"/>
              </w:rPr>
              <w:t>4</w:t>
            </w:r>
            <w:r w:rsidRPr="00FC64BF">
              <w:rPr>
                <w:rFonts w:cs="Times New Roman"/>
                <w:sz w:val="18"/>
                <w:szCs w:val="18"/>
              </w:rPr>
              <w:t>.</w:t>
            </w:r>
          </w:p>
        </w:tc>
        <w:tc>
          <w:tcPr>
            <w:tcW w:w="2268" w:type="dxa"/>
            <w:vAlign w:val="center"/>
          </w:tcPr>
          <w:p w14:paraId="6B82690E" w14:textId="380A9EB3" w:rsidR="0087777A" w:rsidRPr="00FC64BF" w:rsidRDefault="005E09F2" w:rsidP="00AB12E9">
            <w:pPr>
              <w:spacing w:line="276" w:lineRule="auto"/>
              <w:jc w:val="center"/>
              <w:rPr>
                <w:rFonts w:cs="Times New Roman"/>
                <w:sz w:val="18"/>
                <w:szCs w:val="18"/>
              </w:rPr>
            </w:pPr>
            <w:r w:rsidRPr="00FC64BF">
              <w:rPr>
                <w:rFonts w:cs="Times New Roman"/>
                <w:sz w:val="18"/>
                <w:szCs w:val="18"/>
              </w:rPr>
              <w:t>10</w:t>
            </w:r>
          </w:p>
        </w:tc>
        <w:tc>
          <w:tcPr>
            <w:tcW w:w="2131" w:type="dxa"/>
            <w:vAlign w:val="center"/>
          </w:tcPr>
          <w:p w14:paraId="0505251E" w14:textId="0A76FD4A" w:rsidR="0087777A" w:rsidRPr="00FC64BF" w:rsidRDefault="005E09F2" w:rsidP="00D36147">
            <w:pPr>
              <w:spacing w:line="276" w:lineRule="auto"/>
              <w:jc w:val="center"/>
              <w:rPr>
                <w:rFonts w:cs="Times New Roman"/>
                <w:sz w:val="18"/>
                <w:szCs w:val="18"/>
              </w:rPr>
            </w:pPr>
            <w:r w:rsidRPr="00FC64BF">
              <w:rPr>
                <w:rFonts w:cs="Times New Roman"/>
                <w:sz w:val="18"/>
                <w:szCs w:val="18"/>
              </w:rPr>
              <w:t>500</w:t>
            </w:r>
            <w:r w:rsidR="0087777A" w:rsidRPr="00FC64BF">
              <w:rPr>
                <w:rFonts w:cs="Times New Roman"/>
                <w:sz w:val="18"/>
                <w:szCs w:val="18"/>
              </w:rPr>
              <w:t>0</w:t>
            </w:r>
          </w:p>
        </w:tc>
        <w:tc>
          <w:tcPr>
            <w:tcW w:w="1833" w:type="dxa"/>
            <w:vAlign w:val="center"/>
          </w:tcPr>
          <w:p w14:paraId="316D9A16" w14:textId="0041A8D1" w:rsidR="0087777A" w:rsidRPr="00FC64BF" w:rsidRDefault="0087777A" w:rsidP="00D36147">
            <w:pPr>
              <w:spacing w:line="276" w:lineRule="auto"/>
              <w:jc w:val="center"/>
              <w:rPr>
                <w:rFonts w:cs="Times New Roman"/>
                <w:sz w:val="18"/>
                <w:szCs w:val="18"/>
              </w:rPr>
            </w:pPr>
            <w:r w:rsidRPr="00FC64BF">
              <w:rPr>
                <w:rFonts w:cs="Times New Roman"/>
                <w:sz w:val="18"/>
                <w:szCs w:val="18"/>
              </w:rPr>
              <w:t>5</w:t>
            </w:r>
            <w:r w:rsidR="005E09F2" w:rsidRPr="00FC64BF">
              <w:rPr>
                <w:rFonts w:cs="Times New Roman"/>
                <w:sz w:val="18"/>
                <w:szCs w:val="18"/>
              </w:rPr>
              <w:t>0</w:t>
            </w:r>
          </w:p>
        </w:tc>
      </w:tr>
      <w:tr w:rsidR="005E09F2" w:rsidRPr="005E09F2" w14:paraId="5718E99E" w14:textId="77777777" w:rsidTr="00C74E2F">
        <w:tc>
          <w:tcPr>
            <w:tcW w:w="2830" w:type="dxa"/>
            <w:shd w:val="clear" w:color="auto" w:fill="F2F2F2" w:themeFill="background1" w:themeFillShade="F2"/>
            <w:vAlign w:val="center"/>
          </w:tcPr>
          <w:p w14:paraId="710C68CE" w14:textId="046427ED" w:rsidR="0087777A" w:rsidRPr="00FC64BF" w:rsidRDefault="0087777A" w:rsidP="006F69FB">
            <w:pPr>
              <w:spacing w:line="276" w:lineRule="auto"/>
              <w:rPr>
                <w:rFonts w:cs="Times New Roman"/>
                <w:sz w:val="18"/>
                <w:szCs w:val="18"/>
              </w:rPr>
            </w:pPr>
            <w:r w:rsidRPr="00FC64BF">
              <w:rPr>
                <w:rFonts w:cs="Times New Roman"/>
                <w:sz w:val="18"/>
                <w:szCs w:val="18"/>
              </w:rPr>
              <w:t>Ostvareni ishodi za pokazatelje provedbe u 202</w:t>
            </w:r>
            <w:r w:rsidR="005E09F2" w:rsidRPr="00FC64BF">
              <w:rPr>
                <w:rFonts w:cs="Times New Roman"/>
                <w:sz w:val="18"/>
                <w:szCs w:val="18"/>
              </w:rPr>
              <w:t>4</w:t>
            </w:r>
            <w:r w:rsidRPr="00FC64BF">
              <w:rPr>
                <w:rFonts w:cs="Times New Roman"/>
                <w:sz w:val="18"/>
                <w:szCs w:val="18"/>
              </w:rPr>
              <w:t xml:space="preserve">. </w:t>
            </w:r>
          </w:p>
        </w:tc>
        <w:tc>
          <w:tcPr>
            <w:tcW w:w="2268" w:type="dxa"/>
            <w:shd w:val="clear" w:color="auto" w:fill="auto"/>
            <w:vAlign w:val="center"/>
          </w:tcPr>
          <w:p w14:paraId="041D9356" w14:textId="50AB22AB" w:rsidR="0087777A" w:rsidRPr="00FC64BF" w:rsidRDefault="00B95C5E">
            <w:pPr>
              <w:spacing w:line="276" w:lineRule="auto"/>
              <w:jc w:val="center"/>
              <w:rPr>
                <w:rFonts w:cs="Times New Roman"/>
                <w:sz w:val="18"/>
                <w:szCs w:val="18"/>
              </w:rPr>
            </w:pPr>
            <w:r w:rsidRPr="00FC64BF">
              <w:rPr>
                <w:rFonts w:cs="Times New Roman"/>
                <w:sz w:val="18"/>
                <w:szCs w:val="18"/>
              </w:rPr>
              <w:t>1</w:t>
            </w:r>
            <w:r w:rsidR="005E09F2" w:rsidRPr="00FC64BF">
              <w:rPr>
                <w:rFonts w:cs="Times New Roman"/>
                <w:sz w:val="18"/>
                <w:szCs w:val="18"/>
              </w:rPr>
              <w:t>57</w:t>
            </w:r>
          </w:p>
        </w:tc>
        <w:tc>
          <w:tcPr>
            <w:tcW w:w="2131" w:type="dxa"/>
            <w:shd w:val="clear" w:color="auto" w:fill="auto"/>
            <w:vAlign w:val="center"/>
          </w:tcPr>
          <w:p w14:paraId="7DA9FE50" w14:textId="505DCF8A" w:rsidR="0087777A" w:rsidRPr="00FC64BF" w:rsidRDefault="005E09F2">
            <w:pPr>
              <w:spacing w:line="276" w:lineRule="auto"/>
              <w:jc w:val="center"/>
              <w:rPr>
                <w:rFonts w:cs="Times New Roman"/>
                <w:sz w:val="18"/>
                <w:szCs w:val="18"/>
              </w:rPr>
            </w:pPr>
            <w:r w:rsidRPr="00FC64BF">
              <w:rPr>
                <w:rFonts w:cs="Times New Roman"/>
                <w:sz w:val="18"/>
                <w:szCs w:val="18"/>
              </w:rPr>
              <w:t>12 821</w:t>
            </w:r>
          </w:p>
        </w:tc>
        <w:tc>
          <w:tcPr>
            <w:tcW w:w="1833" w:type="dxa"/>
            <w:shd w:val="clear" w:color="auto" w:fill="auto"/>
            <w:vAlign w:val="center"/>
          </w:tcPr>
          <w:p w14:paraId="7D8E4C7A" w14:textId="39EFBDAC" w:rsidR="0087777A" w:rsidRPr="00FC64BF" w:rsidRDefault="005E09F2">
            <w:pPr>
              <w:spacing w:line="276" w:lineRule="auto"/>
              <w:jc w:val="center"/>
              <w:rPr>
                <w:rFonts w:cs="Times New Roman"/>
                <w:sz w:val="18"/>
                <w:szCs w:val="18"/>
              </w:rPr>
            </w:pPr>
            <w:r w:rsidRPr="00FC64BF">
              <w:rPr>
                <w:rFonts w:cs="Times New Roman"/>
                <w:sz w:val="18"/>
                <w:szCs w:val="18"/>
              </w:rPr>
              <w:t>9</w:t>
            </w:r>
          </w:p>
        </w:tc>
      </w:tr>
      <w:tr w:rsidR="00CE622A" w:rsidRPr="005E09F2" w14:paraId="3EA574ED" w14:textId="77777777" w:rsidTr="00C74E2F">
        <w:tc>
          <w:tcPr>
            <w:tcW w:w="2830" w:type="dxa"/>
            <w:shd w:val="clear" w:color="auto" w:fill="F2F2F2" w:themeFill="background1" w:themeFillShade="F2"/>
            <w:vAlign w:val="center"/>
          </w:tcPr>
          <w:p w14:paraId="71C731A1" w14:textId="77777777" w:rsidR="0087777A" w:rsidRPr="00FC64BF" w:rsidRDefault="0087777A" w:rsidP="004A3B23">
            <w:pPr>
              <w:spacing w:line="276" w:lineRule="auto"/>
              <w:rPr>
                <w:rFonts w:cs="Times New Roman"/>
                <w:b/>
                <w:sz w:val="18"/>
                <w:szCs w:val="18"/>
              </w:rPr>
            </w:pPr>
            <w:r w:rsidRPr="00FC64BF">
              <w:rPr>
                <w:rFonts w:cs="Times New Roman"/>
                <w:b/>
                <w:sz w:val="18"/>
                <w:szCs w:val="18"/>
              </w:rPr>
              <w:t xml:space="preserve">IZVORI FINANCIRANJA </w:t>
            </w:r>
          </w:p>
        </w:tc>
        <w:tc>
          <w:tcPr>
            <w:tcW w:w="2268" w:type="dxa"/>
            <w:shd w:val="clear" w:color="auto" w:fill="F2F2F2" w:themeFill="background1" w:themeFillShade="F2"/>
            <w:vAlign w:val="center"/>
          </w:tcPr>
          <w:p w14:paraId="01C7E886" w14:textId="77777777" w:rsidR="0087777A" w:rsidRPr="00FC64BF" w:rsidRDefault="0087777A" w:rsidP="00AB12E9">
            <w:pPr>
              <w:spacing w:line="276" w:lineRule="auto"/>
              <w:jc w:val="center"/>
              <w:rPr>
                <w:rFonts w:cs="Times New Roman"/>
                <w:b/>
                <w:sz w:val="18"/>
                <w:szCs w:val="18"/>
              </w:rPr>
            </w:pPr>
            <w:r w:rsidRPr="00FC64BF">
              <w:rPr>
                <w:rFonts w:cs="Times New Roman"/>
                <w:b/>
                <w:sz w:val="18"/>
                <w:szCs w:val="18"/>
              </w:rPr>
              <w:t>Državni proračun (EUR)</w:t>
            </w:r>
          </w:p>
        </w:tc>
        <w:tc>
          <w:tcPr>
            <w:tcW w:w="2131" w:type="dxa"/>
            <w:shd w:val="clear" w:color="auto" w:fill="F2F2F2" w:themeFill="background1" w:themeFillShade="F2"/>
            <w:vAlign w:val="center"/>
          </w:tcPr>
          <w:p w14:paraId="6D301A0B"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EU financiranje (EUR)</w:t>
            </w:r>
          </w:p>
        </w:tc>
        <w:tc>
          <w:tcPr>
            <w:tcW w:w="1833" w:type="dxa"/>
            <w:shd w:val="clear" w:color="auto" w:fill="F2F2F2" w:themeFill="background1" w:themeFillShade="F2"/>
            <w:vAlign w:val="center"/>
          </w:tcPr>
          <w:p w14:paraId="69640F22"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Drugi izvori (EUR)</w:t>
            </w:r>
          </w:p>
        </w:tc>
      </w:tr>
      <w:tr w:rsidR="00CE622A" w:rsidRPr="005E09F2" w14:paraId="5D41EB9C" w14:textId="77777777" w:rsidTr="00C74E2F">
        <w:trPr>
          <w:trHeight w:val="811"/>
        </w:trPr>
        <w:tc>
          <w:tcPr>
            <w:tcW w:w="2830" w:type="dxa"/>
            <w:shd w:val="clear" w:color="auto" w:fill="F2F2F2" w:themeFill="background1" w:themeFillShade="F2"/>
            <w:vAlign w:val="center"/>
          </w:tcPr>
          <w:p w14:paraId="6C837F50" w14:textId="115C6B58" w:rsidR="0087777A" w:rsidRPr="00FC64BF" w:rsidRDefault="0087777A" w:rsidP="006F69FB">
            <w:pPr>
              <w:spacing w:line="276" w:lineRule="auto"/>
              <w:rPr>
                <w:rFonts w:cs="Times New Roman"/>
                <w:sz w:val="18"/>
                <w:szCs w:val="18"/>
              </w:rPr>
            </w:pPr>
            <w:r w:rsidRPr="00FC64BF">
              <w:rPr>
                <w:rFonts w:cs="Times New Roman"/>
                <w:sz w:val="18"/>
                <w:szCs w:val="18"/>
              </w:rPr>
              <w:t>Izvori financiranja u 202</w:t>
            </w:r>
            <w:r w:rsidR="00333558">
              <w:rPr>
                <w:rFonts w:cs="Times New Roman"/>
                <w:sz w:val="18"/>
                <w:szCs w:val="18"/>
              </w:rPr>
              <w:t>4</w:t>
            </w:r>
            <w:r w:rsidRPr="00FC64BF">
              <w:rPr>
                <w:rFonts w:cs="Times New Roman"/>
                <w:sz w:val="18"/>
                <w:szCs w:val="18"/>
              </w:rPr>
              <w:t>. (proračunska pozicija i predviđeni iznos sredstava)</w:t>
            </w:r>
          </w:p>
        </w:tc>
        <w:tc>
          <w:tcPr>
            <w:tcW w:w="2268" w:type="dxa"/>
            <w:shd w:val="clear" w:color="auto" w:fill="auto"/>
            <w:vAlign w:val="center"/>
          </w:tcPr>
          <w:p w14:paraId="6E56CDF8" w14:textId="77777777" w:rsidR="00387103" w:rsidRPr="00FC64BF" w:rsidRDefault="0087777A" w:rsidP="00D36147">
            <w:pPr>
              <w:spacing w:line="276" w:lineRule="auto"/>
              <w:jc w:val="center"/>
              <w:rPr>
                <w:rFonts w:eastAsia="Calibri" w:cs="Times New Roman"/>
                <w:sz w:val="18"/>
                <w:szCs w:val="18"/>
              </w:rPr>
            </w:pPr>
            <w:r w:rsidRPr="00FC64BF">
              <w:rPr>
                <w:rFonts w:eastAsia="Calibri" w:cs="Times New Roman"/>
                <w:sz w:val="18"/>
                <w:szCs w:val="18"/>
              </w:rPr>
              <w:t>A553131 Administracija i upravljanje</w:t>
            </w:r>
            <w:r w:rsidR="00387103" w:rsidRPr="00FC64BF">
              <w:rPr>
                <w:rFonts w:eastAsia="Calibri" w:cs="Times New Roman"/>
                <w:sz w:val="18"/>
                <w:szCs w:val="18"/>
              </w:rPr>
              <w:t>, izvor 11</w:t>
            </w:r>
          </w:p>
          <w:p w14:paraId="0BB80A64" w14:textId="3D4C2F79" w:rsidR="0087777A" w:rsidRPr="00FC64BF" w:rsidRDefault="005E09F2" w:rsidP="00D36147">
            <w:pPr>
              <w:spacing w:line="276" w:lineRule="auto"/>
              <w:jc w:val="center"/>
              <w:rPr>
                <w:rFonts w:cs="Times New Roman"/>
                <w:sz w:val="18"/>
                <w:szCs w:val="18"/>
              </w:rPr>
            </w:pPr>
            <w:r w:rsidRPr="00FC64BF">
              <w:rPr>
                <w:rFonts w:eastAsia="Calibri" w:cs="Times New Roman"/>
                <w:sz w:val="18"/>
                <w:szCs w:val="18"/>
              </w:rPr>
              <w:t>0,00</w:t>
            </w:r>
          </w:p>
        </w:tc>
        <w:tc>
          <w:tcPr>
            <w:tcW w:w="2131" w:type="dxa"/>
            <w:shd w:val="clear" w:color="auto" w:fill="auto"/>
            <w:vAlign w:val="center"/>
          </w:tcPr>
          <w:p w14:paraId="2E734837" w14:textId="77777777" w:rsidR="0087777A" w:rsidRPr="00FC64BF" w:rsidRDefault="0087777A" w:rsidP="00D36147">
            <w:pPr>
              <w:spacing w:line="276" w:lineRule="auto"/>
              <w:jc w:val="center"/>
              <w:rPr>
                <w:rFonts w:cs="Times New Roman"/>
                <w:sz w:val="18"/>
                <w:szCs w:val="18"/>
              </w:rPr>
            </w:pPr>
            <w:r w:rsidRPr="00FC64BF">
              <w:rPr>
                <w:rFonts w:cs="Times New Roman"/>
                <w:sz w:val="18"/>
                <w:szCs w:val="18"/>
              </w:rPr>
              <w:t>0,00</w:t>
            </w:r>
          </w:p>
        </w:tc>
        <w:tc>
          <w:tcPr>
            <w:tcW w:w="1833" w:type="dxa"/>
            <w:shd w:val="clear" w:color="auto" w:fill="auto"/>
            <w:vAlign w:val="center"/>
          </w:tcPr>
          <w:p w14:paraId="17A62E10" w14:textId="77777777" w:rsidR="0087777A" w:rsidRPr="00FC64BF" w:rsidRDefault="0087777A" w:rsidP="00D36147">
            <w:pPr>
              <w:spacing w:line="276" w:lineRule="auto"/>
              <w:jc w:val="center"/>
              <w:rPr>
                <w:rFonts w:cs="Times New Roman"/>
                <w:sz w:val="18"/>
                <w:szCs w:val="18"/>
              </w:rPr>
            </w:pPr>
            <w:r w:rsidRPr="00FC64BF">
              <w:rPr>
                <w:rFonts w:cs="Times New Roman"/>
                <w:sz w:val="18"/>
                <w:szCs w:val="18"/>
              </w:rPr>
              <w:t>0,00</w:t>
            </w:r>
          </w:p>
        </w:tc>
      </w:tr>
      <w:tr w:rsidR="00CE622A" w:rsidRPr="005E09F2" w14:paraId="1CCDFF26" w14:textId="77777777" w:rsidTr="00C74E2F">
        <w:tc>
          <w:tcPr>
            <w:tcW w:w="2830" w:type="dxa"/>
            <w:vMerge w:val="restart"/>
            <w:shd w:val="clear" w:color="auto" w:fill="F2F2F2" w:themeFill="background1" w:themeFillShade="F2"/>
            <w:vAlign w:val="center"/>
          </w:tcPr>
          <w:p w14:paraId="44F8AAAB" w14:textId="77777777" w:rsidR="0087777A" w:rsidRPr="00FC64BF" w:rsidRDefault="0087777A" w:rsidP="004A3B23">
            <w:pPr>
              <w:spacing w:line="276" w:lineRule="auto"/>
              <w:rPr>
                <w:rFonts w:cs="Times New Roman"/>
                <w:b/>
                <w:bCs/>
                <w:sz w:val="18"/>
                <w:szCs w:val="18"/>
              </w:rPr>
            </w:pPr>
            <w:r w:rsidRPr="00FC64BF">
              <w:rPr>
                <w:rFonts w:cs="Times New Roman"/>
                <w:b/>
                <w:bCs/>
                <w:sz w:val="18"/>
                <w:szCs w:val="18"/>
              </w:rPr>
              <w:t xml:space="preserve">UKUPNO UTROŠENA SREDSTVA PO IZVORU </w:t>
            </w:r>
          </w:p>
        </w:tc>
        <w:tc>
          <w:tcPr>
            <w:tcW w:w="2268" w:type="dxa"/>
            <w:shd w:val="clear" w:color="auto" w:fill="F2F2F2" w:themeFill="background1" w:themeFillShade="F2"/>
            <w:vAlign w:val="center"/>
          </w:tcPr>
          <w:p w14:paraId="12B84AA6" w14:textId="77777777" w:rsidR="0087777A" w:rsidRPr="00FC64BF" w:rsidRDefault="0087777A" w:rsidP="00AB12E9">
            <w:pPr>
              <w:spacing w:line="276" w:lineRule="auto"/>
              <w:jc w:val="center"/>
              <w:rPr>
                <w:rFonts w:cs="Times New Roman"/>
                <w:b/>
                <w:sz w:val="18"/>
                <w:szCs w:val="18"/>
              </w:rPr>
            </w:pPr>
            <w:r w:rsidRPr="00FC64BF">
              <w:rPr>
                <w:rFonts w:cs="Times New Roman"/>
                <w:b/>
                <w:sz w:val="18"/>
                <w:szCs w:val="18"/>
              </w:rPr>
              <w:t>Državni proračun (EUR)</w:t>
            </w:r>
          </w:p>
        </w:tc>
        <w:tc>
          <w:tcPr>
            <w:tcW w:w="2131" w:type="dxa"/>
            <w:shd w:val="clear" w:color="auto" w:fill="F2F2F2" w:themeFill="background1" w:themeFillShade="F2"/>
            <w:vAlign w:val="center"/>
          </w:tcPr>
          <w:p w14:paraId="431484B1"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EU financiranje (EUR)</w:t>
            </w:r>
          </w:p>
        </w:tc>
        <w:tc>
          <w:tcPr>
            <w:tcW w:w="1833" w:type="dxa"/>
            <w:shd w:val="clear" w:color="auto" w:fill="F2F2F2" w:themeFill="background1" w:themeFillShade="F2"/>
            <w:vAlign w:val="center"/>
          </w:tcPr>
          <w:p w14:paraId="05335199"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Drugi izvori (EUR)</w:t>
            </w:r>
          </w:p>
        </w:tc>
      </w:tr>
      <w:tr w:rsidR="00CE622A" w:rsidRPr="005E09F2" w14:paraId="7025FA82" w14:textId="77777777" w:rsidTr="00C74E2F">
        <w:tc>
          <w:tcPr>
            <w:tcW w:w="2830" w:type="dxa"/>
            <w:vMerge/>
            <w:shd w:val="clear" w:color="auto" w:fill="F2F2F2" w:themeFill="background1" w:themeFillShade="F2"/>
            <w:vAlign w:val="center"/>
          </w:tcPr>
          <w:p w14:paraId="25C220DC" w14:textId="77777777" w:rsidR="0087777A" w:rsidRPr="00FC64BF" w:rsidRDefault="0087777A" w:rsidP="00D36147">
            <w:pPr>
              <w:spacing w:line="276" w:lineRule="auto"/>
              <w:rPr>
                <w:rFonts w:cs="Times New Roman"/>
                <w:b/>
                <w:sz w:val="18"/>
                <w:szCs w:val="18"/>
              </w:rPr>
            </w:pPr>
          </w:p>
        </w:tc>
        <w:tc>
          <w:tcPr>
            <w:tcW w:w="2268" w:type="dxa"/>
            <w:shd w:val="clear" w:color="auto" w:fill="auto"/>
            <w:vAlign w:val="center"/>
          </w:tcPr>
          <w:p w14:paraId="23735969" w14:textId="2EC61371" w:rsidR="0087777A" w:rsidRPr="00FC64BF" w:rsidRDefault="005E09F2" w:rsidP="004A3B23">
            <w:pPr>
              <w:spacing w:line="276" w:lineRule="auto"/>
              <w:jc w:val="center"/>
              <w:rPr>
                <w:rFonts w:cs="Times New Roman"/>
                <w:b/>
                <w:sz w:val="18"/>
                <w:szCs w:val="18"/>
              </w:rPr>
            </w:pPr>
            <w:r w:rsidRPr="00FC64BF">
              <w:rPr>
                <w:rFonts w:cs="Times New Roman"/>
                <w:b/>
                <w:sz w:val="18"/>
                <w:szCs w:val="18"/>
              </w:rPr>
              <w:t>0,00</w:t>
            </w:r>
          </w:p>
        </w:tc>
        <w:tc>
          <w:tcPr>
            <w:tcW w:w="2131" w:type="dxa"/>
            <w:shd w:val="clear" w:color="auto" w:fill="auto"/>
            <w:vAlign w:val="center"/>
          </w:tcPr>
          <w:p w14:paraId="1B39E18C" w14:textId="77777777" w:rsidR="0087777A" w:rsidRPr="00FC64BF" w:rsidRDefault="0087777A" w:rsidP="00AB12E9">
            <w:pPr>
              <w:spacing w:line="276" w:lineRule="auto"/>
              <w:jc w:val="center"/>
              <w:rPr>
                <w:rFonts w:cs="Times New Roman"/>
                <w:b/>
                <w:sz w:val="18"/>
                <w:szCs w:val="18"/>
              </w:rPr>
            </w:pPr>
            <w:r w:rsidRPr="00FC64BF">
              <w:rPr>
                <w:rFonts w:cs="Times New Roman"/>
                <w:sz w:val="18"/>
                <w:szCs w:val="18"/>
              </w:rPr>
              <w:t>0,00</w:t>
            </w:r>
          </w:p>
        </w:tc>
        <w:tc>
          <w:tcPr>
            <w:tcW w:w="1833" w:type="dxa"/>
            <w:shd w:val="clear" w:color="auto" w:fill="auto"/>
            <w:vAlign w:val="center"/>
          </w:tcPr>
          <w:p w14:paraId="168E6784" w14:textId="77777777" w:rsidR="0087777A" w:rsidRPr="00FC64BF" w:rsidRDefault="0087777A" w:rsidP="00D36147">
            <w:pPr>
              <w:spacing w:line="276" w:lineRule="auto"/>
              <w:jc w:val="center"/>
              <w:rPr>
                <w:rFonts w:cs="Times New Roman"/>
                <w:b/>
                <w:sz w:val="18"/>
                <w:szCs w:val="18"/>
              </w:rPr>
            </w:pPr>
            <w:r w:rsidRPr="00FC64BF">
              <w:rPr>
                <w:rFonts w:cs="Times New Roman"/>
                <w:sz w:val="18"/>
                <w:szCs w:val="18"/>
              </w:rPr>
              <w:t>0,00</w:t>
            </w:r>
          </w:p>
        </w:tc>
      </w:tr>
      <w:tr w:rsidR="005E09F2" w:rsidRPr="005E09F2" w14:paraId="2B8461E8" w14:textId="77777777" w:rsidTr="00CA40F2">
        <w:trPr>
          <w:trHeight w:val="366"/>
        </w:trPr>
        <w:tc>
          <w:tcPr>
            <w:tcW w:w="2830" w:type="dxa"/>
            <w:shd w:val="clear" w:color="auto" w:fill="F2F2F2" w:themeFill="background1" w:themeFillShade="F2"/>
            <w:vAlign w:val="center"/>
          </w:tcPr>
          <w:p w14:paraId="7C0838F8" w14:textId="069F67FD" w:rsidR="0087777A" w:rsidRPr="00FC64BF" w:rsidRDefault="0087777A" w:rsidP="004A3B23">
            <w:pPr>
              <w:spacing w:line="276" w:lineRule="auto"/>
              <w:rPr>
                <w:rFonts w:cs="Times New Roman"/>
                <w:sz w:val="18"/>
                <w:szCs w:val="18"/>
              </w:rPr>
            </w:pPr>
            <w:r w:rsidRPr="00FC64BF">
              <w:rPr>
                <w:rFonts w:cs="Times New Roman"/>
                <w:sz w:val="18"/>
                <w:szCs w:val="18"/>
              </w:rPr>
              <w:t xml:space="preserve">ROK PROVEDBE AKTIVNOSTI </w:t>
            </w:r>
          </w:p>
        </w:tc>
        <w:tc>
          <w:tcPr>
            <w:tcW w:w="6232" w:type="dxa"/>
            <w:gridSpan w:val="3"/>
            <w:vAlign w:val="center"/>
          </w:tcPr>
          <w:p w14:paraId="627E8A16" w14:textId="707E110B" w:rsidR="0087777A" w:rsidRPr="00FC64BF" w:rsidRDefault="00E1705B">
            <w:pPr>
              <w:spacing w:line="276" w:lineRule="auto"/>
              <w:rPr>
                <w:rFonts w:cs="Times New Roman"/>
                <w:sz w:val="18"/>
                <w:szCs w:val="18"/>
              </w:rPr>
            </w:pPr>
            <w:r>
              <w:rPr>
                <w:rFonts w:eastAsia="Calibri" w:cs="Times New Roman"/>
                <w:sz w:val="18"/>
                <w:szCs w:val="18"/>
              </w:rPr>
              <w:t>IV- kvartal 2025.</w:t>
            </w:r>
          </w:p>
        </w:tc>
      </w:tr>
    </w:tbl>
    <w:p w14:paraId="6154126A" w14:textId="77777777" w:rsidR="00C30AE0" w:rsidRDefault="00C30AE0" w:rsidP="004A3B23">
      <w:pPr>
        <w:spacing w:after="0" w:line="276" w:lineRule="auto"/>
        <w:jc w:val="both"/>
        <w:rPr>
          <w:rFonts w:cs="Times New Roman"/>
          <w:i/>
          <w:iCs/>
          <w:szCs w:val="24"/>
        </w:rPr>
      </w:pPr>
      <w:bookmarkStart w:id="21" w:name="_Hlk164151668"/>
      <w:bookmarkEnd w:id="20"/>
    </w:p>
    <w:p w14:paraId="139E8211" w14:textId="77777777" w:rsidR="00B76094" w:rsidRPr="00441179" w:rsidRDefault="00B76094" w:rsidP="004A3B23">
      <w:pPr>
        <w:spacing w:after="0" w:line="276" w:lineRule="auto"/>
        <w:jc w:val="both"/>
        <w:rPr>
          <w:rFonts w:cs="Times New Roman"/>
          <w:i/>
          <w:iCs/>
          <w:szCs w:val="24"/>
        </w:rPr>
      </w:pPr>
    </w:p>
    <w:p w14:paraId="19370AB0" w14:textId="020242A5" w:rsidR="004757A6" w:rsidRPr="00441179" w:rsidRDefault="004757A6" w:rsidP="004A3B23">
      <w:pPr>
        <w:spacing w:after="0" w:line="276" w:lineRule="auto"/>
        <w:jc w:val="both"/>
        <w:rPr>
          <w:rFonts w:cs="Times New Roman"/>
          <w:i/>
          <w:iCs/>
          <w:szCs w:val="24"/>
        </w:rPr>
      </w:pPr>
      <w:r w:rsidRPr="00441179">
        <w:rPr>
          <w:rFonts w:cs="Times New Roman"/>
          <w:i/>
          <w:iCs/>
          <w:szCs w:val="24"/>
        </w:rPr>
        <w:t>Aktivnost 1.1.5. Jačanje i promicanje sigurnosti u zajednici</w:t>
      </w:r>
    </w:p>
    <w:p w14:paraId="07341347" w14:textId="283BA280" w:rsidR="0087777A" w:rsidRPr="00441179" w:rsidRDefault="004757A6" w:rsidP="00AB12E9">
      <w:pPr>
        <w:spacing w:after="0" w:line="276" w:lineRule="auto"/>
        <w:jc w:val="both"/>
        <w:rPr>
          <w:rFonts w:eastAsia="Yu Gothic" w:cs="Times New Roman"/>
          <w:b/>
          <w:szCs w:val="20"/>
          <w:lang w:eastAsia="hr-HR"/>
        </w:rPr>
      </w:pPr>
      <w:r w:rsidRPr="00441179">
        <w:rPr>
          <w:rFonts w:cs="Times New Roman"/>
          <w:i/>
          <w:iCs/>
          <w:szCs w:val="24"/>
        </w:rPr>
        <w:t>Nositelj provedbe: Ministarstvo unutarnjih poslova</w:t>
      </w:r>
      <w:r w:rsidRPr="00441179">
        <w:rPr>
          <w:rFonts w:eastAsia="Yu Gothic" w:cs="Times New Roman"/>
          <w:b/>
          <w:szCs w:val="20"/>
          <w:lang w:eastAsia="hr-HR"/>
        </w:rPr>
        <w:t xml:space="preserve"> </w:t>
      </w:r>
    </w:p>
    <w:p w14:paraId="12D5E065" w14:textId="3150D4BD" w:rsidR="00947259" w:rsidRPr="00441179" w:rsidRDefault="00947259" w:rsidP="00AB12E9">
      <w:pPr>
        <w:spacing w:after="0" w:line="276" w:lineRule="auto"/>
        <w:jc w:val="both"/>
        <w:rPr>
          <w:rFonts w:eastAsia="Calibri" w:cs="Times New Roman"/>
          <w:i/>
          <w:szCs w:val="20"/>
          <w:lang w:eastAsia="hr-HR"/>
        </w:rPr>
      </w:pPr>
      <w:r w:rsidRPr="00441179">
        <w:rPr>
          <w:rFonts w:eastAsia="Yu Gothic" w:cs="Times New Roman"/>
          <w:i/>
          <w:szCs w:val="20"/>
          <w:lang w:eastAsia="hr-HR"/>
        </w:rPr>
        <w:t xml:space="preserve">Partneri: </w:t>
      </w:r>
      <w:r w:rsidR="00026107">
        <w:rPr>
          <w:rFonts w:cs="Times New Roman"/>
        </w:rPr>
        <w:t>JLP(R)S</w:t>
      </w:r>
      <w:r w:rsidRPr="00441179">
        <w:rPr>
          <w:rFonts w:eastAsia="Yu Gothic" w:cs="Times New Roman"/>
          <w:i/>
          <w:szCs w:val="20"/>
          <w:lang w:eastAsia="hr-HR"/>
        </w:rPr>
        <w:t>, organizacije civilnog društva</w:t>
      </w:r>
    </w:p>
    <w:p w14:paraId="525C2610" w14:textId="33B8E3E1" w:rsidR="0087777A" w:rsidRPr="00441179" w:rsidRDefault="0087777A" w:rsidP="00D36147">
      <w:pPr>
        <w:spacing w:after="0" w:line="276" w:lineRule="auto"/>
        <w:jc w:val="both"/>
        <w:rPr>
          <w:rFonts w:eastAsia="Calibri" w:cs="Times New Roman"/>
          <w:szCs w:val="20"/>
          <w:lang w:eastAsia="hr-HR"/>
        </w:rPr>
      </w:pPr>
    </w:p>
    <w:p w14:paraId="2B4C1003" w14:textId="43FE16E4" w:rsidR="00D50EA6" w:rsidRPr="0099503D" w:rsidRDefault="00025132" w:rsidP="00FC64BF">
      <w:pPr>
        <w:spacing w:after="0" w:line="276" w:lineRule="auto"/>
        <w:jc w:val="both"/>
        <w:rPr>
          <w:rFonts w:ascii="Arial" w:hAnsi="Arial" w:cs="Arial"/>
          <w:sz w:val="22"/>
          <w:highlight w:val="green"/>
        </w:rPr>
      </w:pPr>
      <w:r w:rsidRPr="00441179">
        <w:rPr>
          <w:rFonts w:eastAsia="Calibri" w:cs="Times New Roman"/>
          <w:szCs w:val="20"/>
          <w:lang w:eastAsia="hr-HR"/>
        </w:rPr>
        <w:t>Projekt „Zajedno protiv govora mržnje“</w:t>
      </w:r>
      <w:r w:rsidR="00EF4427">
        <w:rPr>
          <w:rFonts w:eastAsia="Calibri" w:cs="Times New Roman"/>
          <w:szCs w:val="20"/>
          <w:lang w:eastAsia="hr-HR"/>
        </w:rPr>
        <w:t xml:space="preserve"> </w:t>
      </w:r>
      <w:r w:rsidRPr="00441179">
        <w:rPr>
          <w:rFonts w:eastAsia="Calibri" w:cs="Times New Roman"/>
          <w:szCs w:val="20"/>
          <w:lang w:eastAsia="hr-HR"/>
        </w:rPr>
        <w:t>–</w:t>
      </w:r>
      <w:r w:rsidR="00EF4427">
        <w:rPr>
          <w:rFonts w:eastAsia="Calibri" w:cs="Times New Roman"/>
          <w:szCs w:val="20"/>
          <w:lang w:eastAsia="hr-HR"/>
        </w:rPr>
        <w:t xml:space="preserve"> </w:t>
      </w:r>
      <w:r w:rsidRPr="00441179">
        <w:rPr>
          <w:rFonts w:eastAsia="Calibri" w:cs="Times New Roman"/>
          <w:szCs w:val="20"/>
          <w:lang w:eastAsia="hr-HR"/>
        </w:rPr>
        <w:t xml:space="preserve">Ravnateljstvo </w:t>
      </w:r>
      <w:r w:rsidRPr="00FC64BF">
        <w:rPr>
          <w:rFonts w:eastAsia="Calibri" w:cs="Times New Roman"/>
          <w:szCs w:val="20"/>
          <w:lang w:eastAsia="hr-HR"/>
        </w:rPr>
        <w:t xml:space="preserve">policije provodi u suradnji drugim nadležnim državnim institucijama, </w:t>
      </w:r>
      <w:r w:rsidR="00026107">
        <w:rPr>
          <w:rFonts w:cs="Times New Roman"/>
        </w:rPr>
        <w:t>JLP(R)S</w:t>
      </w:r>
      <w:r w:rsidRPr="00FC64BF">
        <w:rPr>
          <w:rFonts w:eastAsia="Calibri" w:cs="Times New Roman"/>
          <w:szCs w:val="20"/>
          <w:lang w:eastAsia="hr-HR"/>
        </w:rPr>
        <w:t xml:space="preserve">, sveučilišnom i znanstvenom zajednicom, </w:t>
      </w:r>
      <w:r w:rsidRPr="00FC64BF">
        <w:rPr>
          <w:rFonts w:eastAsia="Calibri" w:cs="Times New Roman"/>
          <w:szCs w:val="20"/>
          <w:lang w:eastAsia="hr-HR"/>
        </w:rPr>
        <w:lastRenderedPageBreak/>
        <w:t>sportskim organizacijama, klubovima i udrugama, relevantnim organizacijama civilnog društva, medijima, odgojno-obrazovnim ustanovama, sportašima, glazbenicima, umjetnicima i drugim istaknutim članovima društvene zajednice. Cilj ovog</w:t>
      </w:r>
      <w:r w:rsidR="00EF4427">
        <w:rPr>
          <w:rFonts w:eastAsia="Calibri" w:cs="Times New Roman"/>
          <w:szCs w:val="20"/>
          <w:lang w:eastAsia="hr-HR"/>
        </w:rPr>
        <w:t>a</w:t>
      </w:r>
      <w:r w:rsidRPr="00FC64BF">
        <w:rPr>
          <w:rFonts w:eastAsia="Calibri" w:cs="Times New Roman"/>
          <w:szCs w:val="20"/>
          <w:lang w:eastAsia="hr-HR"/>
        </w:rPr>
        <w:t xml:space="preserve"> Projekta je da se kroz različite preventivne aktivnosti uz zajedničko sudjelovanje društveno angažiranih osoba javno putem medija upute prigodne poruke javnosti s ciljem sprječavanja svih oblika govora mržnje uz promicanje pozitivnih stilova života, nenasilja, međusobne tolerancije i kulture dijaloga te sprječavanja nasilja u obitelji i nasilja nad ženama</w:t>
      </w:r>
      <w:r>
        <w:rPr>
          <w:rFonts w:eastAsia="Calibri" w:cs="Times New Roman"/>
          <w:szCs w:val="20"/>
          <w:lang w:eastAsia="hr-HR"/>
        </w:rPr>
        <w:t>.</w:t>
      </w:r>
    </w:p>
    <w:p w14:paraId="698ABBD9" w14:textId="77777777" w:rsidR="00457894" w:rsidRPr="00FC64BF" w:rsidRDefault="00457894" w:rsidP="00D36147">
      <w:pPr>
        <w:spacing w:after="0" w:line="276" w:lineRule="auto"/>
        <w:jc w:val="both"/>
        <w:rPr>
          <w:rFonts w:eastAsia="Calibri" w:cs="Times New Roman"/>
          <w:szCs w:val="20"/>
          <w:lang w:eastAsia="hr-HR"/>
        </w:rPr>
      </w:pPr>
    </w:p>
    <w:tbl>
      <w:tblPr>
        <w:tblStyle w:val="TableGrid"/>
        <w:tblW w:w="5000" w:type="pct"/>
        <w:tblLayout w:type="fixed"/>
        <w:tblLook w:val="04A0" w:firstRow="1" w:lastRow="0" w:firstColumn="1" w:lastColumn="0" w:noHBand="0" w:noVBand="1"/>
      </w:tblPr>
      <w:tblGrid>
        <w:gridCol w:w="2546"/>
        <w:gridCol w:w="3261"/>
        <w:gridCol w:w="1702"/>
        <w:gridCol w:w="1553"/>
      </w:tblGrid>
      <w:tr w:rsidR="00CE622A" w:rsidRPr="00510415" w14:paraId="299290DB" w14:textId="77777777" w:rsidTr="00A42BAD">
        <w:tc>
          <w:tcPr>
            <w:tcW w:w="1405" w:type="pct"/>
            <w:shd w:val="clear" w:color="auto" w:fill="F2F2F2" w:themeFill="background1" w:themeFillShade="F2"/>
            <w:vAlign w:val="center"/>
          </w:tcPr>
          <w:p w14:paraId="576DCBEC" w14:textId="77777777" w:rsidR="0087777A" w:rsidRPr="00FC64BF" w:rsidRDefault="0087777A" w:rsidP="00D36147">
            <w:pPr>
              <w:spacing w:line="276" w:lineRule="auto"/>
              <w:rPr>
                <w:rFonts w:cs="Times New Roman"/>
                <w:b/>
                <w:sz w:val="18"/>
                <w:szCs w:val="18"/>
              </w:rPr>
            </w:pPr>
            <w:bookmarkStart w:id="22" w:name="_Hlk164151823"/>
            <w:bookmarkEnd w:id="21"/>
            <w:r w:rsidRPr="00FC64BF">
              <w:rPr>
                <w:rFonts w:cs="Times New Roman"/>
                <w:b/>
                <w:sz w:val="18"/>
                <w:szCs w:val="18"/>
              </w:rPr>
              <w:t>Pokazatelji provedbe i pokazatelji uspješnosti provedbe</w:t>
            </w:r>
          </w:p>
        </w:tc>
        <w:tc>
          <w:tcPr>
            <w:tcW w:w="1799" w:type="pct"/>
            <w:shd w:val="clear" w:color="auto" w:fill="F2F2F2" w:themeFill="background1" w:themeFillShade="F2"/>
            <w:vAlign w:val="center"/>
          </w:tcPr>
          <w:p w14:paraId="2A34F4C7" w14:textId="7041A42D" w:rsidR="0087777A" w:rsidRPr="00FC64BF" w:rsidRDefault="00A67259" w:rsidP="007A3A9B">
            <w:pPr>
              <w:spacing w:line="276" w:lineRule="auto"/>
              <w:jc w:val="center"/>
              <w:rPr>
                <w:rFonts w:cs="Times New Roman"/>
                <w:b/>
                <w:sz w:val="18"/>
                <w:szCs w:val="18"/>
              </w:rPr>
            </w:pPr>
            <w:r w:rsidRPr="00FC64BF">
              <w:rPr>
                <w:rFonts w:cs="Times New Roman"/>
                <w:b/>
                <w:sz w:val="18"/>
                <w:szCs w:val="18"/>
              </w:rPr>
              <w:t xml:space="preserve">Broj </w:t>
            </w:r>
            <w:r w:rsidR="00A9289F">
              <w:rPr>
                <w:rFonts w:cs="Times New Roman"/>
                <w:b/>
                <w:sz w:val="18"/>
                <w:szCs w:val="18"/>
              </w:rPr>
              <w:t>događanja</w:t>
            </w:r>
          </w:p>
        </w:tc>
        <w:tc>
          <w:tcPr>
            <w:tcW w:w="939" w:type="pct"/>
            <w:shd w:val="clear" w:color="auto" w:fill="F2F2F2" w:themeFill="background1" w:themeFillShade="F2"/>
            <w:vAlign w:val="center"/>
          </w:tcPr>
          <w:p w14:paraId="1387BFEB" w14:textId="779369DC" w:rsidR="0087777A" w:rsidRPr="00FC64BF" w:rsidRDefault="00A9289F" w:rsidP="00D36147">
            <w:pPr>
              <w:spacing w:line="276" w:lineRule="auto"/>
              <w:jc w:val="center"/>
              <w:rPr>
                <w:rFonts w:cs="Times New Roman"/>
                <w:b/>
                <w:sz w:val="18"/>
                <w:szCs w:val="18"/>
              </w:rPr>
            </w:pPr>
            <w:r>
              <w:rPr>
                <w:rFonts w:cs="Times New Roman"/>
                <w:b/>
                <w:sz w:val="18"/>
                <w:szCs w:val="18"/>
              </w:rPr>
              <w:t>Broj sudionika</w:t>
            </w:r>
          </w:p>
        </w:tc>
        <w:tc>
          <w:tcPr>
            <w:tcW w:w="857" w:type="pct"/>
            <w:shd w:val="clear" w:color="auto" w:fill="F2F2F2" w:themeFill="background1" w:themeFillShade="F2"/>
            <w:vAlign w:val="center"/>
          </w:tcPr>
          <w:p w14:paraId="59DA5F9B" w14:textId="2CA30290" w:rsidR="0087777A" w:rsidRPr="00FC64BF" w:rsidRDefault="00A9289F" w:rsidP="00D36147">
            <w:pPr>
              <w:spacing w:line="276" w:lineRule="auto"/>
              <w:jc w:val="center"/>
              <w:rPr>
                <w:rFonts w:cs="Times New Roman"/>
                <w:b/>
                <w:sz w:val="18"/>
                <w:szCs w:val="18"/>
              </w:rPr>
            </w:pPr>
            <w:r>
              <w:rPr>
                <w:rFonts w:cs="Times New Roman"/>
                <w:b/>
                <w:sz w:val="18"/>
                <w:szCs w:val="18"/>
              </w:rPr>
              <w:t>Broj medijskih objava</w:t>
            </w:r>
          </w:p>
        </w:tc>
      </w:tr>
      <w:tr w:rsidR="00CE622A" w:rsidRPr="00510415" w14:paraId="0F9E40F0" w14:textId="77777777" w:rsidTr="00A42BAD">
        <w:tc>
          <w:tcPr>
            <w:tcW w:w="1405" w:type="pct"/>
            <w:shd w:val="clear" w:color="auto" w:fill="F2F2F2" w:themeFill="background1" w:themeFillShade="F2"/>
            <w:vAlign w:val="center"/>
          </w:tcPr>
          <w:p w14:paraId="76CBE956" w14:textId="218EC3F2" w:rsidR="0087777A" w:rsidRPr="00FC64BF" w:rsidRDefault="0087777A" w:rsidP="006F69FB">
            <w:pPr>
              <w:spacing w:line="276" w:lineRule="auto"/>
              <w:rPr>
                <w:rFonts w:cs="Times New Roman"/>
                <w:sz w:val="18"/>
                <w:szCs w:val="18"/>
              </w:rPr>
            </w:pPr>
            <w:r w:rsidRPr="00FC64BF">
              <w:rPr>
                <w:rFonts w:cs="Times New Roman"/>
                <w:sz w:val="18"/>
                <w:szCs w:val="18"/>
              </w:rPr>
              <w:t>Planirani ishodi za pokazatelje provedbe u 202</w:t>
            </w:r>
            <w:r w:rsidR="00510415" w:rsidRPr="00FC64BF">
              <w:rPr>
                <w:rFonts w:cs="Times New Roman"/>
                <w:sz w:val="18"/>
                <w:szCs w:val="18"/>
              </w:rPr>
              <w:t>4</w:t>
            </w:r>
            <w:r w:rsidRPr="00FC64BF">
              <w:rPr>
                <w:rFonts w:cs="Times New Roman"/>
                <w:sz w:val="18"/>
                <w:szCs w:val="18"/>
              </w:rPr>
              <w:t xml:space="preserve">. </w:t>
            </w:r>
          </w:p>
        </w:tc>
        <w:tc>
          <w:tcPr>
            <w:tcW w:w="1799" w:type="pct"/>
            <w:vAlign w:val="center"/>
          </w:tcPr>
          <w:p w14:paraId="07C388E6" w14:textId="03499444" w:rsidR="0087777A" w:rsidRPr="00FC64BF" w:rsidRDefault="00510415">
            <w:pPr>
              <w:overflowPunct w:val="0"/>
              <w:autoSpaceDE w:val="0"/>
              <w:autoSpaceDN w:val="0"/>
              <w:adjustRightInd w:val="0"/>
              <w:spacing w:line="276" w:lineRule="auto"/>
              <w:jc w:val="center"/>
              <w:textAlignment w:val="baseline"/>
              <w:rPr>
                <w:rFonts w:cs="Times New Roman"/>
                <w:sz w:val="18"/>
                <w:szCs w:val="18"/>
              </w:rPr>
            </w:pPr>
            <w:r w:rsidRPr="00FC64BF">
              <w:rPr>
                <w:rFonts w:cs="Times New Roman"/>
                <w:sz w:val="18"/>
                <w:szCs w:val="18"/>
              </w:rPr>
              <w:t>5</w:t>
            </w:r>
          </w:p>
        </w:tc>
        <w:tc>
          <w:tcPr>
            <w:tcW w:w="939" w:type="pct"/>
            <w:vAlign w:val="center"/>
          </w:tcPr>
          <w:p w14:paraId="73678E62" w14:textId="38C99B5E" w:rsidR="0087777A" w:rsidRPr="00FC64BF" w:rsidRDefault="00510415" w:rsidP="00D36147">
            <w:pPr>
              <w:spacing w:line="276" w:lineRule="auto"/>
              <w:jc w:val="center"/>
              <w:rPr>
                <w:rFonts w:cs="Times New Roman"/>
                <w:sz w:val="18"/>
                <w:szCs w:val="18"/>
              </w:rPr>
            </w:pPr>
            <w:r w:rsidRPr="00FC64BF">
              <w:rPr>
                <w:rFonts w:cs="Times New Roman"/>
                <w:sz w:val="18"/>
                <w:szCs w:val="18"/>
              </w:rPr>
              <w:t>1000</w:t>
            </w:r>
          </w:p>
        </w:tc>
        <w:tc>
          <w:tcPr>
            <w:tcW w:w="857" w:type="pct"/>
            <w:vAlign w:val="center"/>
          </w:tcPr>
          <w:p w14:paraId="66CE3398" w14:textId="214436FB" w:rsidR="0087777A" w:rsidRPr="00FC64BF" w:rsidRDefault="00A9289F" w:rsidP="00A87AC2">
            <w:pPr>
              <w:spacing w:line="276" w:lineRule="auto"/>
              <w:jc w:val="center"/>
              <w:rPr>
                <w:rFonts w:cs="Times New Roman"/>
                <w:sz w:val="18"/>
                <w:szCs w:val="18"/>
              </w:rPr>
            </w:pPr>
            <w:r>
              <w:rPr>
                <w:rFonts w:cs="Times New Roman"/>
                <w:sz w:val="18"/>
                <w:szCs w:val="18"/>
              </w:rPr>
              <w:t>5</w:t>
            </w:r>
          </w:p>
        </w:tc>
      </w:tr>
      <w:tr w:rsidR="00CE622A" w:rsidRPr="00510415" w14:paraId="6602D3D4" w14:textId="77777777" w:rsidTr="00A42BAD">
        <w:tc>
          <w:tcPr>
            <w:tcW w:w="1405" w:type="pct"/>
            <w:shd w:val="clear" w:color="auto" w:fill="F2F2F2" w:themeFill="background1" w:themeFillShade="F2"/>
            <w:vAlign w:val="center"/>
          </w:tcPr>
          <w:p w14:paraId="452DEE2F" w14:textId="7CFFDE7F" w:rsidR="0087777A" w:rsidRPr="00FC64BF" w:rsidRDefault="0087777A" w:rsidP="006F69FB">
            <w:pPr>
              <w:spacing w:line="276" w:lineRule="auto"/>
              <w:rPr>
                <w:rFonts w:cs="Times New Roman"/>
                <w:sz w:val="18"/>
                <w:szCs w:val="18"/>
              </w:rPr>
            </w:pPr>
            <w:r w:rsidRPr="00FC64BF">
              <w:rPr>
                <w:rFonts w:cs="Times New Roman"/>
                <w:sz w:val="18"/>
                <w:szCs w:val="18"/>
              </w:rPr>
              <w:t>Ostvareni ishodi za pokazatelje provedbe u 202</w:t>
            </w:r>
            <w:r w:rsidR="00510415" w:rsidRPr="00FC64BF">
              <w:rPr>
                <w:rFonts w:cs="Times New Roman"/>
                <w:sz w:val="18"/>
                <w:szCs w:val="18"/>
              </w:rPr>
              <w:t>4</w:t>
            </w:r>
            <w:r w:rsidRPr="00FC64BF">
              <w:rPr>
                <w:rFonts w:cs="Times New Roman"/>
                <w:sz w:val="18"/>
                <w:szCs w:val="18"/>
              </w:rPr>
              <w:t xml:space="preserve">. </w:t>
            </w:r>
          </w:p>
        </w:tc>
        <w:tc>
          <w:tcPr>
            <w:tcW w:w="1799" w:type="pct"/>
            <w:vAlign w:val="center"/>
          </w:tcPr>
          <w:p w14:paraId="0E17675B" w14:textId="28974958" w:rsidR="0087777A" w:rsidRPr="00FC64BF" w:rsidRDefault="00510415" w:rsidP="00EF4427">
            <w:pPr>
              <w:pStyle w:val="ListParagraph"/>
              <w:spacing w:line="276" w:lineRule="auto"/>
              <w:ind w:hanging="690"/>
              <w:jc w:val="center"/>
            </w:pPr>
            <w:r w:rsidRPr="00FC64BF">
              <w:rPr>
                <w:sz w:val="18"/>
                <w:szCs w:val="18"/>
              </w:rPr>
              <w:t>301</w:t>
            </w:r>
          </w:p>
        </w:tc>
        <w:tc>
          <w:tcPr>
            <w:tcW w:w="939" w:type="pct"/>
            <w:vAlign w:val="center"/>
          </w:tcPr>
          <w:p w14:paraId="32E4BF36" w14:textId="1046EE5A" w:rsidR="0087777A" w:rsidRPr="00FC64BF" w:rsidRDefault="00510415" w:rsidP="00D36147">
            <w:pPr>
              <w:spacing w:line="276" w:lineRule="auto"/>
              <w:jc w:val="center"/>
              <w:rPr>
                <w:rFonts w:cs="Times New Roman"/>
                <w:sz w:val="18"/>
                <w:szCs w:val="18"/>
              </w:rPr>
            </w:pPr>
            <w:r w:rsidRPr="00FC64BF">
              <w:rPr>
                <w:rFonts w:cs="Times New Roman"/>
                <w:sz w:val="18"/>
                <w:szCs w:val="18"/>
              </w:rPr>
              <w:t>54 458</w:t>
            </w:r>
          </w:p>
        </w:tc>
        <w:tc>
          <w:tcPr>
            <w:tcW w:w="857" w:type="pct"/>
            <w:vAlign w:val="center"/>
          </w:tcPr>
          <w:p w14:paraId="0C885A74" w14:textId="7701357E" w:rsidR="0087777A" w:rsidRPr="00FC64BF" w:rsidRDefault="00A9289F" w:rsidP="00D36147">
            <w:pPr>
              <w:spacing w:line="276" w:lineRule="auto"/>
              <w:jc w:val="center"/>
              <w:rPr>
                <w:rFonts w:cs="Times New Roman"/>
                <w:sz w:val="18"/>
                <w:szCs w:val="18"/>
              </w:rPr>
            </w:pPr>
            <w:r>
              <w:rPr>
                <w:rFonts w:cs="Times New Roman"/>
                <w:sz w:val="18"/>
                <w:szCs w:val="18"/>
              </w:rPr>
              <w:t>18</w:t>
            </w:r>
          </w:p>
        </w:tc>
      </w:tr>
      <w:tr w:rsidR="00CE622A" w:rsidRPr="00510415" w14:paraId="3D076407" w14:textId="77777777" w:rsidTr="00A42BAD">
        <w:tc>
          <w:tcPr>
            <w:tcW w:w="1405" w:type="pct"/>
            <w:shd w:val="clear" w:color="auto" w:fill="F2F2F2" w:themeFill="background1" w:themeFillShade="F2"/>
            <w:vAlign w:val="center"/>
          </w:tcPr>
          <w:p w14:paraId="158554FE" w14:textId="77777777" w:rsidR="0087777A" w:rsidRPr="00FC64BF" w:rsidRDefault="0087777A" w:rsidP="00D36147">
            <w:pPr>
              <w:spacing w:line="276" w:lineRule="auto"/>
              <w:rPr>
                <w:rFonts w:cs="Times New Roman"/>
                <w:b/>
                <w:sz w:val="18"/>
                <w:szCs w:val="18"/>
              </w:rPr>
            </w:pPr>
            <w:r w:rsidRPr="00FC64BF">
              <w:rPr>
                <w:rFonts w:cs="Times New Roman"/>
                <w:b/>
                <w:sz w:val="18"/>
                <w:szCs w:val="18"/>
              </w:rPr>
              <w:t xml:space="preserve">IZVORI FINANCIRANJA </w:t>
            </w:r>
          </w:p>
        </w:tc>
        <w:tc>
          <w:tcPr>
            <w:tcW w:w="1799" w:type="pct"/>
            <w:vAlign w:val="center"/>
          </w:tcPr>
          <w:p w14:paraId="371A5A1C"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Državni proračun (EUR)</w:t>
            </w:r>
          </w:p>
        </w:tc>
        <w:tc>
          <w:tcPr>
            <w:tcW w:w="939" w:type="pct"/>
            <w:vAlign w:val="center"/>
          </w:tcPr>
          <w:p w14:paraId="08FFA2BE"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EU financiranje (EUR)</w:t>
            </w:r>
          </w:p>
        </w:tc>
        <w:tc>
          <w:tcPr>
            <w:tcW w:w="857" w:type="pct"/>
            <w:vAlign w:val="center"/>
          </w:tcPr>
          <w:p w14:paraId="5212F9D6"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Drugi izvori (EUR)</w:t>
            </w:r>
          </w:p>
        </w:tc>
      </w:tr>
      <w:tr w:rsidR="00CE622A" w:rsidRPr="00510415" w14:paraId="44C99075" w14:textId="77777777" w:rsidTr="00A42BAD">
        <w:tc>
          <w:tcPr>
            <w:tcW w:w="1405" w:type="pct"/>
            <w:shd w:val="clear" w:color="auto" w:fill="F2F2F2" w:themeFill="background1" w:themeFillShade="F2"/>
            <w:vAlign w:val="center"/>
          </w:tcPr>
          <w:p w14:paraId="5F953FDA" w14:textId="7F07A831" w:rsidR="0087777A" w:rsidRPr="00FC64BF" w:rsidRDefault="0087777A" w:rsidP="006F69FB">
            <w:pPr>
              <w:spacing w:line="276" w:lineRule="auto"/>
              <w:rPr>
                <w:rFonts w:cs="Times New Roman"/>
                <w:sz w:val="18"/>
                <w:szCs w:val="18"/>
              </w:rPr>
            </w:pPr>
            <w:r w:rsidRPr="00FC64BF">
              <w:rPr>
                <w:rFonts w:cs="Times New Roman"/>
                <w:sz w:val="18"/>
                <w:szCs w:val="18"/>
              </w:rPr>
              <w:t>Izvori financiranja u 202</w:t>
            </w:r>
            <w:r w:rsidR="00510415" w:rsidRPr="00FC64BF">
              <w:rPr>
                <w:rFonts w:cs="Times New Roman"/>
                <w:sz w:val="18"/>
                <w:szCs w:val="18"/>
              </w:rPr>
              <w:t>4</w:t>
            </w:r>
            <w:r w:rsidRPr="00FC64BF">
              <w:rPr>
                <w:rFonts w:cs="Times New Roman"/>
                <w:sz w:val="18"/>
                <w:szCs w:val="18"/>
              </w:rPr>
              <w:t>. (proračunska pozicija i predviđeni iznos sredstava)</w:t>
            </w:r>
          </w:p>
        </w:tc>
        <w:tc>
          <w:tcPr>
            <w:tcW w:w="1799" w:type="pct"/>
            <w:vAlign w:val="center"/>
          </w:tcPr>
          <w:p w14:paraId="1C18902F" w14:textId="77777777" w:rsidR="0087777A" w:rsidRPr="00FC64BF" w:rsidRDefault="0087777A" w:rsidP="00D36147">
            <w:pPr>
              <w:spacing w:line="276" w:lineRule="auto"/>
              <w:jc w:val="center"/>
              <w:rPr>
                <w:rFonts w:eastAsia="Calibri" w:cs="Times New Roman"/>
                <w:sz w:val="18"/>
                <w:szCs w:val="18"/>
              </w:rPr>
            </w:pPr>
            <w:r w:rsidRPr="00FC64BF">
              <w:rPr>
                <w:rFonts w:eastAsia="Calibri" w:cs="Times New Roman"/>
                <w:sz w:val="18"/>
                <w:szCs w:val="18"/>
              </w:rPr>
              <w:t xml:space="preserve">A553131 </w:t>
            </w:r>
            <w:r w:rsidR="005612A7" w:rsidRPr="00FC64BF">
              <w:rPr>
                <w:rFonts w:eastAsia="Calibri" w:cs="Times New Roman"/>
                <w:sz w:val="18"/>
                <w:szCs w:val="18"/>
              </w:rPr>
              <w:t xml:space="preserve">- </w:t>
            </w:r>
            <w:r w:rsidRPr="00FC64BF">
              <w:rPr>
                <w:rFonts w:eastAsia="Calibri" w:cs="Times New Roman"/>
                <w:sz w:val="18"/>
                <w:szCs w:val="18"/>
              </w:rPr>
              <w:t>Administracija i upravljanje</w:t>
            </w:r>
          </w:p>
          <w:p w14:paraId="7BBF69D4" w14:textId="068FEFE6" w:rsidR="00D655F0" w:rsidRPr="00FC64BF" w:rsidRDefault="00D655F0" w:rsidP="00D36147">
            <w:pPr>
              <w:spacing w:line="276" w:lineRule="auto"/>
              <w:jc w:val="center"/>
              <w:rPr>
                <w:rFonts w:cs="Times New Roman"/>
                <w:sz w:val="18"/>
                <w:szCs w:val="18"/>
              </w:rPr>
            </w:pPr>
            <w:r w:rsidRPr="00FC64BF">
              <w:rPr>
                <w:rFonts w:cs="Times New Roman"/>
                <w:sz w:val="18"/>
                <w:szCs w:val="18"/>
              </w:rPr>
              <w:t>0,00</w:t>
            </w:r>
          </w:p>
        </w:tc>
        <w:tc>
          <w:tcPr>
            <w:tcW w:w="939" w:type="pct"/>
            <w:vAlign w:val="center"/>
          </w:tcPr>
          <w:p w14:paraId="794BEFD6" w14:textId="77777777" w:rsidR="0087777A" w:rsidRPr="00FC64BF" w:rsidRDefault="0087777A" w:rsidP="00D36147">
            <w:pPr>
              <w:spacing w:line="276" w:lineRule="auto"/>
              <w:jc w:val="center"/>
              <w:rPr>
                <w:rFonts w:cs="Times New Roman"/>
                <w:sz w:val="18"/>
                <w:szCs w:val="18"/>
              </w:rPr>
            </w:pPr>
            <w:r w:rsidRPr="00FC64BF">
              <w:rPr>
                <w:rFonts w:cs="Times New Roman"/>
                <w:sz w:val="18"/>
                <w:szCs w:val="18"/>
              </w:rPr>
              <w:t>0,00</w:t>
            </w:r>
          </w:p>
        </w:tc>
        <w:tc>
          <w:tcPr>
            <w:tcW w:w="857" w:type="pct"/>
            <w:vAlign w:val="center"/>
          </w:tcPr>
          <w:p w14:paraId="713CCE77" w14:textId="77777777" w:rsidR="0087777A" w:rsidRPr="00FC64BF" w:rsidRDefault="0087777A" w:rsidP="00D36147">
            <w:pPr>
              <w:spacing w:line="276" w:lineRule="auto"/>
              <w:jc w:val="center"/>
              <w:rPr>
                <w:rFonts w:cs="Times New Roman"/>
                <w:sz w:val="18"/>
                <w:szCs w:val="18"/>
              </w:rPr>
            </w:pPr>
            <w:r w:rsidRPr="00FC64BF">
              <w:rPr>
                <w:rFonts w:cs="Times New Roman"/>
                <w:sz w:val="18"/>
                <w:szCs w:val="18"/>
              </w:rPr>
              <w:t>0,00</w:t>
            </w:r>
          </w:p>
        </w:tc>
      </w:tr>
      <w:tr w:rsidR="00CE622A" w:rsidRPr="00510415" w14:paraId="1139EFD2" w14:textId="77777777" w:rsidTr="00A42BAD">
        <w:tc>
          <w:tcPr>
            <w:tcW w:w="1405" w:type="pct"/>
            <w:vMerge w:val="restart"/>
            <w:shd w:val="clear" w:color="auto" w:fill="F2F2F2" w:themeFill="background1" w:themeFillShade="F2"/>
            <w:vAlign w:val="center"/>
          </w:tcPr>
          <w:p w14:paraId="03B7C1A2" w14:textId="77777777" w:rsidR="0087777A" w:rsidRPr="00FC64BF" w:rsidRDefault="0087777A" w:rsidP="00D36147">
            <w:pPr>
              <w:spacing w:line="276" w:lineRule="auto"/>
              <w:rPr>
                <w:rFonts w:cs="Times New Roman"/>
                <w:b/>
                <w:bCs/>
                <w:sz w:val="18"/>
                <w:szCs w:val="18"/>
              </w:rPr>
            </w:pPr>
            <w:r w:rsidRPr="00FC64BF">
              <w:rPr>
                <w:rFonts w:cs="Times New Roman"/>
                <w:b/>
                <w:bCs/>
                <w:sz w:val="18"/>
                <w:szCs w:val="18"/>
              </w:rPr>
              <w:t xml:space="preserve">UKUPNO UTROŠENA SREDSTVA PO IZVORU </w:t>
            </w:r>
          </w:p>
        </w:tc>
        <w:tc>
          <w:tcPr>
            <w:tcW w:w="1799" w:type="pct"/>
            <w:vAlign w:val="center"/>
          </w:tcPr>
          <w:p w14:paraId="3B8C1142"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Državni proračun (EUR)</w:t>
            </w:r>
          </w:p>
        </w:tc>
        <w:tc>
          <w:tcPr>
            <w:tcW w:w="939" w:type="pct"/>
            <w:vAlign w:val="center"/>
          </w:tcPr>
          <w:p w14:paraId="077EEDAB"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EU financiranje (EUR)</w:t>
            </w:r>
          </w:p>
        </w:tc>
        <w:tc>
          <w:tcPr>
            <w:tcW w:w="857" w:type="pct"/>
            <w:vAlign w:val="center"/>
          </w:tcPr>
          <w:p w14:paraId="2B7060AF" w14:textId="77777777" w:rsidR="0087777A" w:rsidRPr="00FC64BF" w:rsidRDefault="0087777A" w:rsidP="00D36147">
            <w:pPr>
              <w:spacing w:line="276" w:lineRule="auto"/>
              <w:jc w:val="center"/>
              <w:rPr>
                <w:rFonts w:cs="Times New Roman"/>
                <w:b/>
                <w:sz w:val="18"/>
                <w:szCs w:val="18"/>
              </w:rPr>
            </w:pPr>
            <w:r w:rsidRPr="00FC64BF">
              <w:rPr>
                <w:rFonts w:cs="Times New Roman"/>
                <w:b/>
                <w:sz w:val="18"/>
                <w:szCs w:val="18"/>
              </w:rPr>
              <w:t>Drugi izvori (EUR)</w:t>
            </w:r>
          </w:p>
        </w:tc>
      </w:tr>
      <w:tr w:rsidR="00CE622A" w:rsidRPr="00510415" w14:paraId="15EA0486" w14:textId="77777777" w:rsidTr="00A42BAD">
        <w:tc>
          <w:tcPr>
            <w:tcW w:w="1405" w:type="pct"/>
            <w:vMerge/>
            <w:shd w:val="clear" w:color="auto" w:fill="F2F2F2" w:themeFill="background1" w:themeFillShade="F2"/>
            <w:vAlign w:val="center"/>
          </w:tcPr>
          <w:p w14:paraId="76B20162" w14:textId="77777777" w:rsidR="0087777A" w:rsidRPr="00FC64BF" w:rsidRDefault="0087777A" w:rsidP="00D36147">
            <w:pPr>
              <w:spacing w:line="276" w:lineRule="auto"/>
              <w:rPr>
                <w:rFonts w:cs="Times New Roman"/>
                <w:b/>
                <w:sz w:val="18"/>
                <w:szCs w:val="18"/>
              </w:rPr>
            </w:pPr>
          </w:p>
        </w:tc>
        <w:tc>
          <w:tcPr>
            <w:tcW w:w="1799" w:type="pct"/>
            <w:vAlign w:val="center"/>
          </w:tcPr>
          <w:p w14:paraId="211CCC0A" w14:textId="611F339B" w:rsidR="00B95C5E" w:rsidRPr="00FC64BF" w:rsidRDefault="00B95C5E" w:rsidP="00D36147">
            <w:pPr>
              <w:spacing w:line="276" w:lineRule="auto"/>
              <w:jc w:val="center"/>
              <w:rPr>
                <w:rFonts w:cs="Times New Roman"/>
                <w:sz w:val="18"/>
                <w:szCs w:val="18"/>
              </w:rPr>
            </w:pPr>
            <w:r w:rsidRPr="00FC64BF">
              <w:rPr>
                <w:rFonts w:cs="Times New Roman"/>
                <w:sz w:val="18"/>
                <w:szCs w:val="18"/>
              </w:rPr>
              <w:t xml:space="preserve">A553131 </w:t>
            </w:r>
            <w:r w:rsidR="005612A7" w:rsidRPr="00FC64BF">
              <w:rPr>
                <w:rFonts w:cs="Times New Roman"/>
                <w:sz w:val="18"/>
                <w:szCs w:val="18"/>
              </w:rPr>
              <w:t xml:space="preserve">- </w:t>
            </w:r>
            <w:r w:rsidRPr="00FC64BF">
              <w:rPr>
                <w:rFonts w:cs="Times New Roman"/>
                <w:sz w:val="18"/>
                <w:szCs w:val="18"/>
              </w:rPr>
              <w:t xml:space="preserve">Administracija i upravljanje </w:t>
            </w:r>
          </w:p>
          <w:p w14:paraId="25EC125A" w14:textId="68CC5FE4" w:rsidR="0087777A" w:rsidRPr="00FC64BF" w:rsidRDefault="0087777A" w:rsidP="00D36147">
            <w:pPr>
              <w:spacing w:line="276" w:lineRule="auto"/>
              <w:jc w:val="center"/>
              <w:rPr>
                <w:rFonts w:cs="Times New Roman"/>
                <w:b/>
                <w:sz w:val="18"/>
                <w:szCs w:val="18"/>
              </w:rPr>
            </w:pPr>
            <w:r w:rsidRPr="00FC64BF">
              <w:rPr>
                <w:rFonts w:cs="Times New Roman"/>
                <w:b/>
                <w:sz w:val="18"/>
                <w:szCs w:val="18"/>
              </w:rPr>
              <w:t>0,00</w:t>
            </w:r>
          </w:p>
        </w:tc>
        <w:tc>
          <w:tcPr>
            <w:tcW w:w="939" w:type="pct"/>
            <w:vAlign w:val="center"/>
          </w:tcPr>
          <w:p w14:paraId="6C88C303" w14:textId="77777777" w:rsidR="0087777A" w:rsidRPr="00FC64BF" w:rsidRDefault="0087777A" w:rsidP="00D36147">
            <w:pPr>
              <w:spacing w:line="276" w:lineRule="auto"/>
              <w:jc w:val="center"/>
              <w:rPr>
                <w:rFonts w:cs="Times New Roman"/>
                <w:b/>
                <w:sz w:val="18"/>
                <w:szCs w:val="18"/>
              </w:rPr>
            </w:pPr>
            <w:r w:rsidRPr="00FC64BF">
              <w:rPr>
                <w:rFonts w:cs="Times New Roman"/>
                <w:sz w:val="18"/>
                <w:szCs w:val="18"/>
              </w:rPr>
              <w:t>0,00</w:t>
            </w:r>
          </w:p>
        </w:tc>
        <w:tc>
          <w:tcPr>
            <w:tcW w:w="857" w:type="pct"/>
            <w:vAlign w:val="center"/>
          </w:tcPr>
          <w:p w14:paraId="55AE2C65" w14:textId="77777777" w:rsidR="0087777A" w:rsidRPr="00FC64BF" w:rsidRDefault="0087777A" w:rsidP="00D36147">
            <w:pPr>
              <w:spacing w:line="276" w:lineRule="auto"/>
              <w:jc w:val="center"/>
              <w:rPr>
                <w:rFonts w:cs="Times New Roman"/>
                <w:b/>
                <w:sz w:val="18"/>
                <w:szCs w:val="18"/>
              </w:rPr>
            </w:pPr>
            <w:r w:rsidRPr="00FC64BF">
              <w:rPr>
                <w:rFonts w:cs="Times New Roman"/>
                <w:sz w:val="18"/>
                <w:szCs w:val="18"/>
              </w:rPr>
              <w:t>0,00</w:t>
            </w:r>
          </w:p>
        </w:tc>
      </w:tr>
      <w:tr w:rsidR="00CE622A" w:rsidRPr="00510415" w14:paraId="55B376B3" w14:textId="77777777" w:rsidTr="00A42BAD">
        <w:trPr>
          <w:trHeight w:val="326"/>
        </w:trPr>
        <w:tc>
          <w:tcPr>
            <w:tcW w:w="1405" w:type="pct"/>
            <w:shd w:val="clear" w:color="auto" w:fill="F2F2F2" w:themeFill="background1" w:themeFillShade="F2"/>
            <w:vAlign w:val="center"/>
          </w:tcPr>
          <w:p w14:paraId="4DBC3663" w14:textId="0228E84D" w:rsidR="0087777A" w:rsidRPr="00FC64BF" w:rsidRDefault="0087777A" w:rsidP="00D36147">
            <w:pPr>
              <w:spacing w:line="276" w:lineRule="auto"/>
              <w:rPr>
                <w:rFonts w:cs="Times New Roman"/>
                <w:sz w:val="18"/>
                <w:szCs w:val="18"/>
              </w:rPr>
            </w:pPr>
            <w:r w:rsidRPr="00FC64BF">
              <w:rPr>
                <w:rFonts w:cs="Times New Roman"/>
                <w:sz w:val="18"/>
                <w:szCs w:val="18"/>
              </w:rPr>
              <w:t>ROK PROVEDBE</w:t>
            </w:r>
            <w:r w:rsidR="005A6860" w:rsidRPr="00FC64BF">
              <w:rPr>
                <w:rFonts w:cs="Times New Roman"/>
                <w:sz w:val="18"/>
                <w:szCs w:val="18"/>
              </w:rPr>
              <w:t xml:space="preserve"> </w:t>
            </w:r>
            <w:r w:rsidRPr="00FC64BF">
              <w:rPr>
                <w:rFonts w:cs="Times New Roman"/>
                <w:sz w:val="18"/>
                <w:szCs w:val="18"/>
              </w:rPr>
              <w:t xml:space="preserve">AKTIVNOSTI </w:t>
            </w:r>
          </w:p>
        </w:tc>
        <w:tc>
          <w:tcPr>
            <w:tcW w:w="3595" w:type="pct"/>
            <w:gridSpan w:val="3"/>
            <w:vAlign w:val="center"/>
          </w:tcPr>
          <w:p w14:paraId="487F4629" w14:textId="569E8DA0" w:rsidR="0087777A" w:rsidRPr="00FC64BF" w:rsidRDefault="00510415" w:rsidP="00D36147">
            <w:pPr>
              <w:spacing w:line="276" w:lineRule="auto"/>
              <w:rPr>
                <w:rFonts w:cs="Times New Roman"/>
                <w:sz w:val="18"/>
                <w:szCs w:val="18"/>
              </w:rPr>
            </w:pPr>
            <w:r w:rsidRPr="00510415">
              <w:rPr>
                <w:rFonts w:ascii="Arial" w:hAnsi="Arial" w:cs="Arial"/>
                <w:sz w:val="22"/>
              </w:rPr>
              <w:t xml:space="preserve"> </w:t>
            </w:r>
            <w:r w:rsidRPr="00FC64BF">
              <w:rPr>
                <w:rFonts w:eastAsia="Calibri" w:cs="Times New Roman"/>
                <w:sz w:val="18"/>
                <w:szCs w:val="18"/>
              </w:rPr>
              <w:t>Prosinac 2024.</w:t>
            </w:r>
          </w:p>
        </w:tc>
      </w:tr>
      <w:bookmarkEnd w:id="22"/>
    </w:tbl>
    <w:p w14:paraId="46698D36" w14:textId="77777777" w:rsidR="008F18BC" w:rsidRPr="004610D8" w:rsidRDefault="008F18BC" w:rsidP="004A3B23">
      <w:pPr>
        <w:spacing w:after="0" w:line="276" w:lineRule="auto"/>
        <w:jc w:val="both"/>
        <w:rPr>
          <w:rFonts w:eastAsia="Calibri" w:cs="Times New Roman"/>
          <w:i/>
          <w:szCs w:val="20"/>
          <w:lang w:eastAsia="hr-HR"/>
        </w:rPr>
      </w:pPr>
    </w:p>
    <w:p w14:paraId="18C65FE4" w14:textId="77777777" w:rsidR="00B76094" w:rsidRPr="004610D8" w:rsidRDefault="00B76094" w:rsidP="004A3B23">
      <w:pPr>
        <w:spacing w:after="0" w:line="276" w:lineRule="auto"/>
        <w:jc w:val="both"/>
        <w:rPr>
          <w:rFonts w:eastAsia="Calibri" w:cs="Times New Roman"/>
          <w:i/>
          <w:szCs w:val="20"/>
          <w:lang w:eastAsia="hr-HR"/>
        </w:rPr>
      </w:pPr>
    </w:p>
    <w:p w14:paraId="31BDC9D8" w14:textId="64969FB0" w:rsidR="00A60B64" w:rsidRPr="004610D8" w:rsidRDefault="004757A6" w:rsidP="00AB12E9">
      <w:pPr>
        <w:spacing w:after="0" w:line="276" w:lineRule="auto"/>
        <w:jc w:val="both"/>
        <w:rPr>
          <w:rFonts w:cs="Times New Roman"/>
          <w:i/>
          <w:szCs w:val="24"/>
        </w:rPr>
      </w:pPr>
      <w:r w:rsidRPr="004610D8">
        <w:rPr>
          <w:rFonts w:eastAsia="Calibri" w:cs="Times New Roman"/>
          <w:i/>
          <w:szCs w:val="20"/>
          <w:lang w:eastAsia="hr-HR"/>
        </w:rPr>
        <w:t>Aktivnost 1.1.6. Medijska slika Roma</w:t>
      </w:r>
    </w:p>
    <w:p w14:paraId="74B8BAB6" w14:textId="6B97F0C8" w:rsidR="004757A6" w:rsidRPr="004610D8" w:rsidRDefault="004757A6" w:rsidP="00D36147">
      <w:pPr>
        <w:spacing w:after="0" w:line="276" w:lineRule="auto"/>
        <w:jc w:val="both"/>
        <w:rPr>
          <w:rFonts w:cs="Times New Roman"/>
          <w:i/>
          <w:szCs w:val="24"/>
        </w:rPr>
      </w:pPr>
      <w:r w:rsidRPr="004610D8">
        <w:rPr>
          <w:rFonts w:cs="Times New Roman"/>
          <w:i/>
          <w:szCs w:val="24"/>
        </w:rPr>
        <w:t xml:space="preserve">Nositelj provedbe: Ured </w:t>
      </w:r>
      <w:r w:rsidR="006F69FB">
        <w:rPr>
          <w:rFonts w:cs="Times New Roman"/>
          <w:i/>
          <w:szCs w:val="24"/>
        </w:rPr>
        <w:t>za ljudska prava i prava nacionalnih manjina</w:t>
      </w:r>
    </w:p>
    <w:p w14:paraId="755FBA84" w14:textId="77777777" w:rsidR="00A60B64" w:rsidRPr="004610D8" w:rsidRDefault="00A60B64" w:rsidP="00D36147">
      <w:pPr>
        <w:spacing w:after="0" w:line="276" w:lineRule="auto"/>
        <w:jc w:val="both"/>
        <w:rPr>
          <w:rFonts w:eastAsia="Calibri" w:cs="Times New Roman"/>
          <w:b/>
          <w:i/>
          <w:szCs w:val="24"/>
          <w:lang w:eastAsia="hr-HR"/>
        </w:rPr>
      </w:pPr>
    </w:p>
    <w:p w14:paraId="093B7D15" w14:textId="5CF47C07" w:rsidR="00717573" w:rsidRPr="004610D8" w:rsidRDefault="00A82F9C" w:rsidP="00D36147">
      <w:pPr>
        <w:spacing w:after="0" w:line="276" w:lineRule="auto"/>
        <w:jc w:val="both"/>
        <w:rPr>
          <w:rFonts w:cs="Times New Roman"/>
          <w:szCs w:val="24"/>
        </w:rPr>
      </w:pPr>
      <w:r w:rsidRPr="004610D8">
        <w:rPr>
          <w:rFonts w:cs="Times New Roman"/>
          <w:szCs w:val="24"/>
        </w:rPr>
        <w:t>Provedba aktivnosti n</w:t>
      </w:r>
      <w:r w:rsidR="004610D8" w:rsidRPr="004610D8">
        <w:rPr>
          <w:rFonts w:cs="Times New Roman"/>
          <w:szCs w:val="24"/>
        </w:rPr>
        <w:t>i</w:t>
      </w:r>
      <w:r w:rsidRPr="004610D8">
        <w:rPr>
          <w:rFonts w:cs="Times New Roman"/>
          <w:szCs w:val="24"/>
        </w:rPr>
        <w:t>je planirana u 202</w:t>
      </w:r>
      <w:r w:rsidR="006D1F45" w:rsidRPr="004610D8">
        <w:rPr>
          <w:rFonts w:cs="Times New Roman"/>
          <w:szCs w:val="24"/>
        </w:rPr>
        <w:t>4</w:t>
      </w:r>
      <w:r w:rsidRPr="004610D8">
        <w:rPr>
          <w:rFonts w:cs="Times New Roman"/>
          <w:szCs w:val="24"/>
        </w:rPr>
        <w:t>.</w:t>
      </w:r>
      <w:r w:rsidR="005C4B3A">
        <w:rPr>
          <w:rFonts w:cs="Times New Roman"/>
          <w:szCs w:val="24"/>
        </w:rPr>
        <w:t xml:space="preserve"> godini.</w:t>
      </w:r>
      <w:r w:rsidRPr="004610D8">
        <w:rPr>
          <w:rFonts w:cs="Times New Roman"/>
          <w:szCs w:val="24"/>
        </w:rPr>
        <w:t xml:space="preserve"> </w:t>
      </w:r>
    </w:p>
    <w:p w14:paraId="52CE4179" w14:textId="77777777" w:rsidR="00664C9A" w:rsidRPr="00FC64BF" w:rsidRDefault="00664C9A" w:rsidP="00D36147">
      <w:pPr>
        <w:spacing w:after="0" w:line="276" w:lineRule="auto"/>
        <w:jc w:val="both"/>
        <w:rPr>
          <w:rFonts w:cs="Times New Roman"/>
          <w:szCs w:val="24"/>
        </w:rPr>
      </w:pPr>
    </w:p>
    <w:tbl>
      <w:tblPr>
        <w:tblStyle w:val="TableGrid"/>
        <w:tblW w:w="9067" w:type="dxa"/>
        <w:tblLook w:val="04A0" w:firstRow="1" w:lastRow="0" w:firstColumn="1" w:lastColumn="0" w:noHBand="0" w:noVBand="1"/>
      </w:tblPr>
      <w:tblGrid>
        <w:gridCol w:w="2547"/>
        <w:gridCol w:w="2693"/>
        <w:gridCol w:w="2268"/>
        <w:gridCol w:w="1559"/>
      </w:tblGrid>
      <w:tr w:rsidR="00A9289F" w:rsidRPr="006D1F45" w14:paraId="2ECE487D" w14:textId="77777777" w:rsidTr="00A87AC2">
        <w:tc>
          <w:tcPr>
            <w:tcW w:w="2547" w:type="dxa"/>
            <w:shd w:val="clear" w:color="auto" w:fill="F2F2F2" w:themeFill="background1" w:themeFillShade="F2"/>
            <w:vAlign w:val="center"/>
          </w:tcPr>
          <w:p w14:paraId="41810F9F" w14:textId="57557E99" w:rsidR="00A9289F" w:rsidRPr="00FC64BF" w:rsidRDefault="00A9289F" w:rsidP="004A3B23">
            <w:pPr>
              <w:spacing w:line="276" w:lineRule="auto"/>
              <w:rPr>
                <w:rFonts w:cs="Times New Roman"/>
                <w:b/>
                <w:sz w:val="18"/>
                <w:szCs w:val="18"/>
              </w:rPr>
            </w:pPr>
            <w:r w:rsidRPr="00FC64BF">
              <w:rPr>
                <w:rFonts w:cs="Times New Roman"/>
                <w:b/>
                <w:sz w:val="18"/>
                <w:szCs w:val="18"/>
              </w:rPr>
              <w:t>Pokazatelji provedbe i pokazatelji uspješnosti provedbe</w:t>
            </w:r>
          </w:p>
        </w:tc>
        <w:tc>
          <w:tcPr>
            <w:tcW w:w="2693" w:type="dxa"/>
            <w:shd w:val="clear" w:color="auto" w:fill="F2F2F2" w:themeFill="background1" w:themeFillShade="F2"/>
            <w:vAlign w:val="center"/>
          </w:tcPr>
          <w:p w14:paraId="0F411284" w14:textId="77777777" w:rsidR="00A9289F" w:rsidRPr="00FC64BF" w:rsidRDefault="00A9289F" w:rsidP="00AB12E9">
            <w:pPr>
              <w:spacing w:line="276" w:lineRule="auto"/>
              <w:jc w:val="center"/>
              <w:rPr>
                <w:rFonts w:cs="Times New Roman"/>
                <w:b/>
                <w:sz w:val="18"/>
                <w:szCs w:val="18"/>
              </w:rPr>
            </w:pPr>
            <w:r w:rsidRPr="00FC64BF">
              <w:rPr>
                <w:rFonts w:cs="Times New Roman"/>
                <w:b/>
                <w:sz w:val="18"/>
                <w:szCs w:val="18"/>
              </w:rPr>
              <w:t>Broj objavljenih poziva za javno nadmetanje</w:t>
            </w:r>
          </w:p>
        </w:tc>
        <w:tc>
          <w:tcPr>
            <w:tcW w:w="2268" w:type="dxa"/>
            <w:shd w:val="clear" w:color="auto" w:fill="F2F2F2" w:themeFill="background1" w:themeFillShade="F2"/>
            <w:vAlign w:val="center"/>
          </w:tcPr>
          <w:p w14:paraId="4E701DEE" w14:textId="4B1E444D" w:rsidR="00A9289F" w:rsidRPr="00FC64BF" w:rsidRDefault="00A9289F" w:rsidP="00D36147">
            <w:pPr>
              <w:spacing w:line="276" w:lineRule="auto"/>
              <w:jc w:val="center"/>
              <w:rPr>
                <w:rFonts w:cs="Times New Roman"/>
                <w:b/>
                <w:sz w:val="18"/>
                <w:szCs w:val="18"/>
              </w:rPr>
            </w:pPr>
            <w:r w:rsidRPr="00FC64BF">
              <w:rPr>
                <w:rFonts w:cs="Times New Roman"/>
                <w:b/>
                <w:sz w:val="18"/>
                <w:szCs w:val="18"/>
              </w:rPr>
              <w:t>Broj izrađenih istraživačkih izvješća</w:t>
            </w:r>
          </w:p>
        </w:tc>
        <w:tc>
          <w:tcPr>
            <w:tcW w:w="1559" w:type="dxa"/>
            <w:shd w:val="clear" w:color="auto" w:fill="F2F2F2" w:themeFill="background1" w:themeFillShade="F2"/>
            <w:vAlign w:val="center"/>
          </w:tcPr>
          <w:p w14:paraId="3E391458" w14:textId="77777777" w:rsidR="00A9289F" w:rsidRPr="00FC64BF" w:rsidRDefault="00A9289F" w:rsidP="00D36147">
            <w:pPr>
              <w:spacing w:line="276" w:lineRule="auto"/>
              <w:jc w:val="center"/>
              <w:rPr>
                <w:rFonts w:cs="Times New Roman"/>
                <w:b/>
                <w:sz w:val="18"/>
                <w:szCs w:val="18"/>
              </w:rPr>
            </w:pPr>
            <w:r w:rsidRPr="00FC64BF">
              <w:rPr>
                <w:rFonts w:cs="Times New Roman"/>
                <w:b/>
                <w:sz w:val="18"/>
                <w:szCs w:val="18"/>
              </w:rPr>
              <w:t>Broj edukacijskih aktivnosti</w:t>
            </w:r>
          </w:p>
        </w:tc>
      </w:tr>
      <w:tr w:rsidR="00A9289F" w:rsidRPr="006D1F45" w14:paraId="10D3734A" w14:textId="77777777" w:rsidTr="00A87AC2">
        <w:tc>
          <w:tcPr>
            <w:tcW w:w="2547" w:type="dxa"/>
            <w:shd w:val="clear" w:color="auto" w:fill="F2F2F2" w:themeFill="background1" w:themeFillShade="F2"/>
            <w:vAlign w:val="center"/>
          </w:tcPr>
          <w:p w14:paraId="3ABFB90E" w14:textId="4E579292" w:rsidR="00A9289F" w:rsidRPr="00FC64BF" w:rsidRDefault="00A9289F" w:rsidP="006F69FB">
            <w:pPr>
              <w:spacing w:line="276" w:lineRule="auto"/>
              <w:rPr>
                <w:rFonts w:cs="Times New Roman"/>
                <w:sz w:val="18"/>
                <w:szCs w:val="18"/>
              </w:rPr>
            </w:pPr>
            <w:r w:rsidRPr="00FC64BF">
              <w:rPr>
                <w:rFonts w:cs="Times New Roman"/>
                <w:sz w:val="18"/>
                <w:szCs w:val="18"/>
              </w:rPr>
              <w:t>Planirani ishodi za pokazatelje provedbe u 202</w:t>
            </w:r>
            <w:r>
              <w:rPr>
                <w:rFonts w:cs="Times New Roman"/>
                <w:sz w:val="18"/>
                <w:szCs w:val="18"/>
              </w:rPr>
              <w:t>4</w:t>
            </w:r>
            <w:r w:rsidRPr="00FC64BF">
              <w:rPr>
                <w:rFonts w:cs="Times New Roman"/>
                <w:sz w:val="18"/>
                <w:szCs w:val="18"/>
              </w:rPr>
              <w:t>.</w:t>
            </w:r>
          </w:p>
        </w:tc>
        <w:tc>
          <w:tcPr>
            <w:tcW w:w="2693" w:type="dxa"/>
            <w:vAlign w:val="center"/>
          </w:tcPr>
          <w:p w14:paraId="682B1929" w14:textId="77777777" w:rsidR="00A9289F" w:rsidRPr="00FC64BF" w:rsidRDefault="00A9289F" w:rsidP="00AB12E9">
            <w:pPr>
              <w:spacing w:line="276" w:lineRule="auto"/>
              <w:jc w:val="center"/>
              <w:rPr>
                <w:rFonts w:cs="Times New Roman"/>
                <w:sz w:val="18"/>
                <w:szCs w:val="18"/>
              </w:rPr>
            </w:pPr>
            <w:r w:rsidRPr="00FC64BF">
              <w:rPr>
                <w:rFonts w:cs="Times New Roman"/>
                <w:sz w:val="18"/>
                <w:szCs w:val="18"/>
              </w:rPr>
              <w:t>/</w:t>
            </w:r>
          </w:p>
        </w:tc>
        <w:tc>
          <w:tcPr>
            <w:tcW w:w="2268" w:type="dxa"/>
            <w:vAlign w:val="center"/>
          </w:tcPr>
          <w:p w14:paraId="58713A3F" w14:textId="1FC5A2D7" w:rsidR="00A9289F" w:rsidRPr="00FC64BF" w:rsidRDefault="00A9289F" w:rsidP="00D36147">
            <w:pPr>
              <w:spacing w:line="276" w:lineRule="auto"/>
              <w:jc w:val="center"/>
              <w:rPr>
                <w:rFonts w:cs="Times New Roman"/>
                <w:sz w:val="18"/>
                <w:szCs w:val="18"/>
              </w:rPr>
            </w:pPr>
            <w:r w:rsidRPr="00FC64BF">
              <w:rPr>
                <w:rFonts w:cs="Times New Roman"/>
                <w:sz w:val="18"/>
                <w:szCs w:val="18"/>
              </w:rPr>
              <w:t>/</w:t>
            </w:r>
          </w:p>
        </w:tc>
        <w:tc>
          <w:tcPr>
            <w:tcW w:w="1559" w:type="dxa"/>
            <w:vAlign w:val="center"/>
          </w:tcPr>
          <w:p w14:paraId="0AD46280" w14:textId="77777777" w:rsidR="00A9289F" w:rsidRPr="00FC64BF" w:rsidRDefault="00A9289F" w:rsidP="00D36147">
            <w:pPr>
              <w:spacing w:line="276" w:lineRule="auto"/>
              <w:jc w:val="center"/>
              <w:rPr>
                <w:rFonts w:cs="Times New Roman"/>
                <w:sz w:val="18"/>
                <w:szCs w:val="18"/>
              </w:rPr>
            </w:pPr>
            <w:r w:rsidRPr="00FC64BF">
              <w:rPr>
                <w:rFonts w:cs="Times New Roman"/>
                <w:sz w:val="18"/>
                <w:szCs w:val="18"/>
              </w:rPr>
              <w:t>/</w:t>
            </w:r>
          </w:p>
        </w:tc>
      </w:tr>
      <w:tr w:rsidR="00A9289F" w:rsidRPr="006D1F45" w14:paraId="2FC7024E" w14:textId="77777777" w:rsidTr="00A87AC2">
        <w:tc>
          <w:tcPr>
            <w:tcW w:w="2547" w:type="dxa"/>
            <w:shd w:val="clear" w:color="auto" w:fill="F2F2F2" w:themeFill="background1" w:themeFillShade="F2"/>
            <w:vAlign w:val="center"/>
          </w:tcPr>
          <w:p w14:paraId="1AFA867F" w14:textId="109ECC4D" w:rsidR="00A9289F" w:rsidRPr="00FC64BF" w:rsidRDefault="00A9289F" w:rsidP="006F69FB">
            <w:pPr>
              <w:spacing w:line="276" w:lineRule="auto"/>
              <w:rPr>
                <w:rFonts w:cs="Times New Roman"/>
                <w:sz w:val="18"/>
                <w:szCs w:val="18"/>
              </w:rPr>
            </w:pPr>
            <w:r w:rsidRPr="00FC64BF">
              <w:rPr>
                <w:rFonts w:cs="Times New Roman"/>
                <w:sz w:val="18"/>
                <w:szCs w:val="18"/>
              </w:rPr>
              <w:t>Ostvareni ishodi za pokazatelje provedbe u 202</w:t>
            </w:r>
            <w:r>
              <w:rPr>
                <w:rFonts w:cs="Times New Roman"/>
                <w:sz w:val="18"/>
                <w:szCs w:val="18"/>
              </w:rPr>
              <w:t>4</w:t>
            </w:r>
            <w:r w:rsidRPr="00FC64BF">
              <w:rPr>
                <w:rFonts w:cs="Times New Roman"/>
                <w:sz w:val="18"/>
                <w:szCs w:val="18"/>
              </w:rPr>
              <w:t xml:space="preserve">. </w:t>
            </w:r>
          </w:p>
        </w:tc>
        <w:tc>
          <w:tcPr>
            <w:tcW w:w="2693" w:type="dxa"/>
            <w:vAlign w:val="center"/>
          </w:tcPr>
          <w:p w14:paraId="18067AD9" w14:textId="02A9BEB1" w:rsidR="00A9289F" w:rsidRPr="00FC64BF" w:rsidRDefault="00A9289F" w:rsidP="00D36147">
            <w:pPr>
              <w:spacing w:line="276" w:lineRule="auto"/>
              <w:jc w:val="center"/>
              <w:rPr>
                <w:rFonts w:cs="Times New Roman"/>
                <w:sz w:val="18"/>
                <w:szCs w:val="18"/>
              </w:rPr>
            </w:pPr>
            <w:r w:rsidRPr="00FC64BF">
              <w:rPr>
                <w:rFonts w:cs="Times New Roman"/>
                <w:sz w:val="18"/>
                <w:szCs w:val="18"/>
              </w:rPr>
              <w:t>/</w:t>
            </w:r>
          </w:p>
        </w:tc>
        <w:tc>
          <w:tcPr>
            <w:tcW w:w="2268" w:type="dxa"/>
            <w:vAlign w:val="center"/>
          </w:tcPr>
          <w:p w14:paraId="4BA39FF6" w14:textId="62B18209" w:rsidR="00A9289F" w:rsidRPr="00FC64BF" w:rsidRDefault="00A9289F" w:rsidP="00D36147">
            <w:pPr>
              <w:spacing w:line="276" w:lineRule="auto"/>
              <w:jc w:val="center"/>
              <w:rPr>
                <w:rFonts w:cs="Times New Roman"/>
                <w:sz w:val="18"/>
                <w:szCs w:val="18"/>
              </w:rPr>
            </w:pPr>
            <w:r w:rsidRPr="00FC64BF">
              <w:rPr>
                <w:rFonts w:cs="Times New Roman"/>
                <w:sz w:val="18"/>
                <w:szCs w:val="18"/>
              </w:rPr>
              <w:t>/</w:t>
            </w:r>
          </w:p>
        </w:tc>
        <w:tc>
          <w:tcPr>
            <w:tcW w:w="1559" w:type="dxa"/>
            <w:vAlign w:val="center"/>
          </w:tcPr>
          <w:p w14:paraId="5F3C84FF" w14:textId="77777777" w:rsidR="00A9289F" w:rsidRPr="00FC64BF" w:rsidRDefault="00A9289F" w:rsidP="00D36147">
            <w:pPr>
              <w:spacing w:line="276" w:lineRule="auto"/>
              <w:jc w:val="center"/>
              <w:rPr>
                <w:rFonts w:cs="Times New Roman"/>
                <w:sz w:val="18"/>
                <w:szCs w:val="18"/>
              </w:rPr>
            </w:pPr>
            <w:r w:rsidRPr="00FC64BF">
              <w:rPr>
                <w:rFonts w:cs="Times New Roman"/>
                <w:sz w:val="18"/>
                <w:szCs w:val="18"/>
              </w:rPr>
              <w:t>/</w:t>
            </w:r>
          </w:p>
        </w:tc>
      </w:tr>
      <w:tr w:rsidR="00A9289F" w:rsidRPr="006D1F45" w14:paraId="12F442D9" w14:textId="77777777" w:rsidTr="00A87AC2">
        <w:tc>
          <w:tcPr>
            <w:tcW w:w="2547" w:type="dxa"/>
            <w:shd w:val="clear" w:color="auto" w:fill="F2F2F2" w:themeFill="background1" w:themeFillShade="F2"/>
            <w:vAlign w:val="center"/>
          </w:tcPr>
          <w:p w14:paraId="00B031BF" w14:textId="77777777" w:rsidR="00A9289F" w:rsidRPr="00FC64BF" w:rsidRDefault="00A9289F" w:rsidP="004A3B23">
            <w:pPr>
              <w:spacing w:line="276" w:lineRule="auto"/>
              <w:rPr>
                <w:rFonts w:cs="Times New Roman"/>
                <w:b/>
                <w:sz w:val="18"/>
                <w:szCs w:val="18"/>
              </w:rPr>
            </w:pPr>
            <w:r w:rsidRPr="00FC64BF">
              <w:rPr>
                <w:rFonts w:cs="Times New Roman"/>
                <w:b/>
                <w:sz w:val="18"/>
                <w:szCs w:val="18"/>
              </w:rPr>
              <w:t xml:space="preserve">IZVORI FINANCIRANJA </w:t>
            </w:r>
          </w:p>
        </w:tc>
        <w:tc>
          <w:tcPr>
            <w:tcW w:w="2693" w:type="dxa"/>
            <w:vAlign w:val="center"/>
          </w:tcPr>
          <w:p w14:paraId="027123D6" w14:textId="51E939AF" w:rsidR="00A9289F" w:rsidRPr="00FC64BF" w:rsidRDefault="00A9289F" w:rsidP="00AB12E9">
            <w:pPr>
              <w:spacing w:line="276" w:lineRule="auto"/>
              <w:jc w:val="center"/>
              <w:rPr>
                <w:rFonts w:cs="Times New Roman"/>
                <w:b/>
                <w:sz w:val="18"/>
                <w:szCs w:val="18"/>
              </w:rPr>
            </w:pPr>
            <w:r w:rsidRPr="00FC64BF">
              <w:rPr>
                <w:rFonts w:cs="Times New Roman"/>
                <w:b/>
                <w:sz w:val="18"/>
                <w:szCs w:val="18"/>
              </w:rPr>
              <w:t>Državni proračun (EUR)</w:t>
            </w:r>
          </w:p>
        </w:tc>
        <w:tc>
          <w:tcPr>
            <w:tcW w:w="2268" w:type="dxa"/>
            <w:vAlign w:val="center"/>
          </w:tcPr>
          <w:p w14:paraId="49788C1B" w14:textId="141611FC" w:rsidR="00A9289F" w:rsidRPr="00FC64BF" w:rsidRDefault="00A9289F" w:rsidP="00D36147">
            <w:pPr>
              <w:spacing w:line="276" w:lineRule="auto"/>
              <w:jc w:val="center"/>
              <w:rPr>
                <w:rFonts w:cs="Times New Roman"/>
                <w:b/>
                <w:sz w:val="18"/>
                <w:szCs w:val="18"/>
              </w:rPr>
            </w:pPr>
            <w:r w:rsidRPr="00FC64BF">
              <w:rPr>
                <w:rFonts w:cs="Times New Roman"/>
                <w:b/>
                <w:sz w:val="18"/>
                <w:szCs w:val="18"/>
              </w:rPr>
              <w:t>EU financiranje (EUR)</w:t>
            </w:r>
          </w:p>
        </w:tc>
        <w:tc>
          <w:tcPr>
            <w:tcW w:w="1559" w:type="dxa"/>
            <w:vAlign w:val="center"/>
          </w:tcPr>
          <w:p w14:paraId="30A3B219" w14:textId="197E867E" w:rsidR="00A9289F" w:rsidRPr="00FC64BF" w:rsidRDefault="00A9289F" w:rsidP="00D36147">
            <w:pPr>
              <w:spacing w:line="276" w:lineRule="auto"/>
              <w:jc w:val="center"/>
              <w:rPr>
                <w:rFonts w:cs="Times New Roman"/>
                <w:b/>
                <w:sz w:val="18"/>
                <w:szCs w:val="18"/>
              </w:rPr>
            </w:pPr>
            <w:r w:rsidRPr="00FC64BF">
              <w:rPr>
                <w:rFonts w:cs="Times New Roman"/>
                <w:b/>
                <w:sz w:val="18"/>
                <w:szCs w:val="18"/>
              </w:rPr>
              <w:t>Drugi izvori (EUR)</w:t>
            </w:r>
          </w:p>
        </w:tc>
      </w:tr>
      <w:tr w:rsidR="00A9289F" w:rsidRPr="006D1F45" w14:paraId="6AA4F695" w14:textId="77777777" w:rsidTr="00A87AC2">
        <w:tc>
          <w:tcPr>
            <w:tcW w:w="2547" w:type="dxa"/>
            <w:shd w:val="clear" w:color="auto" w:fill="F2F2F2" w:themeFill="background1" w:themeFillShade="F2"/>
            <w:vAlign w:val="center"/>
          </w:tcPr>
          <w:p w14:paraId="3FB54989" w14:textId="3710509C" w:rsidR="00A9289F" w:rsidRPr="00FC64BF" w:rsidRDefault="00A9289F" w:rsidP="006F69FB">
            <w:pPr>
              <w:spacing w:line="276" w:lineRule="auto"/>
              <w:rPr>
                <w:rFonts w:cs="Times New Roman"/>
                <w:sz w:val="18"/>
                <w:szCs w:val="18"/>
              </w:rPr>
            </w:pPr>
            <w:r w:rsidRPr="00FC64BF">
              <w:rPr>
                <w:rFonts w:cs="Times New Roman"/>
                <w:sz w:val="18"/>
                <w:szCs w:val="18"/>
              </w:rPr>
              <w:t>Izvori financiranja u 202</w:t>
            </w:r>
            <w:r>
              <w:rPr>
                <w:rFonts w:cs="Times New Roman"/>
                <w:sz w:val="18"/>
                <w:szCs w:val="18"/>
              </w:rPr>
              <w:t>4</w:t>
            </w:r>
            <w:r w:rsidRPr="00FC64BF">
              <w:rPr>
                <w:rFonts w:cs="Times New Roman"/>
                <w:sz w:val="18"/>
                <w:szCs w:val="18"/>
              </w:rPr>
              <w:t>. (proračunska pozicija i predviđeni iznos sredstava)</w:t>
            </w:r>
          </w:p>
        </w:tc>
        <w:tc>
          <w:tcPr>
            <w:tcW w:w="2693" w:type="dxa"/>
            <w:vAlign w:val="center"/>
          </w:tcPr>
          <w:p w14:paraId="7C38DF1C" w14:textId="3F28AEE5" w:rsidR="00A9289F" w:rsidRPr="00FC64BF" w:rsidRDefault="00A9289F" w:rsidP="00AB12E9">
            <w:pPr>
              <w:spacing w:line="276" w:lineRule="auto"/>
              <w:jc w:val="center"/>
              <w:rPr>
                <w:rFonts w:cs="Times New Roman"/>
                <w:sz w:val="18"/>
                <w:szCs w:val="18"/>
              </w:rPr>
            </w:pPr>
            <w:r w:rsidRPr="00FC64BF">
              <w:rPr>
                <w:rFonts w:cs="Times New Roman"/>
                <w:sz w:val="18"/>
                <w:szCs w:val="18"/>
              </w:rPr>
              <w:t xml:space="preserve">A513059 – JUPI </w:t>
            </w:r>
          </w:p>
          <w:p w14:paraId="28D2EA48" w14:textId="240B01FA" w:rsidR="00A9289F" w:rsidRPr="00FC64BF" w:rsidRDefault="00A9289F" w:rsidP="00D36147">
            <w:pPr>
              <w:spacing w:line="276" w:lineRule="auto"/>
              <w:jc w:val="center"/>
              <w:rPr>
                <w:rFonts w:cs="Times New Roman"/>
                <w:sz w:val="18"/>
                <w:szCs w:val="18"/>
              </w:rPr>
            </w:pPr>
            <w:r w:rsidRPr="00FC64BF">
              <w:rPr>
                <w:rFonts w:cs="Times New Roman"/>
                <w:sz w:val="18"/>
                <w:szCs w:val="18"/>
              </w:rPr>
              <w:t>0,00</w:t>
            </w:r>
          </w:p>
        </w:tc>
        <w:tc>
          <w:tcPr>
            <w:tcW w:w="2268" w:type="dxa"/>
            <w:vAlign w:val="center"/>
          </w:tcPr>
          <w:p w14:paraId="04AD2EEF" w14:textId="38B98E2E" w:rsidR="00A9289F" w:rsidRPr="00FC64BF" w:rsidRDefault="00A9289F" w:rsidP="00D36147">
            <w:pPr>
              <w:spacing w:line="276" w:lineRule="auto"/>
              <w:jc w:val="center"/>
              <w:rPr>
                <w:rFonts w:cs="Times New Roman"/>
                <w:sz w:val="18"/>
                <w:szCs w:val="18"/>
              </w:rPr>
            </w:pPr>
            <w:r w:rsidRPr="00FC64BF">
              <w:rPr>
                <w:rFonts w:cs="Times New Roman"/>
                <w:sz w:val="18"/>
                <w:szCs w:val="18"/>
              </w:rPr>
              <w:t>A513059 - JUPI</w:t>
            </w:r>
          </w:p>
          <w:p w14:paraId="3E729A02" w14:textId="1F2F83C2" w:rsidR="00A9289F" w:rsidRPr="00FC64BF" w:rsidRDefault="00A9289F" w:rsidP="00D36147">
            <w:pPr>
              <w:spacing w:line="276" w:lineRule="auto"/>
              <w:jc w:val="center"/>
              <w:rPr>
                <w:rFonts w:cs="Times New Roman"/>
                <w:sz w:val="18"/>
                <w:szCs w:val="18"/>
              </w:rPr>
            </w:pPr>
            <w:r w:rsidRPr="00FC64BF">
              <w:rPr>
                <w:rFonts w:cs="Times New Roman"/>
                <w:sz w:val="18"/>
                <w:szCs w:val="18"/>
              </w:rPr>
              <w:t>0,00</w:t>
            </w:r>
          </w:p>
        </w:tc>
        <w:tc>
          <w:tcPr>
            <w:tcW w:w="1559" w:type="dxa"/>
            <w:vAlign w:val="center"/>
          </w:tcPr>
          <w:p w14:paraId="4D8B0E00" w14:textId="7E7E638C" w:rsidR="00A9289F" w:rsidRPr="00FC64BF" w:rsidRDefault="00A9289F" w:rsidP="00D36147">
            <w:pPr>
              <w:spacing w:line="276" w:lineRule="auto"/>
              <w:jc w:val="center"/>
              <w:rPr>
                <w:rFonts w:cs="Times New Roman"/>
                <w:sz w:val="18"/>
                <w:szCs w:val="18"/>
              </w:rPr>
            </w:pPr>
            <w:r w:rsidRPr="00FC64BF">
              <w:rPr>
                <w:rFonts w:cs="Times New Roman"/>
                <w:sz w:val="18"/>
                <w:szCs w:val="18"/>
              </w:rPr>
              <w:t>0,00</w:t>
            </w:r>
          </w:p>
        </w:tc>
      </w:tr>
      <w:tr w:rsidR="00A9289F" w:rsidRPr="006D1F45" w14:paraId="474568A1" w14:textId="77777777" w:rsidTr="00A87AC2">
        <w:tc>
          <w:tcPr>
            <w:tcW w:w="2547" w:type="dxa"/>
            <w:vMerge w:val="restart"/>
            <w:shd w:val="clear" w:color="auto" w:fill="F2F2F2" w:themeFill="background1" w:themeFillShade="F2"/>
            <w:vAlign w:val="center"/>
          </w:tcPr>
          <w:p w14:paraId="55949123" w14:textId="77777777" w:rsidR="00A9289F" w:rsidRPr="00FC64BF" w:rsidRDefault="00A9289F" w:rsidP="004A3B23">
            <w:pPr>
              <w:spacing w:line="276" w:lineRule="auto"/>
              <w:rPr>
                <w:rFonts w:cs="Times New Roman"/>
                <w:b/>
                <w:bCs/>
                <w:sz w:val="18"/>
                <w:szCs w:val="18"/>
              </w:rPr>
            </w:pPr>
            <w:r w:rsidRPr="00FC64BF">
              <w:rPr>
                <w:rFonts w:cs="Times New Roman"/>
                <w:b/>
                <w:bCs/>
                <w:sz w:val="18"/>
                <w:szCs w:val="18"/>
              </w:rPr>
              <w:t xml:space="preserve">UKUPNO UTROŠENA SREDSTVA PO IZVORU </w:t>
            </w:r>
          </w:p>
        </w:tc>
        <w:tc>
          <w:tcPr>
            <w:tcW w:w="2693" w:type="dxa"/>
            <w:vAlign w:val="center"/>
          </w:tcPr>
          <w:p w14:paraId="3F90D1D8" w14:textId="1BEB57F7" w:rsidR="00A9289F" w:rsidRPr="00FC64BF" w:rsidRDefault="00A9289F" w:rsidP="00AB12E9">
            <w:pPr>
              <w:spacing w:line="276" w:lineRule="auto"/>
              <w:jc w:val="center"/>
              <w:rPr>
                <w:rFonts w:cs="Times New Roman"/>
                <w:bCs/>
                <w:sz w:val="18"/>
                <w:szCs w:val="18"/>
              </w:rPr>
            </w:pPr>
            <w:r w:rsidRPr="00FC64BF">
              <w:rPr>
                <w:rFonts w:cs="Times New Roman"/>
                <w:bCs/>
                <w:sz w:val="18"/>
                <w:szCs w:val="18"/>
              </w:rPr>
              <w:t>Državni proračun (EUR)</w:t>
            </w:r>
          </w:p>
        </w:tc>
        <w:tc>
          <w:tcPr>
            <w:tcW w:w="2268" w:type="dxa"/>
            <w:vAlign w:val="center"/>
          </w:tcPr>
          <w:p w14:paraId="31CF150D" w14:textId="58957C11" w:rsidR="00A9289F" w:rsidRPr="00FC64BF" w:rsidRDefault="00A9289F" w:rsidP="00D36147">
            <w:pPr>
              <w:spacing w:line="276" w:lineRule="auto"/>
              <w:jc w:val="center"/>
              <w:rPr>
                <w:rFonts w:cs="Times New Roman"/>
                <w:bCs/>
                <w:sz w:val="18"/>
                <w:szCs w:val="18"/>
              </w:rPr>
            </w:pPr>
            <w:r w:rsidRPr="00FC64BF">
              <w:rPr>
                <w:rFonts w:cs="Times New Roman"/>
                <w:bCs/>
                <w:sz w:val="18"/>
                <w:szCs w:val="18"/>
              </w:rPr>
              <w:t>EU financiranje (EUR)</w:t>
            </w:r>
          </w:p>
        </w:tc>
        <w:tc>
          <w:tcPr>
            <w:tcW w:w="1559" w:type="dxa"/>
            <w:vAlign w:val="center"/>
          </w:tcPr>
          <w:p w14:paraId="7067556F" w14:textId="120F4CBF" w:rsidR="00A9289F" w:rsidRPr="00FC64BF" w:rsidRDefault="00A9289F" w:rsidP="00D36147">
            <w:pPr>
              <w:spacing w:line="276" w:lineRule="auto"/>
              <w:jc w:val="center"/>
              <w:rPr>
                <w:rFonts w:cs="Times New Roman"/>
                <w:bCs/>
                <w:sz w:val="18"/>
                <w:szCs w:val="18"/>
              </w:rPr>
            </w:pPr>
            <w:r w:rsidRPr="00FC64BF">
              <w:rPr>
                <w:rFonts w:cs="Times New Roman"/>
                <w:bCs/>
                <w:sz w:val="18"/>
                <w:szCs w:val="18"/>
              </w:rPr>
              <w:t>Drugi izvori (EUR)</w:t>
            </w:r>
          </w:p>
        </w:tc>
      </w:tr>
      <w:tr w:rsidR="00A9289F" w:rsidRPr="006D1F45" w14:paraId="0AA80994" w14:textId="77777777" w:rsidTr="00A87AC2">
        <w:tc>
          <w:tcPr>
            <w:tcW w:w="2547" w:type="dxa"/>
            <w:vMerge/>
            <w:shd w:val="clear" w:color="auto" w:fill="F2F2F2" w:themeFill="background1" w:themeFillShade="F2"/>
            <w:vAlign w:val="center"/>
          </w:tcPr>
          <w:p w14:paraId="4CCBB224" w14:textId="77777777" w:rsidR="00A9289F" w:rsidRPr="00FC64BF" w:rsidRDefault="00A9289F" w:rsidP="00D36147">
            <w:pPr>
              <w:spacing w:line="276" w:lineRule="auto"/>
              <w:rPr>
                <w:rFonts w:cs="Times New Roman"/>
                <w:b/>
                <w:bCs/>
                <w:sz w:val="18"/>
                <w:szCs w:val="18"/>
              </w:rPr>
            </w:pPr>
          </w:p>
        </w:tc>
        <w:tc>
          <w:tcPr>
            <w:tcW w:w="2693" w:type="dxa"/>
            <w:vAlign w:val="center"/>
          </w:tcPr>
          <w:p w14:paraId="3D7DFE1F" w14:textId="51C3106F" w:rsidR="00A9289F" w:rsidRPr="00FC64BF" w:rsidRDefault="00A9289F" w:rsidP="00D36147">
            <w:pPr>
              <w:spacing w:line="276" w:lineRule="auto"/>
              <w:jc w:val="center"/>
              <w:rPr>
                <w:rFonts w:cs="Times New Roman"/>
                <w:bCs/>
                <w:sz w:val="18"/>
                <w:szCs w:val="18"/>
              </w:rPr>
            </w:pPr>
            <w:r w:rsidRPr="00FC64BF">
              <w:rPr>
                <w:rFonts w:cs="Times New Roman"/>
                <w:sz w:val="18"/>
                <w:szCs w:val="18"/>
              </w:rPr>
              <w:t>0,00</w:t>
            </w:r>
          </w:p>
        </w:tc>
        <w:tc>
          <w:tcPr>
            <w:tcW w:w="2268" w:type="dxa"/>
            <w:vAlign w:val="center"/>
          </w:tcPr>
          <w:p w14:paraId="258ACC72" w14:textId="2857823F" w:rsidR="00A9289F" w:rsidRPr="00FC64BF" w:rsidRDefault="00A9289F" w:rsidP="00D36147">
            <w:pPr>
              <w:spacing w:line="276" w:lineRule="auto"/>
              <w:jc w:val="center"/>
              <w:rPr>
                <w:rFonts w:cs="Times New Roman"/>
                <w:bCs/>
                <w:sz w:val="18"/>
                <w:szCs w:val="18"/>
              </w:rPr>
            </w:pPr>
            <w:r w:rsidRPr="00FC64BF">
              <w:rPr>
                <w:rFonts w:cs="Times New Roman"/>
                <w:bCs/>
                <w:sz w:val="18"/>
                <w:szCs w:val="18"/>
              </w:rPr>
              <w:t>0,00</w:t>
            </w:r>
          </w:p>
        </w:tc>
        <w:tc>
          <w:tcPr>
            <w:tcW w:w="1559" w:type="dxa"/>
            <w:vAlign w:val="center"/>
          </w:tcPr>
          <w:p w14:paraId="58D1FB71" w14:textId="1BEA8D60" w:rsidR="00A9289F" w:rsidRPr="00FC64BF" w:rsidRDefault="00A9289F" w:rsidP="00D36147">
            <w:pPr>
              <w:spacing w:line="276" w:lineRule="auto"/>
              <w:jc w:val="center"/>
              <w:rPr>
                <w:rFonts w:cs="Times New Roman"/>
                <w:bCs/>
                <w:sz w:val="18"/>
                <w:szCs w:val="18"/>
              </w:rPr>
            </w:pPr>
            <w:r w:rsidRPr="00FC64BF">
              <w:rPr>
                <w:rFonts w:cs="Times New Roman"/>
                <w:bCs/>
                <w:sz w:val="18"/>
                <w:szCs w:val="18"/>
              </w:rPr>
              <w:t>0,00</w:t>
            </w:r>
          </w:p>
        </w:tc>
      </w:tr>
      <w:tr w:rsidR="00A9289F" w:rsidRPr="006D1F45" w14:paraId="506522FB" w14:textId="77777777" w:rsidTr="00957968">
        <w:trPr>
          <w:trHeight w:val="436"/>
        </w:trPr>
        <w:tc>
          <w:tcPr>
            <w:tcW w:w="2547" w:type="dxa"/>
            <w:shd w:val="clear" w:color="auto" w:fill="F2F2F2" w:themeFill="background1" w:themeFillShade="F2"/>
            <w:vAlign w:val="center"/>
          </w:tcPr>
          <w:p w14:paraId="6B8418FA" w14:textId="23C416B7" w:rsidR="00A9289F" w:rsidRPr="00FC64BF" w:rsidRDefault="00A9289F" w:rsidP="004A3B23">
            <w:pPr>
              <w:spacing w:line="276" w:lineRule="auto"/>
              <w:rPr>
                <w:rFonts w:cs="Times New Roman"/>
                <w:sz w:val="18"/>
                <w:szCs w:val="18"/>
              </w:rPr>
            </w:pPr>
            <w:r w:rsidRPr="00FC64BF">
              <w:rPr>
                <w:rFonts w:cs="Times New Roman"/>
                <w:sz w:val="18"/>
                <w:szCs w:val="18"/>
              </w:rPr>
              <w:t xml:space="preserve">ROK PROVEDBE AKTIVNOSTI: </w:t>
            </w:r>
          </w:p>
        </w:tc>
        <w:tc>
          <w:tcPr>
            <w:tcW w:w="6520" w:type="dxa"/>
            <w:gridSpan w:val="3"/>
          </w:tcPr>
          <w:p w14:paraId="65A0D3D6" w14:textId="3884AB7E" w:rsidR="00A9289F" w:rsidRPr="00FC64BF" w:rsidRDefault="00662DA8" w:rsidP="00AB12E9">
            <w:pPr>
              <w:spacing w:line="276" w:lineRule="auto"/>
              <w:rPr>
                <w:rFonts w:cs="Times New Roman"/>
                <w:sz w:val="18"/>
                <w:szCs w:val="18"/>
              </w:rPr>
            </w:pPr>
            <w:r>
              <w:rPr>
                <w:rFonts w:cs="Times New Roman"/>
                <w:sz w:val="18"/>
                <w:szCs w:val="18"/>
              </w:rPr>
              <w:t>IV. kvartal 2025.</w:t>
            </w:r>
          </w:p>
        </w:tc>
      </w:tr>
    </w:tbl>
    <w:p w14:paraId="29F65E4F" w14:textId="77777777" w:rsidR="00664C9A" w:rsidRDefault="00664C9A" w:rsidP="00AB12E9">
      <w:pPr>
        <w:spacing w:after="0" w:line="276" w:lineRule="auto"/>
        <w:jc w:val="both"/>
        <w:rPr>
          <w:rFonts w:cs="Times New Roman"/>
          <w:i/>
          <w:iCs/>
          <w:szCs w:val="24"/>
        </w:rPr>
      </w:pPr>
    </w:p>
    <w:p w14:paraId="398F9407" w14:textId="77777777" w:rsidR="00B76094" w:rsidRPr="00FC64BF" w:rsidRDefault="00B76094" w:rsidP="00AB12E9">
      <w:pPr>
        <w:spacing w:after="0" w:line="276" w:lineRule="auto"/>
        <w:jc w:val="both"/>
        <w:rPr>
          <w:rFonts w:cs="Times New Roman"/>
          <w:i/>
          <w:iCs/>
          <w:szCs w:val="24"/>
        </w:rPr>
      </w:pPr>
    </w:p>
    <w:p w14:paraId="42E5D58D" w14:textId="120A233C" w:rsidR="003B0751" w:rsidRPr="00FC64BF" w:rsidRDefault="003B0751" w:rsidP="00AB12E9">
      <w:pPr>
        <w:spacing w:after="0" w:line="276" w:lineRule="auto"/>
        <w:jc w:val="both"/>
        <w:rPr>
          <w:rFonts w:cs="Times New Roman"/>
          <w:i/>
          <w:iCs/>
          <w:szCs w:val="24"/>
        </w:rPr>
      </w:pPr>
      <w:r w:rsidRPr="00FC64BF">
        <w:rPr>
          <w:rFonts w:cs="Times New Roman"/>
          <w:i/>
          <w:iCs/>
          <w:szCs w:val="24"/>
        </w:rPr>
        <w:lastRenderedPageBreak/>
        <w:t xml:space="preserve">Aktivnost </w:t>
      </w:r>
      <w:r w:rsidR="009418ED" w:rsidRPr="00FC64BF">
        <w:rPr>
          <w:rFonts w:cs="Times New Roman"/>
          <w:i/>
          <w:iCs/>
          <w:szCs w:val="24"/>
        </w:rPr>
        <w:t>1.1.</w:t>
      </w:r>
      <w:r w:rsidR="00BF5951" w:rsidRPr="00FC64BF">
        <w:rPr>
          <w:rFonts w:cs="Times New Roman"/>
          <w:i/>
          <w:iCs/>
          <w:szCs w:val="24"/>
        </w:rPr>
        <w:t>7</w:t>
      </w:r>
      <w:r w:rsidR="009418ED" w:rsidRPr="00FC64BF">
        <w:rPr>
          <w:rFonts w:cs="Times New Roman"/>
          <w:i/>
          <w:iCs/>
          <w:szCs w:val="24"/>
        </w:rPr>
        <w:t>. Osnaživanje provedbe međunarodnih dokumenata/ugovora (EU, VE, UN) u području zaštite prava pripadnika romske nacionalne manjine</w:t>
      </w:r>
    </w:p>
    <w:p w14:paraId="00E2275F" w14:textId="6CB822B7" w:rsidR="007C6944" w:rsidRPr="00FC64BF" w:rsidRDefault="007C6944" w:rsidP="00D36147">
      <w:pPr>
        <w:spacing w:after="0" w:line="276" w:lineRule="auto"/>
        <w:jc w:val="both"/>
        <w:rPr>
          <w:rFonts w:cs="Times New Roman"/>
          <w:i/>
          <w:iCs/>
          <w:szCs w:val="24"/>
        </w:rPr>
      </w:pPr>
      <w:r w:rsidRPr="00FC64BF">
        <w:rPr>
          <w:rFonts w:cs="Times New Roman"/>
          <w:i/>
          <w:iCs/>
          <w:szCs w:val="24"/>
        </w:rPr>
        <w:t xml:space="preserve">Nositelj provedbe: Ured </w:t>
      </w:r>
      <w:r w:rsidR="006F69FB">
        <w:rPr>
          <w:rFonts w:cs="Times New Roman"/>
          <w:i/>
          <w:iCs/>
          <w:szCs w:val="24"/>
        </w:rPr>
        <w:t>za ljudska prava i prava nacionalnih manjina</w:t>
      </w:r>
    </w:p>
    <w:p w14:paraId="121A124A" w14:textId="6261B096" w:rsidR="006D1F45" w:rsidRPr="00FC64BF" w:rsidRDefault="006D1F45" w:rsidP="00B27370">
      <w:pPr>
        <w:spacing w:after="0" w:line="276" w:lineRule="auto"/>
        <w:jc w:val="both"/>
        <w:rPr>
          <w:rFonts w:cs="Times New Roman"/>
          <w:szCs w:val="24"/>
        </w:rPr>
      </w:pPr>
    </w:p>
    <w:p w14:paraId="30DA3465" w14:textId="23AAD51E" w:rsidR="00B27370" w:rsidRDefault="00B27370" w:rsidP="00B27370">
      <w:pPr>
        <w:spacing w:line="276" w:lineRule="auto"/>
        <w:jc w:val="both"/>
      </w:pPr>
      <w:r w:rsidRPr="00CB1891">
        <w:t xml:space="preserve">Suradnja u okviru EU nastavljena je kroz mrežu Nacionalnih kontakt točaka za Rome </w:t>
      </w:r>
      <w:r>
        <w:t xml:space="preserve">na dva sastanka, mrežnom održanom </w:t>
      </w:r>
      <w:r w:rsidRPr="00765ABC">
        <w:t>2</w:t>
      </w:r>
      <w:r>
        <w:t>1</w:t>
      </w:r>
      <w:r w:rsidRPr="00765ABC">
        <w:t>. i 2</w:t>
      </w:r>
      <w:r>
        <w:t>2</w:t>
      </w:r>
      <w:r w:rsidRPr="00765ABC">
        <w:t>. ožujka 202</w:t>
      </w:r>
      <w:r>
        <w:t>4</w:t>
      </w:r>
      <w:r w:rsidRPr="00765ABC">
        <w:t xml:space="preserve">. </w:t>
      </w:r>
      <w:r>
        <w:t xml:space="preserve">te </w:t>
      </w:r>
      <w:r w:rsidRPr="00765ABC">
        <w:t xml:space="preserve">u Bruxellesu u sklopu </w:t>
      </w:r>
      <w:r>
        <w:t>mađarskog</w:t>
      </w:r>
      <w:r w:rsidRPr="00765ABC">
        <w:t xml:space="preserve"> predsjedanja EU, </w:t>
      </w:r>
      <w:r>
        <w:t>2</w:t>
      </w:r>
      <w:r w:rsidRPr="00765ABC">
        <w:t>. listopada 202</w:t>
      </w:r>
      <w:r>
        <w:t>4</w:t>
      </w:r>
      <w:r w:rsidRPr="00765ABC">
        <w:t xml:space="preserve">. </w:t>
      </w:r>
      <w:r>
        <w:t>P</w:t>
      </w:r>
      <w:r w:rsidRPr="00765ABC">
        <w:t>redstavnici Ureda</w:t>
      </w:r>
      <w:r w:rsidR="006F69FB">
        <w:t xml:space="preserve"> za ljudska prava i prava nacionalnih manjina</w:t>
      </w:r>
      <w:r w:rsidRPr="00765ABC">
        <w:t xml:space="preserve">, </w:t>
      </w:r>
      <w:r>
        <w:t xml:space="preserve">drugih nadležnih tijela, Grada Belog Manastira i romskog civilnog društva </w:t>
      </w:r>
      <w:r w:rsidRPr="00765ABC">
        <w:t>su sudjelovali i na 1</w:t>
      </w:r>
      <w:r>
        <w:t>7. sastanku Europske p</w:t>
      </w:r>
      <w:r w:rsidRPr="00765ABC">
        <w:t xml:space="preserve">latforme za uključivanje Roma, održanom u </w:t>
      </w:r>
      <w:r>
        <w:t>Bruxellesu</w:t>
      </w:r>
      <w:r w:rsidRPr="00765ABC">
        <w:t>, 1. prosinca 202</w:t>
      </w:r>
      <w:r>
        <w:t>4</w:t>
      </w:r>
      <w:r w:rsidRPr="00765ABC">
        <w:t>.</w:t>
      </w:r>
      <w:r>
        <w:t xml:space="preserve"> Sudjelovali su i na mrežnoj konferenciji „Osiguranje političke participacije Roma na lokalnoj, nacionalnoj i europskoj razini. Identificiranje zapreka, rješenja i dobrih praksi.“ 14. ožujka 2024. Predstavnici Ureda su također sudjelovali u izradi pripremnih dokumenata te </w:t>
      </w:r>
      <w:r w:rsidRPr="00FC64BF">
        <w:t xml:space="preserve">Prijedloga zaključaka Vijeća EU </w:t>
      </w:r>
      <w:r w:rsidRPr="00B27370">
        <w:t>o</w:t>
      </w:r>
      <w:r>
        <w:t xml:space="preserve"> poboljšanju dostupnosti usluga zbog smanjenja teritorijalnih nejednakosti i promocije socijalnog uključivanja. </w:t>
      </w:r>
    </w:p>
    <w:p w14:paraId="3E18D178" w14:textId="1D941FB0" w:rsidR="00B27370" w:rsidRDefault="00B27370" w:rsidP="00B27370">
      <w:pPr>
        <w:spacing w:line="276" w:lineRule="auto"/>
        <w:jc w:val="both"/>
      </w:pPr>
      <w:r>
        <w:t>U</w:t>
      </w:r>
      <w:r w:rsidRPr="00765ABC">
        <w:t xml:space="preserve">red je </w:t>
      </w:r>
      <w:r>
        <w:t xml:space="preserve">19. siječnja </w:t>
      </w:r>
      <w:r w:rsidRPr="00765ABC">
        <w:t>202</w:t>
      </w:r>
      <w:r>
        <w:t>4</w:t>
      </w:r>
      <w:r w:rsidRPr="00765ABC">
        <w:t xml:space="preserve">. dostavio Europskoj komisiji </w:t>
      </w:r>
      <w:r>
        <w:t xml:space="preserve">dopunu </w:t>
      </w:r>
      <w:r w:rsidRPr="00765ABC">
        <w:t>Izvješć</w:t>
      </w:r>
      <w:r>
        <w:t>a</w:t>
      </w:r>
      <w:r w:rsidRPr="00765ABC">
        <w:t xml:space="preserve"> o provedbi Okvira EU za uključivanje Roma za 202</w:t>
      </w:r>
      <w:r>
        <w:t>3</w:t>
      </w:r>
      <w:r w:rsidRPr="00765ABC">
        <w:t>. godinu</w:t>
      </w:r>
      <w:r>
        <w:t>.</w:t>
      </w:r>
    </w:p>
    <w:p w14:paraId="43DC90BA" w14:textId="0F0964FC" w:rsidR="00A01E1C" w:rsidRDefault="00A01E1C" w:rsidP="00FC64BF">
      <w:pPr>
        <w:spacing w:line="276" w:lineRule="auto"/>
        <w:jc w:val="both"/>
      </w:pPr>
      <w:r>
        <w:t xml:space="preserve">Ravnatelj Ureda sudjelovao je u Strasbourgu na 9. sastanku skupine stručnjaka za Rome Vijeća Europe (ADI-ROM) održanom 15. i 16. svibnja 2024. te na 10. sastanku održanom 29. i 30. listopada </w:t>
      </w:r>
      <w:r w:rsidRPr="000A1F05">
        <w:t xml:space="preserve">2024. Uz to, predstavnici Ureda su sudjelovali u posjetu tematske skupine stručnjaka Vijeća Europe za borbu protiv antiromskog rasizma i diskriminacije 9. i 10. rujna </w:t>
      </w:r>
      <w:r w:rsidR="00B27370" w:rsidRPr="000A1F05">
        <w:t>2024.</w:t>
      </w:r>
      <w:r w:rsidR="00325CD1">
        <w:t xml:space="preserve"> </w:t>
      </w:r>
      <w:r w:rsidRPr="000A1F05">
        <w:t xml:space="preserve">u Berlinu. Ured je organizirao tematski posjet skupine stručnjaka </w:t>
      </w:r>
      <w:r w:rsidR="00B27370" w:rsidRPr="000A1F05">
        <w:t xml:space="preserve">za Rome Vijeća Europe </w:t>
      </w:r>
      <w:r w:rsidRPr="000A1F05">
        <w:t xml:space="preserve">Republici Hrvatskoj </w:t>
      </w:r>
      <w:r w:rsidR="000A1F05" w:rsidRPr="000A1F05">
        <w:t xml:space="preserve">(Crna Gora, Grčka, Sjeverna Makedonija, Slovačka i Hrvatska), </w:t>
      </w:r>
      <w:r w:rsidRPr="000A1F05">
        <w:t>od 24. do 26. rujna 2024.</w:t>
      </w:r>
      <w:r w:rsidR="00441179" w:rsidRPr="000A1F05">
        <w:t>, p</w:t>
      </w:r>
      <w:r w:rsidR="00441179" w:rsidRPr="000A1F05">
        <w:rPr>
          <w:rFonts w:cs="Times New Roman"/>
        </w:rPr>
        <w:t>rezentirajući</w:t>
      </w:r>
      <w:r w:rsidR="00441179">
        <w:rPr>
          <w:rFonts w:cs="Times New Roman"/>
        </w:rPr>
        <w:t xml:space="preserve"> najbolje nacionalne prakse prikupljanja i analize podataka te participacije Roma, uz sudjelovanje Ministarstva unutarnjih poslova, Ministarstva </w:t>
      </w:r>
      <w:r w:rsidR="00A86FA4">
        <w:rPr>
          <w:rFonts w:cs="Times New Roman"/>
        </w:rPr>
        <w:t>znanosti, obrazovanja</w:t>
      </w:r>
      <w:r w:rsidR="00B76094">
        <w:rPr>
          <w:rFonts w:cs="Times New Roman"/>
        </w:rPr>
        <w:t xml:space="preserve"> i mladih</w:t>
      </w:r>
      <w:r w:rsidR="000A1F05">
        <w:rPr>
          <w:rFonts w:cs="Times New Roman"/>
        </w:rPr>
        <w:t>, Hrvatsk</w:t>
      </w:r>
      <w:r w:rsidR="00325CD1">
        <w:rPr>
          <w:rFonts w:cs="Times New Roman"/>
        </w:rPr>
        <w:t>og</w:t>
      </w:r>
      <w:r w:rsidR="000A1F05">
        <w:rPr>
          <w:rFonts w:cs="Times New Roman"/>
        </w:rPr>
        <w:t xml:space="preserve"> zavoda za javno zdravstvo, Ureda pučke pravobraniteljice,</w:t>
      </w:r>
      <w:r w:rsidR="00441179">
        <w:rPr>
          <w:rFonts w:cs="Times New Roman"/>
        </w:rPr>
        <w:t xml:space="preserve"> </w:t>
      </w:r>
      <w:r w:rsidR="00B76094">
        <w:rPr>
          <w:rFonts w:cs="Times New Roman"/>
        </w:rPr>
        <w:t>Saveza Roma u Republici Hrvatskoj „</w:t>
      </w:r>
      <w:r w:rsidR="00441179">
        <w:rPr>
          <w:rFonts w:cs="Times New Roman"/>
        </w:rPr>
        <w:t>Kali Sara</w:t>
      </w:r>
      <w:r w:rsidR="00B76094">
        <w:rPr>
          <w:rFonts w:cs="Times New Roman"/>
        </w:rPr>
        <w:t>“</w:t>
      </w:r>
      <w:r w:rsidR="00632059">
        <w:rPr>
          <w:rFonts w:cs="Times New Roman"/>
        </w:rPr>
        <w:t xml:space="preserve"> i drugih romskih udruga</w:t>
      </w:r>
      <w:r>
        <w:t>.</w:t>
      </w:r>
      <w:r w:rsidR="00B27370">
        <w:t xml:space="preserve"> </w:t>
      </w:r>
      <w:r>
        <w:t>Ured je također pomogao organizaciji studijske posjete stručnjaka iz Sjeverne Makedonije, a u organizaciji Vijeća Europe i uz podršku Mreže centara obrazovnih politika, o obrazovnoj integraciji djece Roma u Republici Hrvatskoj 4. lipnja 2024.</w:t>
      </w:r>
    </w:p>
    <w:p w14:paraId="1D8F4468" w14:textId="77777777" w:rsidR="00B27370" w:rsidRPr="007C1ACB" w:rsidRDefault="00A01E1C" w:rsidP="00FC64BF">
      <w:pPr>
        <w:spacing w:line="276" w:lineRule="auto"/>
        <w:jc w:val="both"/>
      </w:pPr>
      <w:r>
        <w:t xml:space="preserve">Ured je </w:t>
      </w:r>
      <w:r w:rsidRPr="00D22298">
        <w:rPr>
          <w:rFonts w:cs="Times New Roman"/>
          <w:szCs w:val="24"/>
        </w:rPr>
        <w:t xml:space="preserve">aktivno sudjelovao </w:t>
      </w:r>
      <w:r w:rsidR="00B27370" w:rsidRPr="00D22298">
        <w:rPr>
          <w:rFonts w:cs="Times New Roman"/>
          <w:szCs w:val="24"/>
        </w:rPr>
        <w:t xml:space="preserve">i </w:t>
      </w:r>
      <w:r w:rsidRPr="00D22298">
        <w:rPr>
          <w:rFonts w:cs="Times New Roman"/>
          <w:szCs w:val="24"/>
        </w:rPr>
        <w:t>u izradi Nacrta studije izvedivosti izrade politika desegregacije i uključivanja na području obrazovanja</w:t>
      </w:r>
      <w:r w:rsidRPr="007C1ACB">
        <w:rPr>
          <w:rFonts w:cs="Times New Roman"/>
          <w:szCs w:val="24"/>
        </w:rPr>
        <w:t xml:space="preserve"> Vijeća Europe.</w:t>
      </w:r>
      <w:r w:rsidR="00B27370" w:rsidRPr="007C1ACB">
        <w:rPr>
          <w:rFonts w:cs="Times New Roman"/>
          <w:szCs w:val="24"/>
        </w:rPr>
        <w:t xml:space="preserve"> </w:t>
      </w:r>
    </w:p>
    <w:p w14:paraId="1253B8E6" w14:textId="238116E9" w:rsidR="00A01E1C" w:rsidRPr="00181CD8" w:rsidRDefault="00A01E1C" w:rsidP="00FC64BF">
      <w:pPr>
        <w:spacing w:line="276" w:lineRule="auto"/>
        <w:jc w:val="both"/>
      </w:pPr>
      <w:r w:rsidRPr="007C1ACB">
        <w:rPr>
          <w:rFonts w:cs="Times New Roman"/>
          <w:szCs w:val="24"/>
        </w:rPr>
        <w:t xml:space="preserve">Predstavnici Ureda aktivno su sudjelovali na sastanku Odbora mreže EURoma, održanom u Budimpešti 24. i 25. </w:t>
      </w:r>
      <w:r w:rsidRPr="00662DA8">
        <w:rPr>
          <w:rFonts w:cs="Times New Roman"/>
          <w:szCs w:val="24"/>
        </w:rPr>
        <w:t xml:space="preserve">listopada </w:t>
      </w:r>
      <w:r w:rsidRPr="00957968">
        <w:rPr>
          <w:rFonts w:cs="Times New Roman"/>
          <w:szCs w:val="24"/>
        </w:rPr>
        <w:t>202</w:t>
      </w:r>
      <w:r w:rsidR="00185158" w:rsidRPr="00957968">
        <w:rPr>
          <w:rFonts w:cs="Times New Roman"/>
          <w:szCs w:val="24"/>
        </w:rPr>
        <w:t>4</w:t>
      </w:r>
      <w:r w:rsidRPr="00662DA8">
        <w:rPr>
          <w:rFonts w:cs="Times New Roman"/>
          <w:szCs w:val="24"/>
        </w:rPr>
        <w:t>. Uz</w:t>
      </w:r>
      <w:r w:rsidRPr="007C1ACB">
        <w:rPr>
          <w:rFonts w:cs="Times New Roman"/>
          <w:szCs w:val="24"/>
        </w:rPr>
        <w:t xml:space="preserve"> to, Ured je sudjelovao u doradi referentne publikacije EUROMA o pozivima na dostavu projektnih prijedloga kao ključnog elementa za postizanje jednakosti i uključenosti Roma.</w:t>
      </w:r>
    </w:p>
    <w:p w14:paraId="56C07005" w14:textId="07DC6550" w:rsidR="00B27370" w:rsidRPr="0040064A" w:rsidRDefault="00D765AF" w:rsidP="00FC64BF">
      <w:pPr>
        <w:spacing w:line="276" w:lineRule="auto"/>
        <w:jc w:val="both"/>
        <w:rPr>
          <w:rFonts w:cs="Times New Roman"/>
          <w:szCs w:val="24"/>
          <w:shd w:val="clear" w:color="auto" w:fill="FFFFFF"/>
        </w:rPr>
      </w:pPr>
      <w:r w:rsidRPr="0040064A">
        <w:rPr>
          <w:rFonts w:cs="Times New Roman"/>
          <w:szCs w:val="24"/>
        </w:rPr>
        <w:t xml:space="preserve">Tijekom </w:t>
      </w:r>
      <w:r w:rsidR="00B27370" w:rsidRPr="0040064A">
        <w:rPr>
          <w:rFonts w:cs="Times New Roman"/>
          <w:szCs w:val="24"/>
        </w:rPr>
        <w:t>posjet</w:t>
      </w:r>
      <w:r w:rsidRPr="0040064A">
        <w:rPr>
          <w:rFonts w:cs="Times New Roman"/>
          <w:szCs w:val="24"/>
        </w:rPr>
        <w:t>a</w:t>
      </w:r>
      <w:r w:rsidR="00B27370" w:rsidRPr="0040064A">
        <w:rPr>
          <w:rFonts w:cs="Times New Roman"/>
          <w:szCs w:val="24"/>
        </w:rPr>
        <w:t xml:space="preserve"> </w:t>
      </w:r>
      <w:r w:rsidR="00B27370" w:rsidRPr="0040064A">
        <w:rPr>
          <w:rFonts w:cs="Times New Roman"/>
          <w:szCs w:val="24"/>
          <w:shd w:val="clear" w:color="auto" w:fill="FFFFFF"/>
        </w:rPr>
        <w:t xml:space="preserve">izaslanstva </w:t>
      </w:r>
      <w:r w:rsidR="00734C8B" w:rsidRPr="0040064A">
        <w:rPr>
          <w:rFonts w:cs="Times New Roman"/>
          <w:szCs w:val="24"/>
          <w:shd w:val="clear" w:color="auto" w:fill="FFFFFF"/>
        </w:rPr>
        <w:t>E</w:t>
      </w:r>
      <w:r w:rsidR="00B27370" w:rsidRPr="0040064A">
        <w:rPr>
          <w:rFonts w:cs="Times New Roman"/>
          <w:szCs w:val="24"/>
          <w:shd w:val="clear" w:color="auto" w:fill="FFFFFF"/>
        </w:rPr>
        <w:t xml:space="preserve">uropske komisije </w:t>
      </w:r>
      <w:r w:rsidRPr="0040064A">
        <w:rPr>
          <w:rFonts w:cs="Times New Roman"/>
          <w:szCs w:val="24"/>
          <w:shd w:val="clear" w:color="auto" w:fill="FFFFFF"/>
        </w:rPr>
        <w:t>Vijeća</w:t>
      </w:r>
      <w:r w:rsidR="00B27370" w:rsidRPr="0040064A">
        <w:rPr>
          <w:rFonts w:cs="Times New Roman"/>
          <w:szCs w:val="24"/>
          <w:shd w:val="clear" w:color="auto" w:fill="FFFFFF"/>
        </w:rPr>
        <w:t xml:space="preserve"> Europe za borbu protiv rasizma i nesnošljivosti (ECRI) Republici Hrvatskoj, uz sastanke održane 2</w:t>
      </w:r>
      <w:r w:rsidR="00B27370" w:rsidRPr="0040064A">
        <w:rPr>
          <w:rFonts w:cs="Times New Roman"/>
          <w:szCs w:val="24"/>
        </w:rPr>
        <w:t>4. i 25. travnja 2025.</w:t>
      </w:r>
      <w:r w:rsidR="0040064A">
        <w:rPr>
          <w:rFonts w:cs="Times New Roman"/>
          <w:szCs w:val="24"/>
        </w:rPr>
        <w:t>,</w:t>
      </w:r>
      <w:r w:rsidR="00B27370" w:rsidRPr="0040064A">
        <w:rPr>
          <w:rFonts w:cs="Times New Roman"/>
          <w:szCs w:val="24"/>
        </w:rPr>
        <w:t xml:space="preserve"> Ured je članovima izaslanstva dostavio dodatne materijale. Također, priređen je i prilog </w:t>
      </w:r>
      <w:r w:rsidR="00B27370" w:rsidRPr="0040064A">
        <w:rPr>
          <w:rFonts w:cs="Times New Roman"/>
          <w:szCs w:val="24"/>
          <w:shd w:val="clear" w:color="auto" w:fill="FFFFFF"/>
        </w:rPr>
        <w:t>o napretku ostvarenom u području primjene Konvencije o uklanjanju svih oblika diskriminacije žena radi pripreme redovnog Šestog periodičnog izvješća prema članku 18. UN-ove Konvencije o uklanjanju svih oblika diskriminacije žena (CEDAW).</w:t>
      </w:r>
    </w:p>
    <w:p w14:paraId="57C7B4A9" w14:textId="34858C1A" w:rsidR="001162D2" w:rsidRDefault="00441D70" w:rsidP="00B75335">
      <w:pPr>
        <w:overflowPunct w:val="0"/>
        <w:autoSpaceDE w:val="0"/>
        <w:autoSpaceDN w:val="0"/>
        <w:adjustRightInd w:val="0"/>
        <w:spacing w:after="120" w:line="276" w:lineRule="auto"/>
        <w:jc w:val="both"/>
        <w:textAlignment w:val="baseline"/>
        <w:rPr>
          <w:szCs w:val="24"/>
        </w:rPr>
      </w:pPr>
      <w:r w:rsidRPr="003027F5">
        <w:rPr>
          <w:rFonts w:cs="Times New Roman"/>
          <w:color w:val="000000"/>
          <w:szCs w:val="24"/>
          <w:shd w:val="clear" w:color="auto" w:fill="FFFFFF"/>
        </w:rPr>
        <w:lastRenderedPageBreak/>
        <w:t xml:space="preserve">Ujedno, Ured je </w:t>
      </w:r>
      <w:r w:rsidR="003B31A4" w:rsidRPr="003027F5">
        <w:rPr>
          <w:rFonts w:cs="Times New Roman"/>
          <w:color w:val="000000"/>
          <w:szCs w:val="24"/>
          <w:shd w:val="clear" w:color="auto" w:fill="FFFFFF"/>
        </w:rPr>
        <w:t>sudjelovao</w:t>
      </w:r>
      <w:r w:rsidRPr="003027F5">
        <w:rPr>
          <w:rFonts w:cs="Times New Roman"/>
          <w:color w:val="000000"/>
          <w:szCs w:val="24"/>
          <w:shd w:val="clear" w:color="auto" w:fill="FFFFFF"/>
        </w:rPr>
        <w:t xml:space="preserve"> u pripremi p</w:t>
      </w:r>
      <w:r w:rsidR="003B31A4" w:rsidRPr="003027F5">
        <w:rPr>
          <w:rFonts w:cs="Times New Roman"/>
          <w:color w:val="000000"/>
          <w:szCs w:val="24"/>
          <w:shd w:val="clear" w:color="auto" w:fill="FFFFFF"/>
        </w:rPr>
        <w:t>r</w:t>
      </w:r>
      <w:r w:rsidRPr="003027F5">
        <w:rPr>
          <w:rFonts w:cs="Times New Roman"/>
          <w:color w:val="000000"/>
          <w:szCs w:val="24"/>
          <w:shd w:val="clear" w:color="auto" w:fill="FFFFFF"/>
        </w:rPr>
        <w:t>ilog</w:t>
      </w:r>
      <w:r w:rsidR="003B31A4" w:rsidRPr="003027F5">
        <w:rPr>
          <w:rFonts w:cs="Times New Roman"/>
          <w:color w:val="000000"/>
          <w:szCs w:val="24"/>
          <w:shd w:val="clear" w:color="auto" w:fill="FFFFFF"/>
        </w:rPr>
        <w:t>a</w:t>
      </w:r>
      <w:r w:rsidRPr="003027F5">
        <w:rPr>
          <w:rFonts w:cs="Times New Roman"/>
          <w:color w:val="000000"/>
          <w:szCs w:val="24"/>
          <w:shd w:val="clear" w:color="auto" w:fill="FFFFFF"/>
        </w:rPr>
        <w:t xml:space="preserve"> za</w:t>
      </w:r>
      <w:r w:rsidR="00B27370" w:rsidRPr="003027F5">
        <w:rPr>
          <w:rFonts w:cs="Times New Roman"/>
          <w:color w:val="000000"/>
          <w:szCs w:val="24"/>
          <w:shd w:val="clear" w:color="auto" w:fill="FFFFFF"/>
        </w:rPr>
        <w:t xml:space="preserve"> </w:t>
      </w:r>
      <w:r w:rsidRPr="00D1280F">
        <w:rPr>
          <w:rFonts w:cs="Times New Roman"/>
          <w:color w:val="000000"/>
          <w:szCs w:val="24"/>
          <w:shd w:val="clear" w:color="auto" w:fill="FFFFFF"/>
        </w:rPr>
        <w:t>o</w:t>
      </w:r>
      <w:r w:rsidR="00B27370" w:rsidRPr="00D1280F">
        <w:rPr>
          <w:rFonts w:cs="Times New Roman"/>
          <w:color w:val="000000"/>
          <w:szCs w:val="24"/>
          <w:shd w:val="clear" w:color="auto" w:fill="FFFFFF"/>
        </w:rPr>
        <w:t xml:space="preserve">brana Drugog periodičnog izvješća o primjeni </w:t>
      </w:r>
      <w:r w:rsidR="00B75335" w:rsidRPr="00D1280F">
        <w:rPr>
          <w:rFonts w:cs="Times New Roman"/>
          <w:color w:val="000000"/>
          <w:szCs w:val="24"/>
          <w:shd w:val="clear" w:color="auto" w:fill="FFFFFF"/>
        </w:rPr>
        <w:t>Međunarodnog p</w:t>
      </w:r>
      <w:r w:rsidR="00B27370" w:rsidRPr="00D1280F">
        <w:rPr>
          <w:rFonts w:cs="Times New Roman"/>
          <w:color w:val="000000"/>
          <w:szCs w:val="24"/>
          <w:shd w:val="clear" w:color="auto" w:fill="FFFFFF"/>
        </w:rPr>
        <w:t>akta o gospodarskim, socijalnim i kulturnim pravima</w:t>
      </w:r>
      <w:r w:rsidRPr="00D1280F">
        <w:rPr>
          <w:rFonts w:cs="Times New Roman"/>
          <w:color w:val="000000"/>
          <w:szCs w:val="24"/>
          <w:shd w:val="clear" w:color="auto" w:fill="FFFFFF"/>
        </w:rPr>
        <w:t xml:space="preserve"> i </w:t>
      </w:r>
      <w:r w:rsidR="00B27370" w:rsidRPr="00D1280F">
        <w:rPr>
          <w:rFonts w:cs="Times New Roman"/>
          <w:color w:val="000000"/>
          <w:szCs w:val="24"/>
          <w:shd w:val="clear" w:color="auto" w:fill="FFFFFF"/>
        </w:rPr>
        <w:t>Četvrtog periodičnog izvješća o primjeni Međunarodnog pakta o građanskim i političkim pravima</w:t>
      </w:r>
      <w:r w:rsidR="00B27370" w:rsidRPr="003027F5">
        <w:rPr>
          <w:rFonts w:cs="Times New Roman"/>
          <w:color w:val="000000"/>
          <w:szCs w:val="24"/>
          <w:shd w:val="clear" w:color="auto" w:fill="FFFFFF"/>
        </w:rPr>
        <w:t xml:space="preserve"> </w:t>
      </w:r>
      <w:r w:rsidRPr="003027F5">
        <w:rPr>
          <w:rFonts w:cs="Times New Roman"/>
          <w:color w:val="000000"/>
          <w:szCs w:val="24"/>
          <w:shd w:val="clear" w:color="auto" w:fill="FFFFFF"/>
        </w:rPr>
        <w:t>te bio dio del</w:t>
      </w:r>
      <w:r w:rsidR="003B31A4" w:rsidRPr="003027F5">
        <w:rPr>
          <w:rFonts w:cs="Times New Roman"/>
          <w:color w:val="000000"/>
          <w:szCs w:val="24"/>
          <w:shd w:val="clear" w:color="auto" w:fill="FFFFFF"/>
        </w:rPr>
        <w:t>e</w:t>
      </w:r>
      <w:r w:rsidRPr="003027F5">
        <w:rPr>
          <w:rFonts w:cs="Times New Roman"/>
          <w:color w:val="000000"/>
          <w:szCs w:val="24"/>
          <w:shd w:val="clear" w:color="auto" w:fill="FFFFFF"/>
        </w:rPr>
        <w:t>gacije prilikom njegova predstavljanja.</w:t>
      </w:r>
      <w:r w:rsidR="00B75335" w:rsidRPr="003027F5">
        <w:rPr>
          <w:rFonts w:cs="Times New Roman"/>
          <w:color w:val="000000"/>
          <w:szCs w:val="24"/>
          <w:shd w:val="clear" w:color="auto" w:fill="FFFFFF"/>
        </w:rPr>
        <w:t xml:space="preserve"> </w:t>
      </w:r>
      <w:r w:rsidR="00B75335" w:rsidRPr="003027F5">
        <w:rPr>
          <w:szCs w:val="24"/>
        </w:rPr>
        <w:t xml:space="preserve">U prosincu 2024., </w:t>
      </w:r>
      <w:r w:rsidR="00841CC7">
        <w:rPr>
          <w:szCs w:val="24"/>
        </w:rPr>
        <w:t>Ured</w:t>
      </w:r>
      <w:r w:rsidR="00B75335" w:rsidRPr="003027F5">
        <w:rPr>
          <w:szCs w:val="24"/>
        </w:rPr>
        <w:t xml:space="preserve"> dostavio je očitovanje Republike Hrvatske</w:t>
      </w:r>
      <w:r w:rsidR="00B75335" w:rsidRPr="00D1280F">
        <w:rPr>
          <w:szCs w:val="24"/>
        </w:rPr>
        <w:t xml:space="preserve"> o provedbi hitnih preporuka UN-ovom Odboru </w:t>
      </w:r>
      <w:r w:rsidR="00B75335" w:rsidRPr="00D1280F">
        <w:rPr>
          <w:szCs w:val="24"/>
          <w:shd w:val="clear" w:color="auto" w:fill="FFFFFF"/>
        </w:rPr>
        <w:t>za uklanjanje rasne diskriminacije (CERD)</w:t>
      </w:r>
      <w:r w:rsidR="00B75335" w:rsidRPr="00D1280F">
        <w:rPr>
          <w:szCs w:val="24"/>
        </w:rPr>
        <w:t xml:space="preserve">, sukladno članku 9. stavku 1. </w:t>
      </w:r>
      <w:r w:rsidR="00B75335" w:rsidRPr="00D1280F">
        <w:rPr>
          <w:bCs/>
          <w:szCs w:val="24"/>
        </w:rPr>
        <w:t>Međunarodne</w:t>
      </w:r>
      <w:r w:rsidR="00B75335" w:rsidRPr="00B75335">
        <w:rPr>
          <w:bCs/>
          <w:szCs w:val="24"/>
        </w:rPr>
        <w:t xml:space="preserve"> konvencije o ukidanju svih oblika rasne diskriminacije</w:t>
      </w:r>
      <w:r w:rsidR="00B75335">
        <w:rPr>
          <w:szCs w:val="24"/>
        </w:rPr>
        <w:t xml:space="preserve">. </w:t>
      </w:r>
    </w:p>
    <w:p w14:paraId="5D98BDD8" w14:textId="7357DBC3" w:rsidR="000635E0" w:rsidRPr="00FC64BF" w:rsidRDefault="001162D2" w:rsidP="001162D2">
      <w:pPr>
        <w:overflowPunct w:val="0"/>
        <w:autoSpaceDE w:val="0"/>
        <w:autoSpaceDN w:val="0"/>
        <w:adjustRightInd w:val="0"/>
        <w:spacing w:after="120" w:line="276" w:lineRule="auto"/>
        <w:jc w:val="both"/>
        <w:textAlignment w:val="baseline"/>
        <w:rPr>
          <w:rFonts w:cs="Times New Roman"/>
          <w:iCs/>
        </w:rPr>
      </w:pPr>
      <w:r w:rsidRPr="004352DC">
        <w:rPr>
          <w:rFonts w:cs="Times New Roman"/>
          <w:szCs w:val="24"/>
        </w:rPr>
        <w:t xml:space="preserve">Ministarstvo </w:t>
      </w:r>
      <w:r>
        <w:rPr>
          <w:rFonts w:cs="Times New Roman"/>
          <w:szCs w:val="24"/>
        </w:rPr>
        <w:t xml:space="preserve">vanjskih i europskih poslova </w:t>
      </w:r>
      <w:r w:rsidRPr="004352DC">
        <w:rPr>
          <w:rFonts w:cs="Times New Roman"/>
          <w:szCs w:val="24"/>
        </w:rPr>
        <w:t xml:space="preserve">je nositelj izrade nacionalnog izvješća prema </w:t>
      </w:r>
      <w:r w:rsidRPr="003027F5">
        <w:rPr>
          <w:rFonts w:cs="Times New Roman"/>
          <w:b/>
          <w:szCs w:val="24"/>
        </w:rPr>
        <w:t>UPR</w:t>
      </w:r>
      <w:r w:rsidR="004713E5">
        <w:rPr>
          <w:rFonts w:cs="Times New Roman"/>
          <w:b/>
          <w:szCs w:val="24"/>
        </w:rPr>
        <w:t>-u</w:t>
      </w:r>
      <w:r w:rsidRPr="003027F5">
        <w:rPr>
          <w:rFonts w:cs="Times New Roman"/>
          <w:b/>
          <w:szCs w:val="24"/>
        </w:rPr>
        <w:t>,</w:t>
      </w:r>
      <w:r w:rsidRPr="003027F5">
        <w:rPr>
          <w:rFonts w:cs="Times New Roman"/>
          <w:szCs w:val="24"/>
        </w:rPr>
        <w:t xml:space="preserve"> kao i njegovih među-izvješća (sukladno dobrovoljnom doprinosu Republike Hrvatske). Krajem 2024. </w:t>
      </w:r>
      <w:r w:rsidR="004713E5">
        <w:rPr>
          <w:rFonts w:cs="Times New Roman"/>
          <w:szCs w:val="24"/>
        </w:rPr>
        <w:t xml:space="preserve">godine </w:t>
      </w:r>
      <w:r w:rsidR="006F69FB">
        <w:rPr>
          <w:rFonts w:cs="Times New Roman"/>
          <w:szCs w:val="24"/>
        </w:rPr>
        <w:t xml:space="preserve">Ministarstvo vanjskih i europskih poslova </w:t>
      </w:r>
      <w:r w:rsidRPr="00D1280F">
        <w:rPr>
          <w:rFonts w:cs="Times New Roman"/>
          <w:szCs w:val="24"/>
        </w:rPr>
        <w:t>uputi</w:t>
      </w:r>
      <w:r w:rsidR="006F69FB">
        <w:rPr>
          <w:rFonts w:cs="Times New Roman"/>
          <w:szCs w:val="24"/>
        </w:rPr>
        <w:t>lo</w:t>
      </w:r>
      <w:r w:rsidRPr="00D1280F">
        <w:rPr>
          <w:rFonts w:cs="Times New Roman"/>
          <w:szCs w:val="24"/>
        </w:rPr>
        <w:t xml:space="preserve"> </w:t>
      </w:r>
      <w:r w:rsidR="006F69FB">
        <w:rPr>
          <w:rFonts w:cs="Times New Roman"/>
          <w:szCs w:val="24"/>
        </w:rPr>
        <w:t xml:space="preserve"> je </w:t>
      </w:r>
      <w:r w:rsidRPr="00D1280F">
        <w:rPr>
          <w:rFonts w:cs="Times New Roman"/>
          <w:szCs w:val="24"/>
        </w:rPr>
        <w:t xml:space="preserve">svim nadležnim tijelima poziv na suradnju u izradi </w:t>
      </w:r>
      <w:r w:rsidRPr="00D1280F">
        <w:rPr>
          <w:rFonts w:cs="Times New Roman"/>
          <w:b/>
          <w:szCs w:val="24"/>
        </w:rPr>
        <w:t xml:space="preserve">Nacionalnog UPR izvješća </w:t>
      </w:r>
      <w:r w:rsidRPr="00D1280F">
        <w:rPr>
          <w:rFonts w:cs="Times New Roman"/>
          <w:szCs w:val="24"/>
        </w:rPr>
        <w:t>(u okviru četvrtog ciklusa)</w:t>
      </w:r>
      <w:r w:rsidRPr="003027F5">
        <w:rPr>
          <w:shd w:val="clear" w:color="auto" w:fill="FFFFFF"/>
        </w:rPr>
        <w:t>.</w:t>
      </w:r>
    </w:p>
    <w:p w14:paraId="081178FC" w14:textId="77777777" w:rsidR="002E36EB" w:rsidRPr="00FC64BF" w:rsidRDefault="002E36EB" w:rsidP="00D36147">
      <w:pPr>
        <w:spacing w:after="0" w:line="276" w:lineRule="auto"/>
        <w:jc w:val="both"/>
        <w:rPr>
          <w:rFonts w:cs="Times New Roman"/>
          <w:iCs/>
        </w:rPr>
      </w:pPr>
    </w:p>
    <w:tbl>
      <w:tblPr>
        <w:tblStyle w:val="TableGrid"/>
        <w:tblW w:w="9161" w:type="dxa"/>
        <w:tblLayout w:type="fixed"/>
        <w:tblLook w:val="04A0" w:firstRow="1" w:lastRow="0" w:firstColumn="1" w:lastColumn="0" w:noHBand="0" w:noVBand="1"/>
      </w:tblPr>
      <w:tblGrid>
        <w:gridCol w:w="2919"/>
        <w:gridCol w:w="2377"/>
        <w:gridCol w:w="2086"/>
        <w:gridCol w:w="1779"/>
      </w:tblGrid>
      <w:tr w:rsidR="00CE622A" w:rsidRPr="004C61FD" w14:paraId="539E4B9D" w14:textId="77777777" w:rsidTr="000635E0">
        <w:trPr>
          <w:trHeight w:val="522"/>
        </w:trPr>
        <w:tc>
          <w:tcPr>
            <w:tcW w:w="2919" w:type="dxa"/>
            <w:shd w:val="clear" w:color="auto" w:fill="F2F2F2" w:themeFill="background1" w:themeFillShade="F2"/>
            <w:vAlign w:val="center"/>
          </w:tcPr>
          <w:p w14:paraId="4FEFEA1C" w14:textId="12646548" w:rsidR="00976BAA" w:rsidRPr="00FC64BF" w:rsidRDefault="00B510B5" w:rsidP="004A3B23">
            <w:pPr>
              <w:spacing w:line="276" w:lineRule="auto"/>
              <w:rPr>
                <w:rFonts w:cs="Times New Roman"/>
                <w:b/>
                <w:sz w:val="20"/>
                <w:szCs w:val="20"/>
              </w:rPr>
            </w:pPr>
            <w:r w:rsidRPr="00FC64BF">
              <w:rPr>
                <w:rFonts w:cs="Times New Roman"/>
                <w:b/>
                <w:sz w:val="20"/>
                <w:szCs w:val="20"/>
              </w:rPr>
              <w:t>Pokazatelji provedbe i pokazatelji uspješnosti provedbe</w:t>
            </w:r>
          </w:p>
        </w:tc>
        <w:tc>
          <w:tcPr>
            <w:tcW w:w="2377" w:type="dxa"/>
            <w:shd w:val="clear" w:color="auto" w:fill="F2F2F2" w:themeFill="background1" w:themeFillShade="F2"/>
            <w:vAlign w:val="center"/>
          </w:tcPr>
          <w:p w14:paraId="716697EA" w14:textId="77777777" w:rsidR="00976BAA" w:rsidRPr="00FC64BF" w:rsidRDefault="00976BAA" w:rsidP="00AB12E9">
            <w:pPr>
              <w:spacing w:line="276" w:lineRule="auto"/>
              <w:jc w:val="center"/>
              <w:rPr>
                <w:rFonts w:cs="Times New Roman"/>
                <w:b/>
                <w:sz w:val="20"/>
                <w:szCs w:val="20"/>
              </w:rPr>
            </w:pPr>
            <w:r w:rsidRPr="00FC64BF">
              <w:rPr>
                <w:rFonts w:cs="Times New Roman"/>
                <w:b/>
                <w:sz w:val="20"/>
                <w:szCs w:val="20"/>
              </w:rPr>
              <w:t xml:space="preserve">Broj </w:t>
            </w:r>
            <w:r w:rsidR="00AB2EFB" w:rsidRPr="00FC64BF">
              <w:rPr>
                <w:rFonts w:cs="Times New Roman"/>
                <w:b/>
                <w:sz w:val="20"/>
                <w:szCs w:val="20"/>
              </w:rPr>
              <w:t>sastanaka</w:t>
            </w:r>
          </w:p>
        </w:tc>
        <w:tc>
          <w:tcPr>
            <w:tcW w:w="2086" w:type="dxa"/>
            <w:shd w:val="clear" w:color="auto" w:fill="F2F2F2" w:themeFill="background1" w:themeFillShade="F2"/>
            <w:vAlign w:val="center"/>
          </w:tcPr>
          <w:p w14:paraId="0BF0BE33" w14:textId="77777777" w:rsidR="00AB2EFB" w:rsidRPr="00FC64BF" w:rsidRDefault="00AB2EFB" w:rsidP="00D36147">
            <w:pPr>
              <w:spacing w:line="276" w:lineRule="auto"/>
              <w:jc w:val="center"/>
              <w:rPr>
                <w:rFonts w:cs="Times New Roman"/>
                <w:b/>
                <w:sz w:val="20"/>
                <w:szCs w:val="20"/>
              </w:rPr>
            </w:pPr>
            <w:r w:rsidRPr="00FC64BF">
              <w:rPr>
                <w:rFonts w:cs="Times New Roman"/>
                <w:b/>
                <w:sz w:val="20"/>
                <w:szCs w:val="20"/>
              </w:rPr>
              <w:t>Broj upućenih izvješća</w:t>
            </w:r>
          </w:p>
        </w:tc>
        <w:tc>
          <w:tcPr>
            <w:tcW w:w="1777" w:type="dxa"/>
            <w:shd w:val="clear" w:color="auto" w:fill="F2F2F2" w:themeFill="background1" w:themeFillShade="F2"/>
            <w:vAlign w:val="center"/>
          </w:tcPr>
          <w:p w14:paraId="2DBD5623" w14:textId="77777777" w:rsidR="00976BAA" w:rsidRPr="00FC64BF" w:rsidRDefault="00976BAA" w:rsidP="00D36147">
            <w:pPr>
              <w:spacing w:line="276" w:lineRule="auto"/>
              <w:jc w:val="center"/>
              <w:rPr>
                <w:rFonts w:cs="Times New Roman"/>
                <w:b/>
                <w:sz w:val="20"/>
                <w:szCs w:val="20"/>
              </w:rPr>
            </w:pPr>
          </w:p>
        </w:tc>
      </w:tr>
      <w:tr w:rsidR="00CE622A" w:rsidRPr="004C61FD" w14:paraId="446C5E9B" w14:textId="77777777" w:rsidTr="000635E0">
        <w:trPr>
          <w:trHeight w:val="522"/>
        </w:trPr>
        <w:tc>
          <w:tcPr>
            <w:tcW w:w="2919" w:type="dxa"/>
            <w:shd w:val="clear" w:color="auto" w:fill="F2F2F2" w:themeFill="background1" w:themeFillShade="F2"/>
            <w:vAlign w:val="center"/>
          </w:tcPr>
          <w:p w14:paraId="5B4937B2" w14:textId="5B36A174" w:rsidR="00715EB3" w:rsidRPr="00FC64BF" w:rsidRDefault="00715EB3" w:rsidP="000A1F05">
            <w:pPr>
              <w:spacing w:line="276" w:lineRule="auto"/>
              <w:rPr>
                <w:rFonts w:cs="Times New Roman"/>
                <w:sz w:val="20"/>
                <w:szCs w:val="20"/>
              </w:rPr>
            </w:pPr>
            <w:r w:rsidRPr="00FC64BF">
              <w:rPr>
                <w:rFonts w:cs="Times New Roman"/>
                <w:sz w:val="20"/>
                <w:szCs w:val="20"/>
              </w:rPr>
              <w:t>Planirani ishodi za pokazatelje provedbe u 202</w:t>
            </w:r>
            <w:r w:rsidR="000A1F05">
              <w:rPr>
                <w:rFonts w:cs="Times New Roman"/>
                <w:sz w:val="20"/>
                <w:szCs w:val="20"/>
              </w:rPr>
              <w:t>4</w:t>
            </w:r>
            <w:r w:rsidRPr="00FC64BF">
              <w:rPr>
                <w:rFonts w:cs="Times New Roman"/>
                <w:sz w:val="20"/>
                <w:szCs w:val="20"/>
              </w:rPr>
              <w:t>. godini</w:t>
            </w:r>
          </w:p>
        </w:tc>
        <w:tc>
          <w:tcPr>
            <w:tcW w:w="2377" w:type="dxa"/>
            <w:vAlign w:val="center"/>
          </w:tcPr>
          <w:p w14:paraId="22EA8E9E" w14:textId="63693BFE" w:rsidR="00715EB3" w:rsidRPr="00A86FA4" w:rsidRDefault="003C7004" w:rsidP="00AB12E9">
            <w:pPr>
              <w:spacing w:line="276" w:lineRule="auto"/>
              <w:jc w:val="center"/>
              <w:rPr>
                <w:rFonts w:cs="Times New Roman"/>
                <w:sz w:val="20"/>
                <w:szCs w:val="20"/>
              </w:rPr>
            </w:pPr>
            <w:r w:rsidRPr="00A86FA4">
              <w:rPr>
                <w:rFonts w:cs="Times New Roman"/>
                <w:sz w:val="20"/>
                <w:szCs w:val="20"/>
              </w:rPr>
              <w:t>7</w:t>
            </w:r>
          </w:p>
        </w:tc>
        <w:tc>
          <w:tcPr>
            <w:tcW w:w="2086" w:type="dxa"/>
            <w:vAlign w:val="center"/>
          </w:tcPr>
          <w:p w14:paraId="1B6E0CE8" w14:textId="49899EBA" w:rsidR="00715EB3" w:rsidRPr="00A86FA4" w:rsidRDefault="00920EE9" w:rsidP="00D36147">
            <w:pPr>
              <w:spacing w:line="276" w:lineRule="auto"/>
              <w:jc w:val="center"/>
              <w:rPr>
                <w:rFonts w:cs="Times New Roman"/>
                <w:sz w:val="20"/>
                <w:szCs w:val="20"/>
              </w:rPr>
            </w:pPr>
            <w:r w:rsidRPr="00A86FA4">
              <w:rPr>
                <w:rFonts w:cs="Times New Roman"/>
                <w:sz w:val="20"/>
                <w:szCs w:val="20"/>
              </w:rPr>
              <w:t>1</w:t>
            </w:r>
          </w:p>
        </w:tc>
        <w:tc>
          <w:tcPr>
            <w:tcW w:w="1777" w:type="dxa"/>
            <w:vAlign w:val="center"/>
          </w:tcPr>
          <w:p w14:paraId="67F1DB06" w14:textId="77777777" w:rsidR="00715EB3" w:rsidRPr="00A86FA4" w:rsidRDefault="00715EB3" w:rsidP="00D36147">
            <w:pPr>
              <w:spacing w:line="276" w:lineRule="auto"/>
              <w:jc w:val="center"/>
              <w:rPr>
                <w:rFonts w:cs="Times New Roman"/>
                <w:sz w:val="20"/>
                <w:szCs w:val="20"/>
              </w:rPr>
            </w:pPr>
          </w:p>
        </w:tc>
      </w:tr>
      <w:tr w:rsidR="00CE622A" w:rsidRPr="004C61FD" w14:paraId="14FAA005" w14:textId="77777777" w:rsidTr="000635E0">
        <w:trPr>
          <w:trHeight w:val="522"/>
        </w:trPr>
        <w:tc>
          <w:tcPr>
            <w:tcW w:w="2919" w:type="dxa"/>
            <w:shd w:val="clear" w:color="auto" w:fill="F2F2F2" w:themeFill="background1" w:themeFillShade="F2"/>
            <w:vAlign w:val="center"/>
          </w:tcPr>
          <w:p w14:paraId="7AC7AA23" w14:textId="5EDD45B7" w:rsidR="00715EB3" w:rsidRPr="00FC64BF" w:rsidRDefault="00715EB3" w:rsidP="000A1F05">
            <w:pPr>
              <w:spacing w:line="276" w:lineRule="auto"/>
              <w:rPr>
                <w:rFonts w:cs="Times New Roman"/>
                <w:sz w:val="20"/>
                <w:szCs w:val="20"/>
              </w:rPr>
            </w:pPr>
            <w:r w:rsidRPr="00FC64BF">
              <w:rPr>
                <w:rFonts w:cs="Times New Roman"/>
                <w:sz w:val="20"/>
                <w:szCs w:val="20"/>
              </w:rPr>
              <w:t>Ostvareni ishodi za pokazatelje provedbe u 202</w:t>
            </w:r>
            <w:r w:rsidR="000A1F05">
              <w:rPr>
                <w:rFonts w:cs="Times New Roman"/>
                <w:sz w:val="20"/>
                <w:szCs w:val="20"/>
              </w:rPr>
              <w:t>4</w:t>
            </w:r>
            <w:r w:rsidRPr="00FC64BF">
              <w:rPr>
                <w:rFonts w:cs="Times New Roman"/>
                <w:sz w:val="20"/>
                <w:szCs w:val="20"/>
              </w:rPr>
              <w:t>. godini</w:t>
            </w:r>
          </w:p>
        </w:tc>
        <w:tc>
          <w:tcPr>
            <w:tcW w:w="2377" w:type="dxa"/>
            <w:vAlign w:val="center"/>
          </w:tcPr>
          <w:p w14:paraId="58D6F454" w14:textId="7D8A91C4" w:rsidR="00715EB3" w:rsidRPr="00A86FA4" w:rsidRDefault="00AA295C" w:rsidP="00A86FA4">
            <w:pPr>
              <w:spacing w:line="276" w:lineRule="auto"/>
              <w:jc w:val="center"/>
              <w:rPr>
                <w:rFonts w:cs="Times New Roman"/>
                <w:sz w:val="20"/>
                <w:szCs w:val="20"/>
              </w:rPr>
            </w:pPr>
            <w:r w:rsidRPr="00A86FA4">
              <w:rPr>
                <w:rFonts w:cs="Times New Roman"/>
                <w:sz w:val="20"/>
                <w:szCs w:val="20"/>
              </w:rPr>
              <w:t>1</w:t>
            </w:r>
            <w:r w:rsidR="00A86FA4" w:rsidRPr="00A86FA4">
              <w:rPr>
                <w:rFonts w:cs="Times New Roman"/>
                <w:sz w:val="20"/>
                <w:szCs w:val="20"/>
              </w:rPr>
              <w:t>2</w:t>
            </w:r>
          </w:p>
        </w:tc>
        <w:tc>
          <w:tcPr>
            <w:tcW w:w="2086" w:type="dxa"/>
            <w:vAlign w:val="center"/>
          </w:tcPr>
          <w:p w14:paraId="49681ED8" w14:textId="5188AC2A" w:rsidR="00715EB3" w:rsidRPr="00A86FA4" w:rsidRDefault="00FD424F" w:rsidP="00D36147">
            <w:pPr>
              <w:spacing w:line="276" w:lineRule="auto"/>
              <w:jc w:val="center"/>
              <w:rPr>
                <w:rFonts w:cs="Times New Roman"/>
                <w:sz w:val="20"/>
                <w:szCs w:val="20"/>
              </w:rPr>
            </w:pPr>
            <w:r w:rsidRPr="00A86FA4">
              <w:rPr>
                <w:rFonts w:cs="Times New Roman"/>
                <w:sz w:val="20"/>
                <w:szCs w:val="20"/>
              </w:rPr>
              <w:t>3</w:t>
            </w:r>
          </w:p>
        </w:tc>
        <w:tc>
          <w:tcPr>
            <w:tcW w:w="1777" w:type="dxa"/>
            <w:vAlign w:val="center"/>
          </w:tcPr>
          <w:p w14:paraId="3A7426A0" w14:textId="77777777" w:rsidR="00715EB3" w:rsidRPr="00A86FA4" w:rsidRDefault="00715EB3" w:rsidP="00D36147">
            <w:pPr>
              <w:spacing w:line="276" w:lineRule="auto"/>
              <w:jc w:val="center"/>
              <w:rPr>
                <w:rFonts w:cs="Times New Roman"/>
                <w:sz w:val="20"/>
                <w:szCs w:val="20"/>
              </w:rPr>
            </w:pPr>
          </w:p>
        </w:tc>
      </w:tr>
      <w:tr w:rsidR="00CE622A" w:rsidRPr="004C61FD" w14:paraId="2FD7E54A" w14:textId="77777777" w:rsidTr="000635E0">
        <w:trPr>
          <w:trHeight w:val="260"/>
        </w:trPr>
        <w:tc>
          <w:tcPr>
            <w:tcW w:w="2919" w:type="dxa"/>
            <w:shd w:val="clear" w:color="auto" w:fill="F2F2F2" w:themeFill="background1" w:themeFillShade="F2"/>
            <w:vAlign w:val="center"/>
          </w:tcPr>
          <w:p w14:paraId="1F28F4EE" w14:textId="0F09E562" w:rsidR="00545EC2" w:rsidRPr="00FC64BF" w:rsidRDefault="004C7967" w:rsidP="004A3B23">
            <w:pPr>
              <w:spacing w:line="276" w:lineRule="auto"/>
              <w:rPr>
                <w:rFonts w:cs="Times New Roman"/>
                <w:b/>
                <w:sz w:val="20"/>
                <w:szCs w:val="20"/>
              </w:rPr>
            </w:pPr>
            <w:r w:rsidRPr="00FC64BF">
              <w:rPr>
                <w:rFonts w:cs="Times New Roman"/>
                <w:b/>
                <w:sz w:val="20"/>
                <w:szCs w:val="20"/>
              </w:rPr>
              <w:t>IZVORI FINANCIRANJA</w:t>
            </w:r>
          </w:p>
        </w:tc>
        <w:tc>
          <w:tcPr>
            <w:tcW w:w="2377" w:type="dxa"/>
            <w:vAlign w:val="center"/>
          </w:tcPr>
          <w:p w14:paraId="55389199" w14:textId="48AEE149" w:rsidR="00545EC2" w:rsidRPr="00FC64BF" w:rsidRDefault="00545EC2" w:rsidP="00AB12E9">
            <w:pPr>
              <w:spacing w:line="276" w:lineRule="auto"/>
              <w:jc w:val="center"/>
              <w:rPr>
                <w:rFonts w:cs="Times New Roman"/>
                <w:b/>
                <w:sz w:val="20"/>
                <w:szCs w:val="20"/>
              </w:rPr>
            </w:pPr>
            <w:r w:rsidRPr="00FC64BF">
              <w:rPr>
                <w:rFonts w:cs="Times New Roman"/>
                <w:b/>
                <w:sz w:val="20"/>
                <w:szCs w:val="20"/>
              </w:rPr>
              <w:t>Državni proračun (</w:t>
            </w:r>
            <w:r w:rsidR="00635402" w:rsidRPr="00FC64BF">
              <w:rPr>
                <w:rFonts w:cs="Times New Roman"/>
                <w:b/>
                <w:sz w:val="20"/>
                <w:szCs w:val="20"/>
              </w:rPr>
              <w:t>EUR</w:t>
            </w:r>
            <w:r w:rsidRPr="00FC64BF">
              <w:rPr>
                <w:rFonts w:cs="Times New Roman"/>
                <w:b/>
                <w:sz w:val="20"/>
                <w:szCs w:val="20"/>
              </w:rPr>
              <w:t>)</w:t>
            </w:r>
          </w:p>
        </w:tc>
        <w:tc>
          <w:tcPr>
            <w:tcW w:w="2086" w:type="dxa"/>
            <w:vAlign w:val="center"/>
          </w:tcPr>
          <w:p w14:paraId="5A956AF6" w14:textId="3EEB679F" w:rsidR="00545EC2" w:rsidRPr="00FC64BF" w:rsidRDefault="00545EC2" w:rsidP="00D36147">
            <w:pPr>
              <w:spacing w:line="276" w:lineRule="auto"/>
              <w:jc w:val="center"/>
              <w:rPr>
                <w:rFonts w:cs="Times New Roman"/>
                <w:b/>
                <w:sz w:val="20"/>
                <w:szCs w:val="20"/>
              </w:rPr>
            </w:pPr>
            <w:r w:rsidRPr="00FC64BF">
              <w:rPr>
                <w:rFonts w:cs="Times New Roman"/>
                <w:b/>
                <w:sz w:val="20"/>
                <w:szCs w:val="20"/>
              </w:rPr>
              <w:t>EU financiranje (</w:t>
            </w:r>
            <w:r w:rsidR="00635402" w:rsidRPr="00FC64BF">
              <w:rPr>
                <w:rFonts w:cs="Times New Roman"/>
                <w:b/>
                <w:sz w:val="20"/>
                <w:szCs w:val="20"/>
              </w:rPr>
              <w:t>EUR</w:t>
            </w:r>
            <w:r w:rsidRPr="00FC64BF">
              <w:rPr>
                <w:rFonts w:cs="Times New Roman"/>
                <w:b/>
                <w:sz w:val="20"/>
                <w:szCs w:val="20"/>
              </w:rPr>
              <w:t>)</w:t>
            </w:r>
          </w:p>
        </w:tc>
        <w:tc>
          <w:tcPr>
            <w:tcW w:w="1777" w:type="dxa"/>
            <w:vAlign w:val="center"/>
          </w:tcPr>
          <w:p w14:paraId="1F0F7A6A" w14:textId="67F30BB6" w:rsidR="00545EC2" w:rsidRPr="00FC64BF" w:rsidRDefault="00545EC2" w:rsidP="00D36147">
            <w:pPr>
              <w:spacing w:line="276" w:lineRule="auto"/>
              <w:jc w:val="center"/>
              <w:rPr>
                <w:rFonts w:cs="Times New Roman"/>
                <w:b/>
                <w:sz w:val="20"/>
                <w:szCs w:val="20"/>
              </w:rPr>
            </w:pPr>
            <w:r w:rsidRPr="00FC64BF">
              <w:rPr>
                <w:rFonts w:cs="Times New Roman"/>
                <w:b/>
                <w:sz w:val="20"/>
                <w:szCs w:val="20"/>
              </w:rPr>
              <w:t>Drugi izvori (</w:t>
            </w:r>
            <w:r w:rsidR="00635402" w:rsidRPr="00FC64BF">
              <w:rPr>
                <w:rFonts w:cs="Times New Roman"/>
                <w:b/>
                <w:sz w:val="20"/>
                <w:szCs w:val="20"/>
              </w:rPr>
              <w:t>EUR</w:t>
            </w:r>
            <w:r w:rsidRPr="00FC64BF">
              <w:rPr>
                <w:rFonts w:cs="Times New Roman"/>
                <w:b/>
                <w:sz w:val="20"/>
                <w:szCs w:val="20"/>
              </w:rPr>
              <w:t>)</w:t>
            </w:r>
          </w:p>
        </w:tc>
      </w:tr>
      <w:tr w:rsidR="00CE622A" w:rsidRPr="004C61FD" w14:paraId="318160AC" w14:textId="77777777" w:rsidTr="000635E0">
        <w:trPr>
          <w:trHeight w:val="783"/>
        </w:trPr>
        <w:tc>
          <w:tcPr>
            <w:tcW w:w="2919" w:type="dxa"/>
            <w:shd w:val="clear" w:color="auto" w:fill="F2F2F2" w:themeFill="background1" w:themeFillShade="F2"/>
            <w:vAlign w:val="center"/>
          </w:tcPr>
          <w:p w14:paraId="088404E1" w14:textId="0AEA33A9" w:rsidR="00545EC2" w:rsidRPr="00FC64BF" w:rsidRDefault="00545EC2" w:rsidP="000A1F05">
            <w:pPr>
              <w:spacing w:line="276" w:lineRule="auto"/>
              <w:rPr>
                <w:rFonts w:cs="Times New Roman"/>
                <w:sz w:val="20"/>
                <w:szCs w:val="20"/>
              </w:rPr>
            </w:pPr>
            <w:r w:rsidRPr="00FC64BF">
              <w:rPr>
                <w:rFonts w:cs="Times New Roman"/>
                <w:sz w:val="20"/>
                <w:szCs w:val="20"/>
              </w:rPr>
              <w:t xml:space="preserve">Izvori </w:t>
            </w:r>
            <w:r w:rsidR="0018416B" w:rsidRPr="00FC64BF">
              <w:rPr>
                <w:rFonts w:cs="Times New Roman"/>
                <w:sz w:val="20"/>
                <w:szCs w:val="20"/>
              </w:rPr>
              <w:t>financiranja u 202</w:t>
            </w:r>
            <w:r w:rsidR="000A1F05">
              <w:rPr>
                <w:rFonts w:cs="Times New Roman"/>
                <w:sz w:val="20"/>
                <w:szCs w:val="20"/>
              </w:rPr>
              <w:t>4</w:t>
            </w:r>
            <w:r w:rsidR="0018416B" w:rsidRPr="00FC64BF">
              <w:rPr>
                <w:rFonts w:cs="Times New Roman"/>
                <w:sz w:val="20"/>
                <w:szCs w:val="20"/>
              </w:rPr>
              <w:t>.</w:t>
            </w:r>
            <w:r w:rsidRPr="00FC64BF">
              <w:rPr>
                <w:rFonts w:cs="Times New Roman"/>
                <w:sz w:val="20"/>
                <w:szCs w:val="20"/>
              </w:rPr>
              <w:t xml:space="preserve"> godini (proračunska pozicija i predviđeni iznos sredstava)</w:t>
            </w:r>
          </w:p>
        </w:tc>
        <w:tc>
          <w:tcPr>
            <w:tcW w:w="2377" w:type="dxa"/>
            <w:vAlign w:val="center"/>
          </w:tcPr>
          <w:p w14:paraId="501302F4" w14:textId="3498199B" w:rsidR="00BE6074" w:rsidRPr="00FC64BF" w:rsidRDefault="00545EC2" w:rsidP="00AB12E9">
            <w:pPr>
              <w:spacing w:line="276" w:lineRule="auto"/>
              <w:jc w:val="center"/>
              <w:rPr>
                <w:rFonts w:cs="Times New Roman"/>
                <w:sz w:val="20"/>
                <w:szCs w:val="20"/>
              </w:rPr>
            </w:pPr>
            <w:r w:rsidRPr="00FC64BF">
              <w:rPr>
                <w:rFonts w:cs="Times New Roman"/>
                <w:sz w:val="20"/>
                <w:szCs w:val="20"/>
              </w:rPr>
              <w:t>A513041</w:t>
            </w:r>
            <w:r w:rsidR="00BE6074" w:rsidRPr="00FC64BF">
              <w:rPr>
                <w:rFonts w:cs="Times New Roman"/>
                <w:sz w:val="20"/>
                <w:szCs w:val="20"/>
              </w:rPr>
              <w:t xml:space="preserve"> </w:t>
            </w:r>
            <w:r w:rsidR="005612A7" w:rsidRPr="00FC64BF">
              <w:rPr>
                <w:rFonts w:cs="Times New Roman"/>
                <w:sz w:val="20"/>
                <w:szCs w:val="20"/>
              </w:rPr>
              <w:t xml:space="preserve">- </w:t>
            </w:r>
            <w:r w:rsidR="003C7004" w:rsidRPr="00FC64BF">
              <w:rPr>
                <w:rFonts w:cs="Times New Roman"/>
                <w:sz w:val="20"/>
                <w:szCs w:val="20"/>
              </w:rPr>
              <w:t>NPUR</w:t>
            </w:r>
          </w:p>
          <w:p w14:paraId="4BBBD9AB" w14:textId="3ECB64E2" w:rsidR="00545EC2" w:rsidRPr="00FC64BF" w:rsidRDefault="003C7004" w:rsidP="00D36147">
            <w:pPr>
              <w:spacing w:line="276" w:lineRule="auto"/>
              <w:jc w:val="center"/>
              <w:rPr>
                <w:rFonts w:cs="Times New Roman"/>
                <w:sz w:val="20"/>
                <w:szCs w:val="20"/>
              </w:rPr>
            </w:pPr>
            <w:r w:rsidRPr="00FC64BF">
              <w:rPr>
                <w:rFonts w:cs="Times New Roman"/>
                <w:sz w:val="20"/>
                <w:szCs w:val="20"/>
              </w:rPr>
              <w:t>4</w:t>
            </w:r>
            <w:r w:rsidR="00545EC2" w:rsidRPr="00FC64BF">
              <w:rPr>
                <w:rFonts w:cs="Times New Roman"/>
                <w:sz w:val="20"/>
                <w:szCs w:val="20"/>
              </w:rPr>
              <w:t xml:space="preserve">.000,00 </w:t>
            </w:r>
          </w:p>
        </w:tc>
        <w:tc>
          <w:tcPr>
            <w:tcW w:w="2086" w:type="dxa"/>
            <w:vAlign w:val="center"/>
          </w:tcPr>
          <w:p w14:paraId="009A5C3A" w14:textId="4D134CCF" w:rsidR="00545EC2" w:rsidRPr="00FC64BF" w:rsidRDefault="00545EC2" w:rsidP="00D36147">
            <w:pPr>
              <w:spacing w:line="276" w:lineRule="auto"/>
              <w:jc w:val="center"/>
              <w:rPr>
                <w:rFonts w:cs="Times New Roman"/>
                <w:sz w:val="20"/>
                <w:szCs w:val="20"/>
              </w:rPr>
            </w:pPr>
            <w:r w:rsidRPr="00FC64BF">
              <w:rPr>
                <w:rFonts w:cs="Times New Roman"/>
                <w:sz w:val="20"/>
                <w:szCs w:val="20"/>
              </w:rPr>
              <w:t xml:space="preserve">0,00 </w:t>
            </w:r>
          </w:p>
        </w:tc>
        <w:tc>
          <w:tcPr>
            <w:tcW w:w="1777" w:type="dxa"/>
            <w:vAlign w:val="center"/>
          </w:tcPr>
          <w:p w14:paraId="3CD0CE26" w14:textId="73A8C852" w:rsidR="00545EC2" w:rsidRPr="00FC64BF" w:rsidRDefault="00545EC2" w:rsidP="00D36147">
            <w:pPr>
              <w:spacing w:line="276" w:lineRule="auto"/>
              <w:jc w:val="center"/>
              <w:rPr>
                <w:rFonts w:cs="Times New Roman"/>
                <w:sz w:val="20"/>
                <w:szCs w:val="20"/>
              </w:rPr>
            </w:pPr>
            <w:r w:rsidRPr="00FC64BF">
              <w:rPr>
                <w:rFonts w:cs="Times New Roman"/>
                <w:sz w:val="20"/>
                <w:szCs w:val="20"/>
              </w:rPr>
              <w:t xml:space="preserve">0,00 </w:t>
            </w:r>
          </w:p>
        </w:tc>
      </w:tr>
      <w:tr w:rsidR="00CE622A" w:rsidRPr="004C61FD" w14:paraId="047CB004" w14:textId="77777777" w:rsidTr="000635E0">
        <w:trPr>
          <w:trHeight w:val="260"/>
        </w:trPr>
        <w:tc>
          <w:tcPr>
            <w:tcW w:w="2919" w:type="dxa"/>
            <w:vMerge w:val="restart"/>
            <w:shd w:val="clear" w:color="auto" w:fill="F2F2F2" w:themeFill="background1" w:themeFillShade="F2"/>
            <w:vAlign w:val="center"/>
          </w:tcPr>
          <w:p w14:paraId="55CA2A92" w14:textId="06B3759B" w:rsidR="00874F71" w:rsidRPr="00FC64BF" w:rsidRDefault="00874F71" w:rsidP="004A3B23">
            <w:pPr>
              <w:spacing w:line="276" w:lineRule="auto"/>
              <w:rPr>
                <w:rFonts w:cs="Times New Roman"/>
                <w:b/>
                <w:bCs/>
                <w:sz w:val="20"/>
                <w:szCs w:val="20"/>
              </w:rPr>
            </w:pPr>
            <w:r w:rsidRPr="00FC64BF">
              <w:rPr>
                <w:rFonts w:cs="Times New Roman"/>
                <w:b/>
                <w:bCs/>
                <w:sz w:val="20"/>
                <w:szCs w:val="20"/>
              </w:rPr>
              <w:t xml:space="preserve">UKUPNO </w:t>
            </w:r>
            <w:r w:rsidR="00715EB3" w:rsidRPr="00FC64BF">
              <w:rPr>
                <w:rFonts w:cs="Times New Roman"/>
                <w:b/>
                <w:bCs/>
                <w:sz w:val="20"/>
                <w:szCs w:val="20"/>
              </w:rPr>
              <w:t>UTROŠENA</w:t>
            </w:r>
            <w:r w:rsidRPr="00FC64BF">
              <w:rPr>
                <w:rFonts w:cs="Times New Roman"/>
                <w:b/>
                <w:bCs/>
                <w:sz w:val="20"/>
                <w:szCs w:val="20"/>
              </w:rPr>
              <w:t xml:space="preserve"> SREDSTVA PO IZVORU </w:t>
            </w:r>
          </w:p>
        </w:tc>
        <w:tc>
          <w:tcPr>
            <w:tcW w:w="2377" w:type="dxa"/>
            <w:vAlign w:val="center"/>
          </w:tcPr>
          <w:p w14:paraId="47D0130F" w14:textId="5FDE7EDA" w:rsidR="00874F71" w:rsidRPr="00FC64BF" w:rsidRDefault="00874F71" w:rsidP="00AB12E9">
            <w:pPr>
              <w:spacing w:line="276" w:lineRule="auto"/>
              <w:jc w:val="center"/>
              <w:rPr>
                <w:rFonts w:cs="Times New Roman"/>
                <w:b/>
                <w:bCs/>
                <w:sz w:val="20"/>
                <w:szCs w:val="20"/>
              </w:rPr>
            </w:pPr>
            <w:r w:rsidRPr="00FC64BF">
              <w:rPr>
                <w:rFonts w:cs="Times New Roman"/>
                <w:b/>
                <w:bCs/>
                <w:sz w:val="20"/>
                <w:szCs w:val="20"/>
              </w:rPr>
              <w:t>Državni proračun (</w:t>
            </w:r>
            <w:r w:rsidR="00635402" w:rsidRPr="00FC64BF">
              <w:rPr>
                <w:rFonts w:cs="Times New Roman"/>
                <w:b/>
                <w:bCs/>
                <w:sz w:val="20"/>
                <w:szCs w:val="20"/>
              </w:rPr>
              <w:t>EUR)</w:t>
            </w:r>
          </w:p>
        </w:tc>
        <w:tc>
          <w:tcPr>
            <w:tcW w:w="2086" w:type="dxa"/>
            <w:vAlign w:val="center"/>
          </w:tcPr>
          <w:p w14:paraId="1477EF22" w14:textId="630A0228" w:rsidR="00874F71" w:rsidRPr="00FC64BF" w:rsidRDefault="00874F71" w:rsidP="00D36147">
            <w:pPr>
              <w:spacing w:line="276" w:lineRule="auto"/>
              <w:jc w:val="center"/>
              <w:rPr>
                <w:rFonts w:cs="Times New Roman"/>
                <w:b/>
                <w:bCs/>
                <w:sz w:val="20"/>
                <w:szCs w:val="20"/>
              </w:rPr>
            </w:pPr>
            <w:r w:rsidRPr="00FC64BF">
              <w:rPr>
                <w:rFonts w:cs="Times New Roman"/>
                <w:b/>
                <w:bCs/>
                <w:sz w:val="20"/>
                <w:szCs w:val="20"/>
              </w:rPr>
              <w:t>EU financiranje</w:t>
            </w:r>
            <w:r w:rsidR="00C30AE0" w:rsidRPr="00FC64BF">
              <w:rPr>
                <w:rFonts w:cs="Times New Roman"/>
                <w:b/>
                <w:bCs/>
                <w:sz w:val="20"/>
                <w:szCs w:val="20"/>
              </w:rPr>
              <w:t xml:space="preserve"> </w:t>
            </w:r>
            <w:r w:rsidRPr="00FC64BF">
              <w:rPr>
                <w:rFonts w:cs="Times New Roman"/>
                <w:b/>
                <w:bCs/>
                <w:sz w:val="20"/>
                <w:szCs w:val="20"/>
              </w:rPr>
              <w:t>(</w:t>
            </w:r>
            <w:r w:rsidR="00635402" w:rsidRPr="00FC64BF">
              <w:rPr>
                <w:rFonts w:cs="Times New Roman"/>
                <w:b/>
                <w:bCs/>
                <w:sz w:val="20"/>
                <w:szCs w:val="20"/>
              </w:rPr>
              <w:t>EUR</w:t>
            </w:r>
            <w:r w:rsidRPr="00FC64BF">
              <w:rPr>
                <w:rFonts w:cs="Times New Roman"/>
                <w:b/>
                <w:bCs/>
                <w:sz w:val="20"/>
                <w:szCs w:val="20"/>
              </w:rPr>
              <w:t>)</w:t>
            </w:r>
          </w:p>
        </w:tc>
        <w:tc>
          <w:tcPr>
            <w:tcW w:w="1777" w:type="dxa"/>
            <w:vAlign w:val="center"/>
          </w:tcPr>
          <w:p w14:paraId="581DA62B" w14:textId="10CD23CF" w:rsidR="00874F71" w:rsidRPr="00FC64BF" w:rsidRDefault="00874F71" w:rsidP="00D36147">
            <w:pPr>
              <w:spacing w:line="276" w:lineRule="auto"/>
              <w:jc w:val="center"/>
              <w:rPr>
                <w:rFonts w:cs="Times New Roman"/>
                <w:b/>
                <w:bCs/>
                <w:sz w:val="20"/>
                <w:szCs w:val="20"/>
              </w:rPr>
            </w:pPr>
            <w:r w:rsidRPr="00FC64BF">
              <w:rPr>
                <w:rFonts w:cs="Times New Roman"/>
                <w:b/>
                <w:bCs/>
                <w:sz w:val="20"/>
                <w:szCs w:val="20"/>
              </w:rPr>
              <w:t>Drugi izvori (</w:t>
            </w:r>
            <w:r w:rsidR="00635402" w:rsidRPr="00FC64BF">
              <w:rPr>
                <w:rFonts w:cs="Times New Roman"/>
                <w:b/>
                <w:bCs/>
                <w:sz w:val="20"/>
                <w:szCs w:val="20"/>
              </w:rPr>
              <w:t>EUR</w:t>
            </w:r>
            <w:r w:rsidRPr="00FC64BF">
              <w:rPr>
                <w:rFonts w:cs="Times New Roman"/>
                <w:b/>
                <w:bCs/>
                <w:sz w:val="20"/>
                <w:szCs w:val="20"/>
              </w:rPr>
              <w:t>)</w:t>
            </w:r>
          </w:p>
        </w:tc>
      </w:tr>
      <w:tr w:rsidR="00CE622A" w:rsidRPr="004C61FD" w14:paraId="69D95A15" w14:textId="77777777" w:rsidTr="000635E0">
        <w:trPr>
          <w:trHeight w:val="541"/>
        </w:trPr>
        <w:tc>
          <w:tcPr>
            <w:tcW w:w="2919" w:type="dxa"/>
            <w:vMerge/>
            <w:shd w:val="clear" w:color="auto" w:fill="F2F2F2" w:themeFill="background1" w:themeFillShade="F2"/>
            <w:vAlign w:val="center"/>
          </w:tcPr>
          <w:p w14:paraId="3E794E9D" w14:textId="77777777" w:rsidR="00874F71" w:rsidRPr="00FC64BF" w:rsidRDefault="00874F71" w:rsidP="00D36147">
            <w:pPr>
              <w:spacing w:line="276" w:lineRule="auto"/>
              <w:rPr>
                <w:rFonts w:cs="Times New Roman"/>
                <w:b/>
                <w:bCs/>
                <w:sz w:val="20"/>
                <w:szCs w:val="20"/>
              </w:rPr>
            </w:pPr>
          </w:p>
        </w:tc>
        <w:tc>
          <w:tcPr>
            <w:tcW w:w="2377" w:type="dxa"/>
            <w:vAlign w:val="center"/>
          </w:tcPr>
          <w:p w14:paraId="12F35BFC" w14:textId="31B255FF" w:rsidR="00FF48F9" w:rsidRPr="00FC64BF" w:rsidRDefault="00FF48F9" w:rsidP="00D36147">
            <w:pPr>
              <w:spacing w:line="276" w:lineRule="auto"/>
              <w:jc w:val="center"/>
              <w:rPr>
                <w:rFonts w:cs="Times New Roman"/>
                <w:bCs/>
                <w:sz w:val="20"/>
                <w:szCs w:val="20"/>
              </w:rPr>
            </w:pPr>
            <w:r w:rsidRPr="00FC64BF">
              <w:rPr>
                <w:rFonts w:cs="Times New Roman"/>
                <w:bCs/>
                <w:sz w:val="20"/>
                <w:szCs w:val="20"/>
              </w:rPr>
              <w:t>A513041</w:t>
            </w:r>
            <w:r w:rsidR="005612A7" w:rsidRPr="00FC64BF">
              <w:rPr>
                <w:rFonts w:cs="Times New Roman"/>
                <w:bCs/>
                <w:sz w:val="20"/>
                <w:szCs w:val="20"/>
              </w:rPr>
              <w:t xml:space="preserve">- </w:t>
            </w:r>
            <w:r w:rsidRPr="00FC64BF">
              <w:rPr>
                <w:rFonts w:cs="Times New Roman"/>
                <w:bCs/>
                <w:sz w:val="20"/>
                <w:szCs w:val="20"/>
              </w:rPr>
              <w:t>NPUR</w:t>
            </w:r>
          </w:p>
          <w:p w14:paraId="4EC9A99C" w14:textId="72770501" w:rsidR="00874F71" w:rsidRPr="00FC64BF" w:rsidRDefault="004C61FD">
            <w:pPr>
              <w:spacing w:line="276" w:lineRule="auto"/>
              <w:jc w:val="center"/>
              <w:rPr>
                <w:rFonts w:cs="Times New Roman"/>
                <w:b/>
                <w:bCs/>
                <w:sz w:val="20"/>
                <w:szCs w:val="20"/>
              </w:rPr>
            </w:pPr>
            <w:r w:rsidRPr="00FC64BF">
              <w:rPr>
                <w:rFonts w:cs="Times New Roman"/>
                <w:b/>
                <w:bCs/>
                <w:sz w:val="20"/>
                <w:szCs w:val="20"/>
              </w:rPr>
              <w:t>6.480,10</w:t>
            </w:r>
            <w:r w:rsidR="004242F0" w:rsidRPr="00FC64BF">
              <w:rPr>
                <w:rFonts w:cs="Times New Roman"/>
                <w:b/>
                <w:bCs/>
                <w:sz w:val="20"/>
                <w:szCs w:val="20"/>
              </w:rPr>
              <w:t xml:space="preserve"> </w:t>
            </w:r>
          </w:p>
        </w:tc>
        <w:tc>
          <w:tcPr>
            <w:tcW w:w="2086" w:type="dxa"/>
            <w:vAlign w:val="center"/>
          </w:tcPr>
          <w:p w14:paraId="297CB7F0" w14:textId="54F251AB" w:rsidR="00874F71" w:rsidRPr="00FC64BF" w:rsidRDefault="003238B3" w:rsidP="00D36147">
            <w:pPr>
              <w:spacing w:line="276" w:lineRule="auto"/>
              <w:jc w:val="center"/>
              <w:rPr>
                <w:rFonts w:cs="Times New Roman"/>
                <w:b/>
                <w:bCs/>
                <w:sz w:val="20"/>
                <w:szCs w:val="20"/>
              </w:rPr>
            </w:pPr>
            <w:r w:rsidRPr="00FC64BF">
              <w:rPr>
                <w:rFonts w:cs="Times New Roman"/>
                <w:b/>
                <w:bCs/>
                <w:sz w:val="20"/>
                <w:szCs w:val="20"/>
              </w:rPr>
              <w:t>0,00</w:t>
            </w:r>
            <w:r w:rsidR="00D579A3" w:rsidRPr="00FC64BF">
              <w:rPr>
                <w:rFonts w:cs="Times New Roman"/>
                <w:b/>
                <w:bCs/>
                <w:sz w:val="20"/>
                <w:szCs w:val="20"/>
              </w:rPr>
              <w:t xml:space="preserve"> </w:t>
            </w:r>
          </w:p>
        </w:tc>
        <w:tc>
          <w:tcPr>
            <w:tcW w:w="1777" w:type="dxa"/>
            <w:vAlign w:val="center"/>
          </w:tcPr>
          <w:p w14:paraId="30A94C1A" w14:textId="71C8ABFE" w:rsidR="00874F71" w:rsidRPr="00FC64BF" w:rsidRDefault="003238B3" w:rsidP="00D36147">
            <w:pPr>
              <w:spacing w:line="276" w:lineRule="auto"/>
              <w:jc w:val="center"/>
              <w:rPr>
                <w:rFonts w:cs="Times New Roman"/>
                <w:b/>
                <w:bCs/>
                <w:sz w:val="20"/>
                <w:szCs w:val="20"/>
              </w:rPr>
            </w:pPr>
            <w:r w:rsidRPr="00FC64BF">
              <w:rPr>
                <w:rFonts w:cs="Times New Roman"/>
                <w:b/>
                <w:bCs/>
                <w:sz w:val="20"/>
                <w:szCs w:val="20"/>
              </w:rPr>
              <w:t>0,00</w:t>
            </w:r>
            <w:r w:rsidR="00D579A3" w:rsidRPr="00FC64BF">
              <w:rPr>
                <w:rFonts w:cs="Times New Roman"/>
                <w:b/>
                <w:bCs/>
                <w:sz w:val="20"/>
                <w:szCs w:val="20"/>
              </w:rPr>
              <w:t xml:space="preserve"> </w:t>
            </w:r>
          </w:p>
        </w:tc>
      </w:tr>
      <w:tr w:rsidR="00CE622A" w:rsidRPr="004C61FD" w14:paraId="7BE5EE0F" w14:textId="77777777" w:rsidTr="000635E0">
        <w:trPr>
          <w:trHeight w:val="376"/>
        </w:trPr>
        <w:tc>
          <w:tcPr>
            <w:tcW w:w="2919" w:type="dxa"/>
            <w:shd w:val="clear" w:color="auto" w:fill="F2F2F2" w:themeFill="background1" w:themeFillShade="F2"/>
            <w:vAlign w:val="center"/>
          </w:tcPr>
          <w:p w14:paraId="4D11FD89" w14:textId="4F708F8D" w:rsidR="00874F71" w:rsidRPr="00FC64BF" w:rsidRDefault="00874F71" w:rsidP="004A3B23">
            <w:pPr>
              <w:spacing w:line="276" w:lineRule="auto"/>
              <w:rPr>
                <w:rFonts w:cs="Times New Roman"/>
                <w:sz w:val="20"/>
                <w:szCs w:val="20"/>
              </w:rPr>
            </w:pPr>
            <w:r w:rsidRPr="00FC64BF">
              <w:rPr>
                <w:rFonts w:cs="Times New Roman"/>
                <w:sz w:val="20"/>
                <w:szCs w:val="20"/>
              </w:rPr>
              <w:t xml:space="preserve">ROK PROVEDBE </w:t>
            </w:r>
            <w:r w:rsidR="00C928E5" w:rsidRPr="00FC64BF">
              <w:rPr>
                <w:rFonts w:cs="Times New Roman"/>
                <w:sz w:val="20"/>
                <w:szCs w:val="20"/>
              </w:rPr>
              <w:t xml:space="preserve">AKTIVNOSTI </w:t>
            </w:r>
          </w:p>
        </w:tc>
        <w:tc>
          <w:tcPr>
            <w:tcW w:w="6242" w:type="dxa"/>
            <w:gridSpan w:val="3"/>
            <w:vAlign w:val="center"/>
          </w:tcPr>
          <w:p w14:paraId="463860CA" w14:textId="6FCD933C" w:rsidR="00874F71" w:rsidRPr="00FC64BF" w:rsidRDefault="00441E7B" w:rsidP="00AB12E9">
            <w:pPr>
              <w:spacing w:line="276" w:lineRule="auto"/>
              <w:rPr>
                <w:rFonts w:cs="Times New Roman"/>
                <w:sz w:val="20"/>
                <w:szCs w:val="20"/>
              </w:rPr>
            </w:pPr>
            <w:r w:rsidRPr="00FC64BF">
              <w:rPr>
                <w:rFonts w:cs="Times New Roman"/>
                <w:sz w:val="20"/>
                <w:szCs w:val="20"/>
              </w:rPr>
              <w:t>IV. kvartal 2025.</w:t>
            </w:r>
          </w:p>
        </w:tc>
      </w:tr>
    </w:tbl>
    <w:p w14:paraId="650CB01E" w14:textId="77777777" w:rsidR="00205980" w:rsidRDefault="00205980" w:rsidP="004A3B23">
      <w:pPr>
        <w:spacing w:after="0" w:line="276" w:lineRule="auto"/>
        <w:jc w:val="both"/>
        <w:rPr>
          <w:rFonts w:cs="Times New Roman"/>
          <w:i/>
          <w:iCs/>
          <w:szCs w:val="24"/>
        </w:rPr>
      </w:pPr>
    </w:p>
    <w:p w14:paraId="4A70A7EF" w14:textId="77777777" w:rsidR="00B76094" w:rsidRPr="00FC64BF" w:rsidRDefault="00B76094" w:rsidP="004A3B23">
      <w:pPr>
        <w:spacing w:after="0" w:line="276" w:lineRule="auto"/>
        <w:jc w:val="both"/>
        <w:rPr>
          <w:rFonts w:cs="Times New Roman"/>
          <w:i/>
          <w:iCs/>
          <w:szCs w:val="24"/>
        </w:rPr>
      </w:pPr>
    </w:p>
    <w:p w14:paraId="37CC9CE5" w14:textId="5DF55015" w:rsidR="00CD78EF" w:rsidRPr="00FC64BF" w:rsidRDefault="00D159C2" w:rsidP="00D36147">
      <w:pPr>
        <w:spacing w:after="0" w:line="276" w:lineRule="auto"/>
        <w:jc w:val="both"/>
        <w:rPr>
          <w:rFonts w:cs="Times New Roman"/>
          <w:i/>
          <w:iCs/>
          <w:szCs w:val="24"/>
        </w:rPr>
      </w:pPr>
      <w:r w:rsidRPr="00FC64BF">
        <w:rPr>
          <w:rFonts w:cs="Times New Roman"/>
          <w:i/>
          <w:iCs/>
          <w:szCs w:val="24"/>
        </w:rPr>
        <w:t>Aktivnost 1.1.</w:t>
      </w:r>
      <w:r w:rsidR="00E67CE2" w:rsidRPr="00FC64BF">
        <w:rPr>
          <w:rFonts w:cs="Times New Roman"/>
          <w:i/>
          <w:iCs/>
          <w:szCs w:val="24"/>
        </w:rPr>
        <w:t>8</w:t>
      </w:r>
      <w:r w:rsidRPr="00FC64BF">
        <w:rPr>
          <w:rFonts w:cs="Times New Roman"/>
          <w:i/>
          <w:iCs/>
          <w:szCs w:val="24"/>
        </w:rPr>
        <w:t>. Koordinacija pripreme nacionalnih izvješća prema međunarodnim ugovorima na području ljudskih prava, uključujući i izvješćivanje prema Univerzalnom periodičkom pregledu Vijeća za ljudska prava</w:t>
      </w:r>
    </w:p>
    <w:p w14:paraId="442040C0" w14:textId="77777777" w:rsidR="007C6944" w:rsidRPr="00FC64BF" w:rsidRDefault="007C6944" w:rsidP="00D36147">
      <w:pPr>
        <w:spacing w:after="0" w:line="276" w:lineRule="auto"/>
        <w:jc w:val="both"/>
        <w:rPr>
          <w:rFonts w:cs="Times New Roman"/>
          <w:i/>
          <w:iCs/>
          <w:szCs w:val="24"/>
        </w:rPr>
      </w:pPr>
      <w:r w:rsidRPr="00FC64BF">
        <w:rPr>
          <w:rFonts w:cs="Times New Roman"/>
          <w:i/>
          <w:iCs/>
          <w:szCs w:val="24"/>
        </w:rPr>
        <w:t xml:space="preserve">Nositelj provedbe: </w:t>
      </w:r>
      <w:r w:rsidR="002C4E56" w:rsidRPr="00FC64BF">
        <w:rPr>
          <w:rFonts w:cs="Times New Roman"/>
          <w:i/>
          <w:iCs/>
          <w:szCs w:val="24"/>
        </w:rPr>
        <w:t>Ministarstvo vanjskih i europskih poslova</w:t>
      </w:r>
      <w:r w:rsidRPr="00FC64BF">
        <w:rPr>
          <w:rFonts w:cs="Times New Roman"/>
          <w:i/>
          <w:iCs/>
          <w:szCs w:val="24"/>
        </w:rPr>
        <w:t xml:space="preserve"> </w:t>
      </w:r>
    </w:p>
    <w:p w14:paraId="0412BB58" w14:textId="056A0D12" w:rsidR="00D159C2" w:rsidRPr="00FC64BF" w:rsidRDefault="007C6944" w:rsidP="00D36147">
      <w:pPr>
        <w:spacing w:after="0" w:line="276" w:lineRule="auto"/>
        <w:jc w:val="both"/>
        <w:rPr>
          <w:rFonts w:cs="Times New Roman"/>
          <w:i/>
          <w:iCs/>
          <w:szCs w:val="24"/>
        </w:rPr>
      </w:pPr>
      <w:r w:rsidRPr="00FC64BF">
        <w:rPr>
          <w:rFonts w:cs="Times New Roman"/>
          <w:i/>
          <w:iCs/>
          <w:szCs w:val="24"/>
        </w:rPr>
        <w:t>P</w:t>
      </w:r>
      <w:r w:rsidR="0062511B" w:rsidRPr="00FC64BF">
        <w:rPr>
          <w:rFonts w:cs="Times New Roman"/>
          <w:i/>
          <w:iCs/>
          <w:szCs w:val="24"/>
        </w:rPr>
        <w:t xml:space="preserve">artneri: </w:t>
      </w:r>
      <w:r w:rsidR="00F84147" w:rsidRPr="00FC64BF">
        <w:rPr>
          <w:rFonts w:cs="Times New Roman"/>
          <w:i/>
          <w:iCs/>
          <w:szCs w:val="24"/>
        </w:rPr>
        <w:t>T</w:t>
      </w:r>
      <w:r w:rsidR="00237F6E" w:rsidRPr="00FC64BF">
        <w:rPr>
          <w:rFonts w:cs="Times New Roman"/>
          <w:i/>
          <w:iCs/>
          <w:szCs w:val="24"/>
        </w:rPr>
        <w:t>ijela državne uprave</w:t>
      </w:r>
    </w:p>
    <w:p w14:paraId="0B28846D" w14:textId="77777777" w:rsidR="009A77F3" w:rsidRPr="00412001" w:rsidRDefault="009A77F3" w:rsidP="009A77F3">
      <w:pPr>
        <w:jc w:val="both"/>
        <w:rPr>
          <w:szCs w:val="24"/>
        </w:rPr>
      </w:pPr>
    </w:p>
    <w:p w14:paraId="1249F7CE" w14:textId="171CC636" w:rsidR="00B949FD" w:rsidRDefault="009A77F3" w:rsidP="009A77F3">
      <w:pPr>
        <w:jc w:val="both"/>
        <w:rPr>
          <w:rFonts w:cs="Times New Roman"/>
          <w:szCs w:val="24"/>
        </w:rPr>
      </w:pPr>
      <w:r w:rsidRPr="00412001">
        <w:rPr>
          <w:rFonts w:cs="Times New Roman"/>
          <w:szCs w:val="24"/>
        </w:rPr>
        <w:t>Republika Hrvatska je vezano uz zaštitu prava Roma uspostavila na svim razinama (središnjoj, regionalnoj i lokalnoj) dobru praksu uključivanja Roma u procese izrade, provedbe i praćenja provedbe nacionalne politike usmjerene uključivanju Roma. Povjerenstvo za praćenje provedbe predmetnih dokumenata uspješno djeluje od vremena prve nacionalne javne politike usmjerene pripadnicima romske nacionalne manjine, tj. od 2003.</w:t>
      </w:r>
      <w:r w:rsidR="004713E5">
        <w:rPr>
          <w:rFonts w:cs="Times New Roman"/>
          <w:szCs w:val="24"/>
        </w:rPr>
        <w:t xml:space="preserve"> godine</w:t>
      </w:r>
      <w:r w:rsidRPr="00412001">
        <w:rPr>
          <w:rFonts w:cs="Times New Roman"/>
          <w:szCs w:val="24"/>
        </w:rPr>
        <w:t>, a kontinuirana politička predanost Vlade Republike Hrvatske ogleda se i u činjenici da je Povjerenstvom, u svim mandatima, predsjedao jedan od potpredsjednika Vlade, dok su članovi imenovani iz redov</w:t>
      </w:r>
      <w:r>
        <w:rPr>
          <w:rFonts w:cs="Times New Roman"/>
          <w:szCs w:val="24"/>
        </w:rPr>
        <w:t>a predstavnika državn</w:t>
      </w:r>
      <w:r w:rsidRPr="00412001">
        <w:rPr>
          <w:rFonts w:cs="Times New Roman"/>
          <w:szCs w:val="24"/>
        </w:rPr>
        <w:t>e uprave i predstavn</w:t>
      </w:r>
      <w:r w:rsidR="00B949FD">
        <w:rPr>
          <w:rFonts w:cs="Times New Roman"/>
          <w:szCs w:val="24"/>
        </w:rPr>
        <w:t xml:space="preserve">ika romske nacionalne manjine. </w:t>
      </w:r>
    </w:p>
    <w:p w14:paraId="19C92ABE" w14:textId="7FD9BA86" w:rsidR="009A77F3" w:rsidRPr="00412001" w:rsidRDefault="009A77F3" w:rsidP="009A77F3">
      <w:pPr>
        <w:jc w:val="both"/>
        <w:rPr>
          <w:rFonts w:cs="Times New Roman"/>
          <w:szCs w:val="24"/>
        </w:rPr>
      </w:pPr>
      <w:r w:rsidRPr="00412001">
        <w:rPr>
          <w:rFonts w:cs="Times New Roman"/>
          <w:szCs w:val="24"/>
        </w:rPr>
        <w:lastRenderedPageBreak/>
        <w:t xml:space="preserve">Ministarstvo vanjskih i europskih poslova je kao glavni koordinator za proces </w:t>
      </w:r>
      <w:r w:rsidRPr="00B949FD">
        <w:rPr>
          <w:rFonts w:cs="Times New Roman"/>
          <w:szCs w:val="24"/>
        </w:rPr>
        <w:t>UPR</w:t>
      </w:r>
      <w:r w:rsidR="004713E5">
        <w:rPr>
          <w:rFonts w:cs="Times New Roman"/>
          <w:szCs w:val="24"/>
        </w:rPr>
        <w:t>-a</w:t>
      </w:r>
      <w:r w:rsidRPr="00B949FD">
        <w:rPr>
          <w:rFonts w:cs="Times New Roman"/>
          <w:szCs w:val="24"/>
        </w:rPr>
        <w:t xml:space="preserve"> u veljači 2024. uputilo Vijeću za ljudska prava UN-a dobrovoljno </w:t>
      </w:r>
      <w:r w:rsidRPr="00B949FD">
        <w:rPr>
          <w:rFonts w:cs="Times New Roman"/>
          <w:iCs/>
          <w:szCs w:val="24"/>
        </w:rPr>
        <w:t>Među-izvješće prema Univerzalnom periodičkom pregledu - MTR</w:t>
      </w:r>
      <w:r w:rsidRPr="00B949FD">
        <w:rPr>
          <w:rFonts w:cs="Times New Roman"/>
          <w:szCs w:val="24"/>
        </w:rPr>
        <w:t xml:space="preserve"> (</w:t>
      </w:r>
      <w:r w:rsidRPr="00412001">
        <w:rPr>
          <w:rFonts w:cs="Times New Roman"/>
          <w:szCs w:val="24"/>
        </w:rPr>
        <w:t>koje uključuje i odgovore na preporuke vezano za promicanje i zaštitu romske nacionalne manjine), a</w:t>
      </w:r>
      <w:r w:rsidR="002F7831">
        <w:rPr>
          <w:rFonts w:cs="Times New Roman"/>
          <w:szCs w:val="24"/>
        </w:rPr>
        <w:t xml:space="preserve"> </w:t>
      </w:r>
      <w:r w:rsidRPr="00412001">
        <w:rPr>
          <w:rFonts w:cs="Times New Roman"/>
          <w:szCs w:val="24"/>
        </w:rPr>
        <w:t xml:space="preserve">koje sadrži doprinose svih resornih </w:t>
      </w:r>
      <w:r w:rsidR="00026107">
        <w:rPr>
          <w:rFonts w:cs="Times New Roman"/>
          <w:szCs w:val="24"/>
        </w:rPr>
        <w:t>TDU</w:t>
      </w:r>
      <w:r w:rsidRPr="00412001">
        <w:rPr>
          <w:rFonts w:cs="Times New Roman"/>
          <w:szCs w:val="24"/>
        </w:rPr>
        <w:t xml:space="preserve">. Tekst cjelovitog izvješća dostupan je na mrežnim stranicama Ministarstva vanjskih i europskih poslova. </w:t>
      </w:r>
    </w:p>
    <w:p w14:paraId="2F9F2A04" w14:textId="76972DDA" w:rsidR="009A77F3" w:rsidRPr="00412001" w:rsidRDefault="00B73D99" w:rsidP="009A77F3">
      <w:pPr>
        <w:jc w:val="both"/>
        <w:rPr>
          <w:rFonts w:cs="Times New Roman"/>
          <w:szCs w:val="24"/>
        </w:rPr>
      </w:pPr>
      <w:r w:rsidRPr="00B949FD">
        <w:rPr>
          <w:rFonts w:cs="Times New Roman"/>
          <w:szCs w:val="24"/>
        </w:rPr>
        <w:t>Krajem 2024.</w:t>
      </w:r>
      <w:r w:rsidR="003379F1">
        <w:rPr>
          <w:rFonts w:cs="Times New Roman"/>
          <w:szCs w:val="24"/>
        </w:rPr>
        <w:t xml:space="preserve"> </w:t>
      </w:r>
      <w:r w:rsidR="004713E5">
        <w:rPr>
          <w:rFonts w:cs="Times New Roman"/>
          <w:szCs w:val="24"/>
        </w:rPr>
        <w:t xml:space="preserve">godine </w:t>
      </w:r>
      <w:r w:rsidRPr="00B949FD">
        <w:rPr>
          <w:rFonts w:cs="Times New Roman"/>
          <w:szCs w:val="24"/>
        </w:rPr>
        <w:t>započela je</w:t>
      </w:r>
      <w:r w:rsidR="009A77F3" w:rsidRPr="00B949FD">
        <w:rPr>
          <w:rFonts w:cs="Times New Roman"/>
          <w:szCs w:val="24"/>
        </w:rPr>
        <w:t xml:space="preserve"> koordinacij</w:t>
      </w:r>
      <w:r w:rsidRPr="00B949FD">
        <w:rPr>
          <w:rFonts w:cs="Times New Roman"/>
          <w:szCs w:val="24"/>
        </w:rPr>
        <w:t>a</w:t>
      </w:r>
      <w:r w:rsidR="009A77F3" w:rsidRPr="00B949FD">
        <w:rPr>
          <w:rFonts w:cs="Times New Roman"/>
          <w:szCs w:val="24"/>
        </w:rPr>
        <w:t>, odnosno priprema</w:t>
      </w:r>
      <w:r w:rsidRPr="00B949FD">
        <w:rPr>
          <w:rFonts w:cs="Times New Roman"/>
          <w:szCs w:val="24"/>
        </w:rPr>
        <w:t xml:space="preserve"> izrade</w:t>
      </w:r>
      <w:r w:rsidR="009A77F3" w:rsidRPr="00B949FD">
        <w:rPr>
          <w:rFonts w:cs="Times New Roman"/>
          <w:szCs w:val="24"/>
        </w:rPr>
        <w:t xml:space="preserve"> teksta i predstavljanj</w:t>
      </w:r>
      <w:r w:rsidRPr="00B949FD">
        <w:rPr>
          <w:rFonts w:cs="Times New Roman"/>
          <w:szCs w:val="24"/>
        </w:rPr>
        <w:t>a</w:t>
      </w:r>
      <w:r w:rsidR="009A77F3" w:rsidRPr="00B949FD">
        <w:rPr>
          <w:rFonts w:cs="Times New Roman"/>
          <w:szCs w:val="24"/>
        </w:rPr>
        <w:t xml:space="preserve"> nacionalnog izvješća </w:t>
      </w:r>
      <w:r w:rsidR="0059114B">
        <w:rPr>
          <w:rFonts w:cs="Times New Roman"/>
          <w:szCs w:val="24"/>
        </w:rPr>
        <w:t>U</w:t>
      </w:r>
      <w:r w:rsidR="0059114B" w:rsidRPr="0059114B">
        <w:rPr>
          <w:rFonts w:cs="Times New Roman"/>
          <w:szCs w:val="24"/>
        </w:rPr>
        <w:t>PR</w:t>
      </w:r>
      <w:r w:rsidR="004713E5">
        <w:rPr>
          <w:rFonts w:cs="Times New Roman"/>
          <w:szCs w:val="24"/>
        </w:rPr>
        <w:t>-a</w:t>
      </w:r>
      <w:r w:rsidR="0059114B" w:rsidRPr="0059114B">
        <w:rPr>
          <w:rFonts w:cs="Times New Roman"/>
          <w:szCs w:val="24"/>
        </w:rPr>
        <w:t xml:space="preserve"> </w:t>
      </w:r>
      <w:r w:rsidR="009A77F3" w:rsidRPr="0059114B">
        <w:rPr>
          <w:rFonts w:cs="Times New Roman"/>
          <w:szCs w:val="24"/>
        </w:rPr>
        <w:t>u</w:t>
      </w:r>
      <w:r w:rsidR="009A77F3" w:rsidRPr="00B949FD">
        <w:rPr>
          <w:rFonts w:cs="Times New Roman"/>
          <w:szCs w:val="24"/>
        </w:rPr>
        <w:t xml:space="preserve"> okviru IV. </w:t>
      </w:r>
      <w:r w:rsidR="009A77F3" w:rsidRPr="004610D8">
        <w:rPr>
          <w:rFonts w:cs="Times New Roman"/>
          <w:szCs w:val="24"/>
        </w:rPr>
        <w:t>ciklusa UPR-a. Predstavljanje</w:t>
      </w:r>
      <w:r w:rsidR="009A77F3" w:rsidRPr="00412001">
        <w:rPr>
          <w:rFonts w:cs="Times New Roman"/>
          <w:szCs w:val="24"/>
        </w:rPr>
        <w:t xml:space="preserve"> Izvješća očekuje se na 50. Radnoj </w:t>
      </w:r>
      <w:r w:rsidR="009A77F3" w:rsidRPr="004610D8">
        <w:rPr>
          <w:rFonts w:cs="Times New Roman"/>
          <w:szCs w:val="24"/>
        </w:rPr>
        <w:t>skupini za UPR koja</w:t>
      </w:r>
      <w:r w:rsidR="009A77F3" w:rsidRPr="00412001">
        <w:rPr>
          <w:rFonts w:cs="Times New Roman"/>
          <w:szCs w:val="24"/>
        </w:rPr>
        <w:t xml:space="preserve"> će se održati u studenome 2025.</w:t>
      </w:r>
      <w:r w:rsidR="003379F1">
        <w:rPr>
          <w:rFonts w:cs="Times New Roman"/>
          <w:szCs w:val="24"/>
        </w:rPr>
        <w:t xml:space="preserve"> </w:t>
      </w:r>
      <w:r w:rsidR="009A77F3" w:rsidRPr="00412001">
        <w:rPr>
          <w:rFonts w:cs="Times New Roman"/>
          <w:szCs w:val="24"/>
        </w:rPr>
        <w:t xml:space="preserve">u sjedištu Vijeća za ljudska prava, u Ženevi. Trenutno je u izradi tzv. nulti nacrt teksta, u što su se svojim odgovorima sukladno nadležnosti prema preporukama uključili svi relevantni resori koji su sudjelovali i tijekom izrade MTR-a. U prvom kvartalu 2025. planirani su sastanci s resornim predstavnicima ministarstava i predstavnicima civilnoga društva, sa svrhom rasprave teksta Izvješća te uključivanja potencijalnih doprinosa u isti. Prema proceduri, Nacrt Izvješća bit će predstavljen saborskom Odboru za ljudska prava i prava nacionalnih manjina, nakon čega će biti upućen Vladi </w:t>
      </w:r>
      <w:r w:rsidR="003379F1">
        <w:rPr>
          <w:rFonts w:cs="Times New Roman"/>
          <w:szCs w:val="24"/>
        </w:rPr>
        <w:t>Republike Hrvatske</w:t>
      </w:r>
      <w:r w:rsidR="003379F1" w:rsidRPr="00412001">
        <w:rPr>
          <w:rFonts w:cs="Times New Roman"/>
          <w:szCs w:val="24"/>
        </w:rPr>
        <w:t xml:space="preserve"> </w:t>
      </w:r>
      <w:r w:rsidR="009A77F3" w:rsidRPr="00412001">
        <w:rPr>
          <w:rFonts w:cs="Times New Roman"/>
          <w:szCs w:val="24"/>
        </w:rPr>
        <w:t>na donošenje Odluke o prihvaćanju Izvješća te potom i preveden na engleski jezik.</w:t>
      </w:r>
      <w:r w:rsidR="002F7831">
        <w:rPr>
          <w:rFonts w:cs="Times New Roman"/>
          <w:szCs w:val="24"/>
        </w:rPr>
        <w:t xml:space="preserve"> </w:t>
      </w:r>
      <w:r w:rsidR="009A77F3" w:rsidRPr="00412001">
        <w:rPr>
          <w:rFonts w:cs="Times New Roman"/>
          <w:szCs w:val="24"/>
        </w:rPr>
        <w:t>Rok</w:t>
      </w:r>
      <w:r w:rsidR="002F7831">
        <w:rPr>
          <w:rFonts w:cs="Times New Roman"/>
          <w:szCs w:val="24"/>
        </w:rPr>
        <w:t xml:space="preserve"> </w:t>
      </w:r>
      <w:r w:rsidR="009A77F3" w:rsidRPr="00412001">
        <w:rPr>
          <w:rFonts w:cs="Times New Roman"/>
          <w:szCs w:val="24"/>
        </w:rPr>
        <w:t>za dostavu</w:t>
      </w:r>
      <w:r w:rsidR="002F7831">
        <w:rPr>
          <w:rFonts w:cs="Times New Roman"/>
          <w:szCs w:val="24"/>
        </w:rPr>
        <w:t xml:space="preserve"> </w:t>
      </w:r>
      <w:r w:rsidR="009A77F3" w:rsidRPr="00412001">
        <w:rPr>
          <w:rFonts w:cs="Times New Roman"/>
          <w:szCs w:val="24"/>
        </w:rPr>
        <w:t xml:space="preserve">Izvješća je kolovoz 2025. </w:t>
      </w:r>
    </w:p>
    <w:p w14:paraId="200C450E" w14:textId="77777777" w:rsidR="00B73D99" w:rsidRPr="00B949FD" w:rsidRDefault="00B73D99" w:rsidP="00B73D99">
      <w:pPr>
        <w:spacing w:after="0" w:line="276" w:lineRule="auto"/>
        <w:jc w:val="both"/>
        <w:rPr>
          <w:rFonts w:cs="Times New Roman"/>
          <w:i/>
          <w:iCs/>
          <w:szCs w:val="24"/>
        </w:rPr>
      </w:pPr>
    </w:p>
    <w:p w14:paraId="11C1FD42" w14:textId="77777777" w:rsidR="00B73D99" w:rsidRPr="00B949FD" w:rsidRDefault="00B73D99" w:rsidP="00B73D99">
      <w:pPr>
        <w:jc w:val="both"/>
        <w:rPr>
          <w:szCs w:val="24"/>
        </w:rPr>
      </w:pPr>
      <w:r w:rsidRPr="00B949FD">
        <w:rPr>
          <w:rFonts w:cs="Times New Roman"/>
          <w:szCs w:val="24"/>
        </w:rPr>
        <w:t>Predstavljeno je Četvrto periodično izvješće Republike Hrvatske prema Međunarodnom paktu o građanskim i političkim pravima (</w:t>
      </w:r>
      <w:r w:rsidRPr="00B949FD">
        <w:rPr>
          <w:rFonts w:cs="Times New Roman"/>
          <w:i/>
          <w:szCs w:val="24"/>
        </w:rPr>
        <w:t xml:space="preserve">International </w:t>
      </w:r>
      <w:proofErr w:type="spellStart"/>
      <w:r w:rsidRPr="00B949FD">
        <w:rPr>
          <w:rFonts w:cs="Times New Roman"/>
          <w:i/>
          <w:szCs w:val="24"/>
        </w:rPr>
        <w:t>Covenant</w:t>
      </w:r>
      <w:proofErr w:type="spellEnd"/>
      <w:r w:rsidRPr="00B949FD">
        <w:rPr>
          <w:rFonts w:cs="Times New Roman"/>
          <w:i/>
          <w:szCs w:val="24"/>
        </w:rPr>
        <w:t xml:space="preserve"> on Civil </w:t>
      </w:r>
      <w:proofErr w:type="spellStart"/>
      <w:r w:rsidRPr="00B949FD">
        <w:rPr>
          <w:rFonts w:cs="Times New Roman"/>
          <w:i/>
          <w:szCs w:val="24"/>
        </w:rPr>
        <w:t>and</w:t>
      </w:r>
      <w:proofErr w:type="spellEnd"/>
      <w:r w:rsidRPr="00B949FD">
        <w:rPr>
          <w:rFonts w:cs="Times New Roman"/>
          <w:i/>
          <w:szCs w:val="24"/>
        </w:rPr>
        <w:t xml:space="preserve"> </w:t>
      </w:r>
      <w:proofErr w:type="spellStart"/>
      <w:r w:rsidRPr="00B949FD">
        <w:rPr>
          <w:rFonts w:cs="Times New Roman"/>
          <w:i/>
          <w:szCs w:val="24"/>
        </w:rPr>
        <w:t>Political</w:t>
      </w:r>
      <w:proofErr w:type="spellEnd"/>
      <w:r w:rsidRPr="00B949FD">
        <w:rPr>
          <w:rFonts w:cs="Times New Roman"/>
          <w:i/>
          <w:szCs w:val="24"/>
        </w:rPr>
        <w:t xml:space="preserve"> Rights</w:t>
      </w:r>
      <w:r w:rsidRPr="00B949FD">
        <w:rPr>
          <w:rFonts w:cs="Times New Roman"/>
          <w:szCs w:val="24"/>
        </w:rPr>
        <w:t xml:space="preserve">), u Ženevi, 2. i 3. srpnja 2024. </w:t>
      </w:r>
      <w:r w:rsidRPr="00B949FD">
        <w:rPr>
          <w:szCs w:val="24"/>
        </w:rPr>
        <w:t xml:space="preserve">Ovo izvješće rezultat je procesa u kojem su sudjelovala sva relevantna državna tijela. </w:t>
      </w:r>
    </w:p>
    <w:p w14:paraId="0136A6CE" w14:textId="77777777" w:rsidR="00D655F0" w:rsidRPr="00B949FD" w:rsidRDefault="00D655F0" w:rsidP="00D36147">
      <w:pPr>
        <w:spacing w:after="0" w:line="276" w:lineRule="auto"/>
        <w:jc w:val="both"/>
        <w:rPr>
          <w:rFonts w:cs="Times New Roman"/>
          <w:iCs/>
        </w:rPr>
      </w:pPr>
    </w:p>
    <w:tbl>
      <w:tblPr>
        <w:tblStyle w:val="TableGrid"/>
        <w:tblW w:w="0" w:type="auto"/>
        <w:tblLook w:val="04A0" w:firstRow="1" w:lastRow="0" w:firstColumn="1" w:lastColumn="0" w:noHBand="0" w:noVBand="1"/>
      </w:tblPr>
      <w:tblGrid>
        <w:gridCol w:w="2830"/>
        <w:gridCol w:w="2552"/>
        <w:gridCol w:w="2126"/>
        <w:gridCol w:w="1554"/>
      </w:tblGrid>
      <w:tr w:rsidR="00CE622A" w:rsidRPr="00CE622A" w14:paraId="48DE97C2" w14:textId="77777777" w:rsidTr="00AF43CC">
        <w:tc>
          <w:tcPr>
            <w:tcW w:w="2830" w:type="dxa"/>
            <w:shd w:val="clear" w:color="auto" w:fill="F2F2F2" w:themeFill="background1" w:themeFillShade="F2"/>
            <w:vAlign w:val="center"/>
          </w:tcPr>
          <w:p w14:paraId="04B1827C" w14:textId="2874B2E2" w:rsidR="00441E7B" w:rsidRPr="00FC64BF" w:rsidRDefault="00B510B5" w:rsidP="004A3B23">
            <w:pPr>
              <w:spacing w:line="276" w:lineRule="auto"/>
              <w:rPr>
                <w:rFonts w:cs="Times New Roman"/>
                <w:b/>
                <w:sz w:val="20"/>
                <w:szCs w:val="18"/>
              </w:rPr>
            </w:pPr>
            <w:r w:rsidRPr="00FC64BF">
              <w:rPr>
                <w:rFonts w:cs="Times New Roman"/>
                <w:b/>
                <w:sz w:val="20"/>
                <w:szCs w:val="18"/>
              </w:rPr>
              <w:t>Pokazatelji provedbe i pokazatelji uspješnosti provedbe</w:t>
            </w:r>
          </w:p>
        </w:tc>
        <w:tc>
          <w:tcPr>
            <w:tcW w:w="2552" w:type="dxa"/>
            <w:shd w:val="clear" w:color="auto" w:fill="F2F2F2" w:themeFill="background1" w:themeFillShade="F2"/>
            <w:vAlign w:val="center"/>
          </w:tcPr>
          <w:p w14:paraId="28E7709E" w14:textId="05E401B0" w:rsidR="00441E7B" w:rsidRPr="00FC64BF" w:rsidRDefault="00441E7B" w:rsidP="00AB12E9">
            <w:pPr>
              <w:spacing w:line="276" w:lineRule="auto"/>
              <w:jc w:val="center"/>
              <w:rPr>
                <w:rFonts w:cs="Times New Roman"/>
                <w:b/>
                <w:sz w:val="20"/>
                <w:szCs w:val="18"/>
              </w:rPr>
            </w:pPr>
            <w:r w:rsidRPr="00FC64BF">
              <w:rPr>
                <w:rFonts w:cs="Times New Roman"/>
                <w:b/>
                <w:sz w:val="20"/>
                <w:szCs w:val="18"/>
              </w:rPr>
              <w:t>Broj upućenih izvješća</w:t>
            </w:r>
          </w:p>
        </w:tc>
        <w:tc>
          <w:tcPr>
            <w:tcW w:w="2126" w:type="dxa"/>
            <w:shd w:val="clear" w:color="auto" w:fill="F2F2F2" w:themeFill="background1" w:themeFillShade="F2"/>
            <w:vAlign w:val="center"/>
          </w:tcPr>
          <w:p w14:paraId="51D81F42" w14:textId="6659DA1E" w:rsidR="00441E7B" w:rsidRPr="00FC64BF" w:rsidRDefault="00441E7B" w:rsidP="00D36147">
            <w:pPr>
              <w:spacing w:line="276" w:lineRule="auto"/>
              <w:jc w:val="center"/>
              <w:rPr>
                <w:rFonts w:cs="Times New Roman"/>
                <w:b/>
                <w:sz w:val="20"/>
                <w:szCs w:val="18"/>
              </w:rPr>
            </w:pPr>
          </w:p>
        </w:tc>
        <w:tc>
          <w:tcPr>
            <w:tcW w:w="1554" w:type="dxa"/>
            <w:shd w:val="clear" w:color="auto" w:fill="F2F2F2" w:themeFill="background1" w:themeFillShade="F2"/>
            <w:vAlign w:val="center"/>
          </w:tcPr>
          <w:p w14:paraId="6B341A37" w14:textId="77777777" w:rsidR="00441E7B" w:rsidRPr="00FC64BF" w:rsidRDefault="00441E7B" w:rsidP="00D36147">
            <w:pPr>
              <w:spacing w:line="276" w:lineRule="auto"/>
              <w:jc w:val="center"/>
              <w:rPr>
                <w:rFonts w:cs="Times New Roman"/>
                <w:b/>
                <w:sz w:val="20"/>
                <w:szCs w:val="18"/>
              </w:rPr>
            </w:pPr>
          </w:p>
        </w:tc>
      </w:tr>
      <w:tr w:rsidR="00CE622A" w:rsidRPr="00CE622A" w14:paraId="60413862" w14:textId="77777777" w:rsidTr="00AF43CC">
        <w:tc>
          <w:tcPr>
            <w:tcW w:w="2830" w:type="dxa"/>
            <w:shd w:val="clear" w:color="auto" w:fill="F2F2F2" w:themeFill="background1" w:themeFillShade="F2"/>
            <w:vAlign w:val="center"/>
          </w:tcPr>
          <w:p w14:paraId="1E70B6FC" w14:textId="3C7D4167" w:rsidR="00441E7B" w:rsidRPr="00FC64BF" w:rsidRDefault="00441E7B" w:rsidP="007D2A00">
            <w:pPr>
              <w:spacing w:line="276" w:lineRule="auto"/>
              <w:rPr>
                <w:rFonts w:cs="Times New Roman"/>
                <w:sz w:val="20"/>
                <w:szCs w:val="18"/>
              </w:rPr>
            </w:pPr>
            <w:r w:rsidRPr="00FC64BF">
              <w:rPr>
                <w:rFonts w:cs="Times New Roman"/>
                <w:sz w:val="20"/>
                <w:szCs w:val="18"/>
              </w:rPr>
              <w:t>Planirani ishodi za pokazatelje provedbe u 202</w:t>
            </w:r>
            <w:r w:rsidR="003334AF" w:rsidRPr="00FC64BF">
              <w:rPr>
                <w:rFonts w:cs="Times New Roman"/>
                <w:sz w:val="20"/>
                <w:szCs w:val="18"/>
              </w:rPr>
              <w:t>4</w:t>
            </w:r>
            <w:r w:rsidRPr="00FC64BF">
              <w:rPr>
                <w:rFonts w:cs="Times New Roman"/>
                <w:sz w:val="20"/>
                <w:szCs w:val="18"/>
              </w:rPr>
              <w:t xml:space="preserve">. </w:t>
            </w:r>
          </w:p>
        </w:tc>
        <w:tc>
          <w:tcPr>
            <w:tcW w:w="2552" w:type="dxa"/>
            <w:vAlign w:val="center"/>
          </w:tcPr>
          <w:p w14:paraId="65289C4A" w14:textId="5D0F9A4E" w:rsidR="00441E7B" w:rsidRPr="00FC64BF" w:rsidRDefault="00441E7B" w:rsidP="00AB12E9">
            <w:pPr>
              <w:spacing w:line="276" w:lineRule="auto"/>
              <w:jc w:val="center"/>
              <w:rPr>
                <w:rFonts w:cs="Times New Roman"/>
                <w:sz w:val="20"/>
                <w:szCs w:val="18"/>
              </w:rPr>
            </w:pPr>
            <w:r w:rsidRPr="00FC64BF">
              <w:rPr>
                <w:rFonts w:cs="Times New Roman"/>
                <w:sz w:val="20"/>
                <w:szCs w:val="18"/>
              </w:rPr>
              <w:t>1</w:t>
            </w:r>
          </w:p>
        </w:tc>
        <w:tc>
          <w:tcPr>
            <w:tcW w:w="2126" w:type="dxa"/>
            <w:vAlign w:val="center"/>
          </w:tcPr>
          <w:p w14:paraId="6200AC4E" w14:textId="3A9F7C1A" w:rsidR="00441E7B" w:rsidRPr="00FC64BF" w:rsidRDefault="00441E7B" w:rsidP="00D36147">
            <w:pPr>
              <w:spacing w:line="276" w:lineRule="auto"/>
              <w:jc w:val="center"/>
              <w:rPr>
                <w:rFonts w:cs="Times New Roman"/>
                <w:sz w:val="20"/>
                <w:szCs w:val="18"/>
              </w:rPr>
            </w:pPr>
          </w:p>
        </w:tc>
        <w:tc>
          <w:tcPr>
            <w:tcW w:w="1554" w:type="dxa"/>
            <w:vAlign w:val="center"/>
          </w:tcPr>
          <w:p w14:paraId="4EDF1BFA" w14:textId="77777777" w:rsidR="00441E7B" w:rsidRPr="00FC64BF" w:rsidRDefault="00441E7B" w:rsidP="00D36147">
            <w:pPr>
              <w:spacing w:line="276" w:lineRule="auto"/>
              <w:jc w:val="center"/>
              <w:rPr>
                <w:rFonts w:cs="Times New Roman"/>
                <w:sz w:val="20"/>
                <w:szCs w:val="18"/>
              </w:rPr>
            </w:pPr>
          </w:p>
        </w:tc>
      </w:tr>
      <w:tr w:rsidR="00CE622A" w:rsidRPr="00CE622A" w14:paraId="0E969F97" w14:textId="77777777" w:rsidTr="00AF43CC">
        <w:tc>
          <w:tcPr>
            <w:tcW w:w="2830" w:type="dxa"/>
            <w:shd w:val="clear" w:color="auto" w:fill="F2F2F2" w:themeFill="background1" w:themeFillShade="F2"/>
            <w:vAlign w:val="center"/>
          </w:tcPr>
          <w:p w14:paraId="411CFD64" w14:textId="1ECA352B" w:rsidR="00441E7B" w:rsidRPr="00FC64BF" w:rsidRDefault="00441E7B" w:rsidP="007D2A00">
            <w:pPr>
              <w:spacing w:line="276" w:lineRule="auto"/>
              <w:rPr>
                <w:rFonts w:cs="Times New Roman"/>
                <w:sz w:val="20"/>
                <w:szCs w:val="18"/>
              </w:rPr>
            </w:pPr>
            <w:r w:rsidRPr="00FC64BF">
              <w:rPr>
                <w:rFonts w:cs="Times New Roman"/>
                <w:sz w:val="20"/>
                <w:szCs w:val="18"/>
              </w:rPr>
              <w:t>Ostvareni ishodi za pokazatelje provedbe u 202</w:t>
            </w:r>
            <w:r w:rsidR="003334AF" w:rsidRPr="00FC64BF">
              <w:rPr>
                <w:rFonts w:cs="Times New Roman"/>
                <w:sz w:val="20"/>
                <w:szCs w:val="18"/>
              </w:rPr>
              <w:t>4</w:t>
            </w:r>
            <w:r w:rsidRPr="00FC64BF">
              <w:rPr>
                <w:rFonts w:cs="Times New Roman"/>
                <w:sz w:val="20"/>
                <w:szCs w:val="18"/>
              </w:rPr>
              <w:t>.</w:t>
            </w:r>
          </w:p>
        </w:tc>
        <w:tc>
          <w:tcPr>
            <w:tcW w:w="2552" w:type="dxa"/>
            <w:vAlign w:val="center"/>
          </w:tcPr>
          <w:p w14:paraId="1031AD7D" w14:textId="09523D33" w:rsidR="00441E7B" w:rsidRPr="00FC64BF" w:rsidRDefault="00C66E0B" w:rsidP="00AB12E9">
            <w:pPr>
              <w:spacing w:line="276" w:lineRule="auto"/>
              <w:jc w:val="center"/>
              <w:rPr>
                <w:rFonts w:cs="Times New Roman"/>
                <w:sz w:val="20"/>
                <w:szCs w:val="18"/>
              </w:rPr>
            </w:pPr>
            <w:r w:rsidRPr="00FC64BF">
              <w:rPr>
                <w:rFonts w:cs="Times New Roman"/>
                <w:sz w:val="20"/>
                <w:szCs w:val="18"/>
              </w:rPr>
              <w:t>1</w:t>
            </w:r>
          </w:p>
        </w:tc>
        <w:tc>
          <w:tcPr>
            <w:tcW w:w="2126" w:type="dxa"/>
            <w:vAlign w:val="center"/>
          </w:tcPr>
          <w:p w14:paraId="5CD944D0" w14:textId="4505404D" w:rsidR="00441E7B" w:rsidRPr="00FC64BF" w:rsidRDefault="00441E7B" w:rsidP="00D36147">
            <w:pPr>
              <w:spacing w:line="276" w:lineRule="auto"/>
              <w:jc w:val="center"/>
              <w:rPr>
                <w:rFonts w:cs="Times New Roman"/>
                <w:sz w:val="20"/>
                <w:szCs w:val="18"/>
              </w:rPr>
            </w:pPr>
          </w:p>
        </w:tc>
        <w:tc>
          <w:tcPr>
            <w:tcW w:w="1554" w:type="dxa"/>
            <w:vAlign w:val="center"/>
          </w:tcPr>
          <w:p w14:paraId="1631C671" w14:textId="7580A60F" w:rsidR="00441E7B" w:rsidRPr="00FC64BF" w:rsidRDefault="00441E7B" w:rsidP="00D36147">
            <w:pPr>
              <w:spacing w:line="276" w:lineRule="auto"/>
              <w:jc w:val="center"/>
              <w:rPr>
                <w:rFonts w:cs="Times New Roman"/>
                <w:sz w:val="20"/>
                <w:szCs w:val="18"/>
              </w:rPr>
            </w:pPr>
          </w:p>
        </w:tc>
      </w:tr>
      <w:tr w:rsidR="00CE622A" w:rsidRPr="00CE622A" w14:paraId="4BF24E0D" w14:textId="77777777" w:rsidTr="00AF43CC">
        <w:tc>
          <w:tcPr>
            <w:tcW w:w="2830" w:type="dxa"/>
            <w:shd w:val="clear" w:color="auto" w:fill="F2F2F2" w:themeFill="background1" w:themeFillShade="F2"/>
            <w:vAlign w:val="center"/>
          </w:tcPr>
          <w:p w14:paraId="437522B8" w14:textId="77777777" w:rsidR="00441E7B" w:rsidRPr="00FC64BF" w:rsidRDefault="00441E7B" w:rsidP="004A3B23">
            <w:pPr>
              <w:spacing w:line="276" w:lineRule="auto"/>
              <w:rPr>
                <w:rFonts w:cs="Times New Roman"/>
                <w:b/>
                <w:sz w:val="20"/>
                <w:szCs w:val="18"/>
              </w:rPr>
            </w:pPr>
            <w:r w:rsidRPr="00FC64BF">
              <w:rPr>
                <w:rFonts w:cs="Times New Roman"/>
                <w:b/>
                <w:sz w:val="20"/>
                <w:szCs w:val="18"/>
              </w:rPr>
              <w:t>IZVORI FINANCIRANJA</w:t>
            </w:r>
          </w:p>
        </w:tc>
        <w:tc>
          <w:tcPr>
            <w:tcW w:w="2552" w:type="dxa"/>
            <w:vAlign w:val="center"/>
          </w:tcPr>
          <w:p w14:paraId="7FC1D5E4" w14:textId="33BF18E0" w:rsidR="00441E7B" w:rsidRPr="00FC64BF" w:rsidRDefault="00441E7B" w:rsidP="00AB12E9">
            <w:pPr>
              <w:spacing w:line="276" w:lineRule="auto"/>
              <w:jc w:val="center"/>
              <w:rPr>
                <w:rFonts w:cs="Times New Roman"/>
                <w:b/>
                <w:sz w:val="20"/>
                <w:szCs w:val="18"/>
              </w:rPr>
            </w:pPr>
            <w:r w:rsidRPr="00FC64BF">
              <w:rPr>
                <w:rFonts w:cs="Times New Roman"/>
                <w:b/>
                <w:sz w:val="20"/>
                <w:szCs w:val="18"/>
              </w:rPr>
              <w:t>Državni proračun (EUR)</w:t>
            </w:r>
          </w:p>
        </w:tc>
        <w:tc>
          <w:tcPr>
            <w:tcW w:w="2126" w:type="dxa"/>
            <w:vAlign w:val="center"/>
          </w:tcPr>
          <w:p w14:paraId="4A377EFE" w14:textId="4C44360F" w:rsidR="00441E7B" w:rsidRPr="00FC64BF" w:rsidRDefault="00441E7B" w:rsidP="00D36147">
            <w:pPr>
              <w:spacing w:line="276" w:lineRule="auto"/>
              <w:jc w:val="center"/>
              <w:rPr>
                <w:rFonts w:cs="Times New Roman"/>
                <w:b/>
                <w:sz w:val="20"/>
                <w:szCs w:val="18"/>
              </w:rPr>
            </w:pPr>
            <w:r w:rsidRPr="00FC64BF">
              <w:rPr>
                <w:rFonts w:cs="Times New Roman"/>
                <w:b/>
                <w:sz w:val="20"/>
                <w:szCs w:val="18"/>
              </w:rPr>
              <w:t>EU financiranje</w:t>
            </w:r>
            <w:r w:rsidR="00C30AE0" w:rsidRPr="00FC64BF">
              <w:rPr>
                <w:rFonts w:cs="Times New Roman"/>
                <w:b/>
                <w:sz w:val="20"/>
                <w:szCs w:val="18"/>
              </w:rPr>
              <w:t xml:space="preserve"> </w:t>
            </w:r>
            <w:r w:rsidRPr="00FC64BF">
              <w:rPr>
                <w:rFonts w:cs="Times New Roman"/>
                <w:b/>
                <w:sz w:val="20"/>
                <w:szCs w:val="18"/>
              </w:rPr>
              <w:t>(EUR)</w:t>
            </w:r>
          </w:p>
        </w:tc>
        <w:tc>
          <w:tcPr>
            <w:tcW w:w="1554" w:type="dxa"/>
            <w:vAlign w:val="center"/>
          </w:tcPr>
          <w:p w14:paraId="4E0FB728" w14:textId="77777777" w:rsidR="00441E7B" w:rsidRPr="00FC64BF" w:rsidRDefault="00441E7B"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CE622A" w14:paraId="57225998" w14:textId="77777777" w:rsidTr="00AF43CC">
        <w:tc>
          <w:tcPr>
            <w:tcW w:w="2830" w:type="dxa"/>
            <w:shd w:val="clear" w:color="auto" w:fill="F2F2F2" w:themeFill="background1" w:themeFillShade="F2"/>
            <w:vAlign w:val="center"/>
          </w:tcPr>
          <w:p w14:paraId="29A91E5E" w14:textId="4E666473" w:rsidR="00441E7B" w:rsidRPr="00FC64BF" w:rsidRDefault="00441E7B" w:rsidP="007D2A00">
            <w:pPr>
              <w:spacing w:line="276" w:lineRule="auto"/>
              <w:rPr>
                <w:rFonts w:cs="Times New Roman"/>
                <w:sz w:val="20"/>
                <w:szCs w:val="18"/>
              </w:rPr>
            </w:pPr>
            <w:r w:rsidRPr="00FC64BF">
              <w:rPr>
                <w:rFonts w:cs="Times New Roman"/>
                <w:sz w:val="20"/>
                <w:szCs w:val="18"/>
              </w:rPr>
              <w:t>Izvori financiranja u 202</w:t>
            </w:r>
            <w:r w:rsidR="003334AF" w:rsidRPr="00FC64BF">
              <w:rPr>
                <w:rFonts w:cs="Times New Roman"/>
                <w:sz w:val="20"/>
                <w:szCs w:val="18"/>
              </w:rPr>
              <w:t>4</w:t>
            </w:r>
            <w:r w:rsidRPr="00FC64BF">
              <w:rPr>
                <w:rFonts w:cs="Times New Roman"/>
                <w:sz w:val="20"/>
                <w:szCs w:val="18"/>
              </w:rPr>
              <w:t>. (proračunska pozicija i predviđeni iznos sredstava)</w:t>
            </w:r>
          </w:p>
        </w:tc>
        <w:tc>
          <w:tcPr>
            <w:tcW w:w="2552" w:type="dxa"/>
            <w:vAlign w:val="center"/>
          </w:tcPr>
          <w:p w14:paraId="339D2F3C" w14:textId="29C62783" w:rsidR="00441E7B" w:rsidRPr="00FC64BF" w:rsidRDefault="00441E7B" w:rsidP="00AB12E9">
            <w:pPr>
              <w:spacing w:line="276" w:lineRule="auto"/>
              <w:jc w:val="center"/>
              <w:rPr>
                <w:rFonts w:cs="Times New Roman"/>
                <w:sz w:val="20"/>
                <w:szCs w:val="18"/>
              </w:rPr>
            </w:pPr>
            <w:r w:rsidRPr="00FC64BF">
              <w:rPr>
                <w:rFonts w:cs="Times New Roman"/>
                <w:sz w:val="20"/>
                <w:szCs w:val="18"/>
              </w:rPr>
              <w:t xml:space="preserve">A777046 </w:t>
            </w:r>
            <w:r w:rsidR="005612A7" w:rsidRPr="00FC64BF">
              <w:rPr>
                <w:rFonts w:cs="Times New Roman"/>
                <w:sz w:val="20"/>
                <w:szCs w:val="18"/>
              </w:rPr>
              <w:t xml:space="preserve">- </w:t>
            </w:r>
            <w:r w:rsidRPr="00FC64BF">
              <w:rPr>
                <w:rFonts w:cs="Times New Roman"/>
                <w:sz w:val="20"/>
                <w:szCs w:val="18"/>
              </w:rPr>
              <w:t>Administracija i upravljanje</w:t>
            </w:r>
          </w:p>
          <w:p w14:paraId="57FEC73A" w14:textId="21309A30" w:rsidR="00441E7B" w:rsidRPr="00FC64BF" w:rsidRDefault="00441E7B" w:rsidP="00D36147">
            <w:pPr>
              <w:spacing w:line="276" w:lineRule="auto"/>
              <w:jc w:val="center"/>
              <w:rPr>
                <w:rFonts w:cs="Times New Roman"/>
                <w:sz w:val="20"/>
                <w:szCs w:val="18"/>
              </w:rPr>
            </w:pPr>
            <w:r w:rsidRPr="00FC64BF">
              <w:rPr>
                <w:rFonts w:cs="Times New Roman"/>
                <w:sz w:val="20"/>
                <w:szCs w:val="18"/>
              </w:rPr>
              <w:t>0,00</w:t>
            </w:r>
          </w:p>
        </w:tc>
        <w:tc>
          <w:tcPr>
            <w:tcW w:w="2126" w:type="dxa"/>
            <w:vAlign w:val="center"/>
          </w:tcPr>
          <w:p w14:paraId="642DD60F" w14:textId="77777777" w:rsidR="00441E7B" w:rsidRPr="00FC64BF" w:rsidRDefault="00441E7B" w:rsidP="00D36147">
            <w:pPr>
              <w:spacing w:line="276" w:lineRule="auto"/>
              <w:jc w:val="center"/>
              <w:rPr>
                <w:rFonts w:cs="Times New Roman"/>
                <w:sz w:val="20"/>
                <w:szCs w:val="18"/>
              </w:rPr>
            </w:pPr>
            <w:r w:rsidRPr="00FC64BF">
              <w:rPr>
                <w:rFonts w:cs="Times New Roman"/>
                <w:sz w:val="20"/>
                <w:szCs w:val="18"/>
              </w:rPr>
              <w:t xml:space="preserve">0,00 </w:t>
            </w:r>
          </w:p>
        </w:tc>
        <w:tc>
          <w:tcPr>
            <w:tcW w:w="1554" w:type="dxa"/>
            <w:vAlign w:val="center"/>
          </w:tcPr>
          <w:p w14:paraId="4D79DD0F" w14:textId="77777777" w:rsidR="00441E7B" w:rsidRPr="00FC64BF" w:rsidRDefault="00441E7B" w:rsidP="00D36147">
            <w:pPr>
              <w:spacing w:line="276" w:lineRule="auto"/>
              <w:jc w:val="center"/>
              <w:rPr>
                <w:rFonts w:cs="Times New Roman"/>
                <w:sz w:val="20"/>
                <w:szCs w:val="18"/>
              </w:rPr>
            </w:pPr>
            <w:r w:rsidRPr="00FC64BF">
              <w:rPr>
                <w:rFonts w:cs="Times New Roman"/>
                <w:sz w:val="20"/>
                <w:szCs w:val="18"/>
              </w:rPr>
              <w:t xml:space="preserve">0,00 </w:t>
            </w:r>
          </w:p>
        </w:tc>
      </w:tr>
      <w:tr w:rsidR="00CE622A" w:rsidRPr="00CE622A" w14:paraId="1254FA5E" w14:textId="77777777" w:rsidTr="00AF43CC">
        <w:trPr>
          <w:trHeight w:val="407"/>
        </w:trPr>
        <w:tc>
          <w:tcPr>
            <w:tcW w:w="2830" w:type="dxa"/>
            <w:vMerge w:val="restart"/>
            <w:shd w:val="clear" w:color="auto" w:fill="F2F2F2" w:themeFill="background1" w:themeFillShade="F2"/>
            <w:vAlign w:val="center"/>
          </w:tcPr>
          <w:p w14:paraId="5BD4118E" w14:textId="77777777" w:rsidR="00441E7B" w:rsidRPr="00FC64BF" w:rsidRDefault="00441E7B" w:rsidP="004A3B23">
            <w:pPr>
              <w:spacing w:line="276" w:lineRule="auto"/>
              <w:rPr>
                <w:rFonts w:cs="Times New Roman"/>
                <w:b/>
                <w:bCs/>
                <w:sz w:val="20"/>
                <w:szCs w:val="18"/>
              </w:rPr>
            </w:pPr>
            <w:r w:rsidRPr="00FC64BF">
              <w:rPr>
                <w:rFonts w:cs="Times New Roman"/>
                <w:b/>
                <w:bCs/>
                <w:sz w:val="20"/>
                <w:szCs w:val="18"/>
              </w:rPr>
              <w:t xml:space="preserve">UKUPNO UTROŠENA SREDSTVA PO IZVORU </w:t>
            </w:r>
          </w:p>
        </w:tc>
        <w:tc>
          <w:tcPr>
            <w:tcW w:w="2552" w:type="dxa"/>
            <w:vAlign w:val="center"/>
          </w:tcPr>
          <w:p w14:paraId="71B25FA8" w14:textId="7A246E17" w:rsidR="00441E7B" w:rsidRPr="00FC64BF" w:rsidRDefault="00441E7B" w:rsidP="00AB12E9">
            <w:pPr>
              <w:spacing w:line="276" w:lineRule="auto"/>
              <w:jc w:val="center"/>
              <w:rPr>
                <w:rFonts w:cs="Times New Roman"/>
                <w:b/>
                <w:bCs/>
                <w:sz w:val="20"/>
                <w:szCs w:val="18"/>
              </w:rPr>
            </w:pPr>
            <w:r w:rsidRPr="00FC64BF">
              <w:rPr>
                <w:rFonts w:cs="Times New Roman"/>
                <w:b/>
                <w:bCs/>
                <w:sz w:val="20"/>
                <w:szCs w:val="18"/>
              </w:rPr>
              <w:t>Državni proračun</w:t>
            </w:r>
            <w:r w:rsidR="00C30AE0" w:rsidRPr="00FC64BF">
              <w:rPr>
                <w:rFonts w:cs="Times New Roman"/>
                <w:b/>
                <w:bCs/>
                <w:sz w:val="20"/>
                <w:szCs w:val="18"/>
              </w:rPr>
              <w:t xml:space="preserve"> </w:t>
            </w:r>
            <w:r w:rsidRPr="00FC64BF">
              <w:rPr>
                <w:rFonts w:cs="Times New Roman"/>
                <w:b/>
                <w:bCs/>
                <w:sz w:val="20"/>
                <w:szCs w:val="18"/>
              </w:rPr>
              <w:t>(EUR)</w:t>
            </w:r>
          </w:p>
        </w:tc>
        <w:tc>
          <w:tcPr>
            <w:tcW w:w="2126" w:type="dxa"/>
            <w:vAlign w:val="center"/>
          </w:tcPr>
          <w:p w14:paraId="630C9F86" w14:textId="424A06D1" w:rsidR="00441E7B" w:rsidRPr="00FC64BF" w:rsidRDefault="00441E7B" w:rsidP="00D36147">
            <w:pPr>
              <w:spacing w:line="276" w:lineRule="auto"/>
              <w:jc w:val="center"/>
              <w:rPr>
                <w:rFonts w:cs="Times New Roman"/>
                <w:b/>
                <w:bCs/>
                <w:sz w:val="20"/>
                <w:szCs w:val="18"/>
              </w:rPr>
            </w:pPr>
            <w:r w:rsidRPr="00FC64BF">
              <w:rPr>
                <w:rFonts w:cs="Times New Roman"/>
                <w:b/>
                <w:bCs/>
                <w:sz w:val="20"/>
                <w:szCs w:val="18"/>
              </w:rPr>
              <w:t>EU financiranje</w:t>
            </w:r>
            <w:r w:rsidR="005A6860" w:rsidRPr="00FC64BF">
              <w:rPr>
                <w:rFonts w:cs="Times New Roman"/>
                <w:b/>
                <w:bCs/>
                <w:sz w:val="20"/>
                <w:szCs w:val="18"/>
              </w:rPr>
              <w:t xml:space="preserve"> </w:t>
            </w:r>
            <w:r w:rsidRPr="00FC64BF">
              <w:rPr>
                <w:rFonts w:cs="Times New Roman"/>
                <w:b/>
                <w:bCs/>
                <w:sz w:val="20"/>
                <w:szCs w:val="18"/>
              </w:rPr>
              <w:t>(EUR)</w:t>
            </w:r>
          </w:p>
        </w:tc>
        <w:tc>
          <w:tcPr>
            <w:tcW w:w="1554" w:type="dxa"/>
            <w:vAlign w:val="center"/>
          </w:tcPr>
          <w:p w14:paraId="7650BC4E" w14:textId="30EBB9D0" w:rsidR="00441E7B" w:rsidRPr="00FC64BF" w:rsidRDefault="00441E7B" w:rsidP="00D36147">
            <w:pPr>
              <w:spacing w:line="276" w:lineRule="auto"/>
              <w:jc w:val="center"/>
              <w:rPr>
                <w:rFonts w:cs="Times New Roman"/>
                <w:b/>
                <w:bCs/>
                <w:sz w:val="20"/>
                <w:szCs w:val="18"/>
              </w:rPr>
            </w:pPr>
            <w:r w:rsidRPr="00FC64BF">
              <w:rPr>
                <w:rFonts w:cs="Times New Roman"/>
                <w:b/>
                <w:bCs/>
                <w:sz w:val="20"/>
                <w:szCs w:val="18"/>
              </w:rPr>
              <w:t>Drugi izvori</w:t>
            </w:r>
            <w:r w:rsidR="00C30AE0" w:rsidRPr="00FC64BF">
              <w:rPr>
                <w:rFonts w:cs="Times New Roman"/>
                <w:b/>
                <w:bCs/>
                <w:sz w:val="20"/>
                <w:szCs w:val="18"/>
              </w:rPr>
              <w:t xml:space="preserve"> </w:t>
            </w:r>
            <w:r w:rsidRPr="00FC64BF">
              <w:rPr>
                <w:rFonts w:cs="Times New Roman"/>
                <w:b/>
                <w:bCs/>
                <w:sz w:val="20"/>
                <w:szCs w:val="18"/>
              </w:rPr>
              <w:t>(EUR)</w:t>
            </w:r>
          </w:p>
        </w:tc>
      </w:tr>
      <w:tr w:rsidR="00CE622A" w:rsidRPr="00CE622A" w14:paraId="48F73337" w14:textId="77777777" w:rsidTr="00AF43CC">
        <w:tc>
          <w:tcPr>
            <w:tcW w:w="2830" w:type="dxa"/>
            <w:vMerge/>
            <w:shd w:val="clear" w:color="auto" w:fill="F2F2F2" w:themeFill="background1" w:themeFillShade="F2"/>
            <w:vAlign w:val="center"/>
          </w:tcPr>
          <w:p w14:paraId="6115AFB4" w14:textId="77777777" w:rsidR="00441E7B" w:rsidRPr="00FC64BF" w:rsidRDefault="00441E7B" w:rsidP="00D36147">
            <w:pPr>
              <w:spacing w:line="276" w:lineRule="auto"/>
              <w:rPr>
                <w:rFonts w:cs="Times New Roman"/>
                <w:b/>
                <w:bCs/>
                <w:sz w:val="20"/>
                <w:szCs w:val="18"/>
              </w:rPr>
            </w:pPr>
          </w:p>
        </w:tc>
        <w:tc>
          <w:tcPr>
            <w:tcW w:w="2552" w:type="dxa"/>
            <w:vAlign w:val="center"/>
          </w:tcPr>
          <w:p w14:paraId="0FDC6B92" w14:textId="7533022B" w:rsidR="008B6CB4" w:rsidRPr="00FC64BF" w:rsidRDefault="008B6CB4" w:rsidP="00D36147">
            <w:pPr>
              <w:spacing w:line="276" w:lineRule="auto"/>
              <w:jc w:val="center"/>
              <w:rPr>
                <w:rFonts w:cs="Times New Roman"/>
                <w:bCs/>
                <w:sz w:val="20"/>
                <w:szCs w:val="18"/>
              </w:rPr>
            </w:pPr>
            <w:r w:rsidRPr="00FC64BF">
              <w:rPr>
                <w:rFonts w:cs="Times New Roman"/>
                <w:bCs/>
                <w:sz w:val="20"/>
                <w:szCs w:val="18"/>
              </w:rPr>
              <w:t xml:space="preserve">A777046 </w:t>
            </w:r>
            <w:r w:rsidR="005612A7" w:rsidRPr="00FC64BF">
              <w:rPr>
                <w:rFonts w:cs="Times New Roman"/>
                <w:bCs/>
                <w:sz w:val="20"/>
                <w:szCs w:val="18"/>
              </w:rPr>
              <w:t xml:space="preserve">- </w:t>
            </w:r>
            <w:r w:rsidRPr="00FC64BF">
              <w:rPr>
                <w:rFonts w:cs="Times New Roman"/>
                <w:bCs/>
                <w:sz w:val="20"/>
                <w:szCs w:val="18"/>
              </w:rPr>
              <w:t>Administracija i upravljanje</w:t>
            </w:r>
          </w:p>
          <w:p w14:paraId="18027824" w14:textId="0E0B7EC3" w:rsidR="00441E7B" w:rsidRPr="00FC64BF" w:rsidRDefault="008B6CB4" w:rsidP="00D36147">
            <w:pPr>
              <w:spacing w:line="276" w:lineRule="auto"/>
              <w:jc w:val="center"/>
              <w:rPr>
                <w:rFonts w:cs="Times New Roman"/>
                <w:b/>
                <w:bCs/>
                <w:sz w:val="20"/>
                <w:szCs w:val="18"/>
              </w:rPr>
            </w:pPr>
            <w:r w:rsidRPr="00FC64BF">
              <w:rPr>
                <w:rFonts w:cs="Times New Roman"/>
                <w:b/>
                <w:bCs/>
                <w:sz w:val="20"/>
                <w:szCs w:val="18"/>
              </w:rPr>
              <w:t>0,00</w:t>
            </w:r>
          </w:p>
        </w:tc>
        <w:tc>
          <w:tcPr>
            <w:tcW w:w="2126" w:type="dxa"/>
            <w:vAlign w:val="center"/>
          </w:tcPr>
          <w:p w14:paraId="31C7B833" w14:textId="1FFF4EFC" w:rsidR="00441E7B" w:rsidRPr="00FC64BF" w:rsidRDefault="00441E7B" w:rsidP="00D36147">
            <w:pPr>
              <w:spacing w:line="276" w:lineRule="auto"/>
              <w:jc w:val="center"/>
              <w:rPr>
                <w:rFonts w:cs="Times New Roman"/>
                <w:bCs/>
                <w:sz w:val="20"/>
                <w:szCs w:val="18"/>
              </w:rPr>
            </w:pPr>
            <w:r w:rsidRPr="00FC64BF">
              <w:rPr>
                <w:rFonts w:cs="Times New Roman"/>
                <w:bCs/>
                <w:sz w:val="20"/>
                <w:szCs w:val="18"/>
              </w:rPr>
              <w:t xml:space="preserve">0,00 </w:t>
            </w:r>
          </w:p>
        </w:tc>
        <w:tc>
          <w:tcPr>
            <w:tcW w:w="1554" w:type="dxa"/>
            <w:vAlign w:val="center"/>
          </w:tcPr>
          <w:p w14:paraId="55F23C11" w14:textId="2085ECF2" w:rsidR="00441E7B" w:rsidRPr="00FC64BF" w:rsidRDefault="00441E7B" w:rsidP="00D36147">
            <w:pPr>
              <w:spacing w:line="276" w:lineRule="auto"/>
              <w:jc w:val="center"/>
              <w:rPr>
                <w:rFonts w:cs="Times New Roman"/>
                <w:bCs/>
                <w:sz w:val="20"/>
                <w:szCs w:val="18"/>
              </w:rPr>
            </w:pPr>
            <w:r w:rsidRPr="00FC64BF">
              <w:rPr>
                <w:rFonts w:cs="Times New Roman"/>
                <w:bCs/>
                <w:sz w:val="20"/>
                <w:szCs w:val="18"/>
              </w:rPr>
              <w:t xml:space="preserve">0,00 </w:t>
            </w:r>
          </w:p>
        </w:tc>
      </w:tr>
      <w:tr w:rsidR="00CE622A" w:rsidRPr="00CE622A" w14:paraId="002558ED" w14:textId="77777777" w:rsidTr="00AF43CC">
        <w:trPr>
          <w:trHeight w:val="659"/>
        </w:trPr>
        <w:tc>
          <w:tcPr>
            <w:tcW w:w="2830" w:type="dxa"/>
            <w:shd w:val="clear" w:color="auto" w:fill="F2F2F2" w:themeFill="background1" w:themeFillShade="F2"/>
            <w:vAlign w:val="center"/>
          </w:tcPr>
          <w:p w14:paraId="4E74930E" w14:textId="1C680D87" w:rsidR="00441E7B" w:rsidRPr="00FC64BF" w:rsidRDefault="00441E7B" w:rsidP="004A3B23">
            <w:pPr>
              <w:spacing w:line="276" w:lineRule="auto"/>
              <w:rPr>
                <w:rFonts w:cs="Times New Roman"/>
                <w:sz w:val="20"/>
                <w:szCs w:val="18"/>
              </w:rPr>
            </w:pPr>
            <w:r w:rsidRPr="00FC64BF">
              <w:rPr>
                <w:rFonts w:cs="Times New Roman"/>
                <w:sz w:val="20"/>
                <w:szCs w:val="18"/>
              </w:rPr>
              <w:t xml:space="preserve">ROK PROVEDBE AKTIVNOSTI </w:t>
            </w:r>
          </w:p>
        </w:tc>
        <w:tc>
          <w:tcPr>
            <w:tcW w:w="6232" w:type="dxa"/>
            <w:gridSpan w:val="3"/>
            <w:vAlign w:val="center"/>
          </w:tcPr>
          <w:p w14:paraId="693A6443" w14:textId="3F8A6C55" w:rsidR="00441E7B" w:rsidRPr="00FC64BF" w:rsidRDefault="00441E7B" w:rsidP="00AB12E9">
            <w:pPr>
              <w:spacing w:line="276" w:lineRule="auto"/>
              <w:rPr>
                <w:rFonts w:cs="Times New Roman"/>
                <w:sz w:val="20"/>
                <w:szCs w:val="18"/>
              </w:rPr>
            </w:pPr>
            <w:r w:rsidRPr="00FC64BF">
              <w:rPr>
                <w:rFonts w:cs="Times New Roman"/>
                <w:sz w:val="20"/>
                <w:szCs w:val="18"/>
              </w:rPr>
              <w:t>IV. kvartal 2025.</w:t>
            </w:r>
          </w:p>
        </w:tc>
      </w:tr>
    </w:tbl>
    <w:p w14:paraId="54DB8B64" w14:textId="6255EBE7" w:rsidR="00CD78EF" w:rsidRPr="00B949FD" w:rsidRDefault="00CD78EF" w:rsidP="00D36147">
      <w:pPr>
        <w:spacing w:after="0" w:line="276" w:lineRule="auto"/>
        <w:rPr>
          <w:rFonts w:cs="Times New Roman"/>
        </w:rPr>
      </w:pPr>
    </w:p>
    <w:p w14:paraId="1547E8BE" w14:textId="77777777" w:rsidR="00705600" w:rsidRPr="00B949FD" w:rsidRDefault="00705600" w:rsidP="00D36147">
      <w:pPr>
        <w:spacing w:after="0" w:line="276" w:lineRule="auto"/>
        <w:rPr>
          <w:rFonts w:cs="Times New Roman"/>
        </w:rPr>
      </w:pPr>
    </w:p>
    <w:p w14:paraId="2BE3B85E" w14:textId="59A8EDCA" w:rsidR="004757A6" w:rsidRPr="00FC64BF" w:rsidRDefault="00C572AC" w:rsidP="004713E5">
      <w:pPr>
        <w:pStyle w:val="Heading2"/>
        <w:spacing w:before="0" w:line="276" w:lineRule="auto"/>
        <w:jc w:val="both"/>
        <w:rPr>
          <w:rFonts w:cs="Times New Roman"/>
        </w:rPr>
      </w:pPr>
      <w:r w:rsidRPr="00FC64BF">
        <w:rPr>
          <w:rFonts w:cs="Times New Roman"/>
        </w:rPr>
        <w:lastRenderedPageBreak/>
        <w:t xml:space="preserve">Mjera: </w:t>
      </w:r>
      <w:r w:rsidR="004757A6" w:rsidRPr="00FC64BF">
        <w:rPr>
          <w:rFonts w:cs="Times New Roman"/>
        </w:rPr>
        <w:t>1.2. Poticanje integrativnih procesa i osnaživanje socijalne kohezije između romskog i većinskog stanovništva</w:t>
      </w:r>
    </w:p>
    <w:p w14:paraId="147FC7EF" w14:textId="77777777" w:rsidR="001B48A1" w:rsidRPr="00FC64BF" w:rsidRDefault="001B48A1" w:rsidP="004A3B23">
      <w:pPr>
        <w:spacing w:after="0" w:line="276" w:lineRule="auto"/>
        <w:rPr>
          <w:rFonts w:cs="Times New Roman"/>
          <w:bCs/>
          <w:i/>
          <w:szCs w:val="24"/>
        </w:rPr>
      </w:pPr>
    </w:p>
    <w:p w14:paraId="4A1A3155" w14:textId="2DA0FFBD" w:rsidR="00FF48F9" w:rsidRPr="00FC64BF" w:rsidRDefault="00C572AC" w:rsidP="00AB12E9">
      <w:pPr>
        <w:spacing w:after="0" w:line="276" w:lineRule="auto"/>
        <w:rPr>
          <w:rFonts w:cs="Times New Roman"/>
          <w:i/>
          <w:szCs w:val="24"/>
        </w:rPr>
      </w:pPr>
      <w:r w:rsidRPr="00FC64BF">
        <w:rPr>
          <w:rFonts w:cs="Times New Roman"/>
          <w:bCs/>
          <w:i/>
          <w:szCs w:val="24"/>
        </w:rPr>
        <w:t>Aktivnost 1</w:t>
      </w:r>
      <w:r w:rsidR="00CC670E" w:rsidRPr="00FC64BF">
        <w:rPr>
          <w:rFonts w:cs="Times New Roman"/>
          <w:bCs/>
          <w:i/>
          <w:szCs w:val="24"/>
        </w:rPr>
        <w:t>.2.</w:t>
      </w:r>
      <w:r w:rsidRPr="00FC64BF">
        <w:rPr>
          <w:rFonts w:cs="Times New Roman"/>
          <w:bCs/>
          <w:i/>
          <w:szCs w:val="24"/>
        </w:rPr>
        <w:t>1.</w:t>
      </w:r>
      <w:r w:rsidR="00CC670E" w:rsidRPr="00FC64BF">
        <w:rPr>
          <w:rFonts w:cs="Times New Roman"/>
          <w:bCs/>
          <w:i/>
          <w:szCs w:val="24"/>
        </w:rPr>
        <w:t xml:space="preserve"> Poticanje </w:t>
      </w:r>
      <w:r w:rsidRPr="00FC64BF">
        <w:rPr>
          <w:rFonts w:cs="Times New Roman"/>
          <w:bCs/>
          <w:i/>
          <w:szCs w:val="24"/>
        </w:rPr>
        <w:t>integracije</w:t>
      </w:r>
      <w:r w:rsidR="00CC670E" w:rsidRPr="00FC64BF">
        <w:rPr>
          <w:rFonts w:cs="Times New Roman"/>
          <w:bCs/>
          <w:i/>
          <w:szCs w:val="24"/>
        </w:rPr>
        <w:t xml:space="preserve"> i socijalne kohezije </w:t>
      </w:r>
    </w:p>
    <w:p w14:paraId="4F5B9F16" w14:textId="2A49474D" w:rsidR="00FF48F9" w:rsidRPr="00FC64BF" w:rsidRDefault="00C572AC" w:rsidP="00D36147">
      <w:pPr>
        <w:spacing w:after="0" w:line="276" w:lineRule="auto"/>
        <w:rPr>
          <w:rFonts w:cs="Times New Roman"/>
          <w:iCs/>
          <w:szCs w:val="24"/>
        </w:rPr>
      </w:pPr>
      <w:r w:rsidRPr="00FC64BF">
        <w:rPr>
          <w:rFonts w:cs="Times New Roman"/>
          <w:i/>
          <w:szCs w:val="24"/>
        </w:rPr>
        <w:t xml:space="preserve">Nositelj provedbe: Ured </w:t>
      </w:r>
      <w:r w:rsidR="007D2A00">
        <w:rPr>
          <w:rFonts w:cs="Times New Roman"/>
          <w:i/>
          <w:szCs w:val="24"/>
        </w:rPr>
        <w:t xml:space="preserve">za ljudska prava i prava nacionalnih manjina </w:t>
      </w:r>
    </w:p>
    <w:p w14:paraId="5B21805C" w14:textId="77777777" w:rsidR="00FF48F9" w:rsidRPr="00FC64BF" w:rsidRDefault="00FF48F9" w:rsidP="00D36147">
      <w:pPr>
        <w:spacing w:after="0" w:line="276" w:lineRule="auto"/>
        <w:rPr>
          <w:rFonts w:cs="Times New Roman"/>
          <w:iCs/>
          <w:szCs w:val="24"/>
        </w:rPr>
      </w:pPr>
    </w:p>
    <w:p w14:paraId="39978AA9" w14:textId="444A827B" w:rsidR="005A6860" w:rsidRPr="00FC64BF" w:rsidRDefault="00A75995" w:rsidP="00D36147">
      <w:pPr>
        <w:tabs>
          <w:tab w:val="left" w:pos="5484"/>
        </w:tabs>
        <w:spacing w:after="0" w:line="276" w:lineRule="auto"/>
        <w:jc w:val="both"/>
        <w:rPr>
          <w:rFonts w:cs="Times New Roman"/>
          <w:iCs/>
          <w:szCs w:val="24"/>
        </w:rPr>
      </w:pPr>
      <w:r w:rsidRPr="00FC64BF">
        <w:rPr>
          <w:rFonts w:cs="Times New Roman"/>
          <w:iCs/>
          <w:szCs w:val="24"/>
        </w:rPr>
        <w:t>Provedba aktivnosti nije planirana u 202</w:t>
      </w:r>
      <w:r w:rsidR="00601C43" w:rsidRPr="00FC64BF">
        <w:rPr>
          <w:rFonts w:cs="Times New Roman"/>
          <w:iCs/>
          <w:szCs w:val="24"/>
        </w:rPr>
        <w:t>4</w:t>
      </w:r>
      <w:r w:rsidRPr="00FC64BF">
        <w:rPr>
          <w:rFonts w:cs="Times New Roman"/>
          <w:iCs/>
          <w:szCs w:val="24"/>
        </w:rPr>
        <w:t xml:space="preserve">. </w:t>
      </w:r>
      <w:r w:rsidR="008942A2">
        <w:rPr>
          <w:rFonts w:cs="Times New Roman"/>
          <w:iCs/>
          <w:szCs w:val="24"/>
        </w:rPr>
        <w:t>godini.</w:t>
      </w:r>
    </w:p>
    <w:p w14:paraId="64D61D31" w14:textId="636F875B" w:rsidR="003A42D5" w:rsidRPr="00FC64BF" w:rsidRDefault="003A42D5" w:rsidP="00D36147">
      <w:pPr>
        <w:tabs>
          <w:tab w:val="left" w:pos="5484"/>
        </w:tabs>
        <w:spacing w:after="0" w:line="276" w:lineRule="auto"/>
        <w:jc w:val="both"/>
        <w:rPr>
          <w:rFonts w:eastAsia="Times New Roman" w:cs="Times New Roman"/>
          <w:iCs/>
          <w:szCs w:val="20"/>
          <w:lang w:eastAsia="hr-HR"/>
        </w:rPr>
      </w:pPr>
    </w:p>
    <w:tbl>
      <w:tblPr>
        <w:tblStyle w:val="TableGrid"/>
        <w:tblW w:w="5003" w:type="pct"/>
        <w:tblLayout w:type="fixed"/>
        <w:tblLook w:val="04A0" w:firstRow="1" w:lastRow="0" w:firstColumn="1" w:lastColumn="0" w:noHBand="0" w:noVBand="1"/>
      </w:tblPr>
      <w:tblGrid>
        <w:gridCol w:w="3141"/>
        <w:gridCol w:w="2156"/>
        <w:gridCol w:w="2069"/>
        <w:gridCol w:w="1701"/>
      </w:tblGrid>
      <w:tr w:rsidR="00601C43" w:rsidRPr="00601C43" w14:paraId="4F213410" w14:textId="77777777" w:rsidTr="00A42BAD">
        <w:tc>
          <w:tcPr>
            <w:tcW w:w="1732" w:type="pct"/>
            <w:shd w:val="clear" w:color="auto" w:fill="F2F2F2" w:themeFill="background1" w:themeFillShade="F2"/>
            <w:vAlign w:val="center"/>
          </w:tcPr>
          <w:p w14:paraId="55C51A8A" w14:textId="05EF570F" w:rsidR="003A42D5" w:rsidRPr="00FC64BF" w:rsidRDefault="00B510B5" w:rsidP="00D36147">
            <w:pPr>
              <w:spacing w:line="276" w:lineRule="auto"/>
              <w:rPr>
                <w:rFonts w:cs="Times New Roman"/>
                <w:b/>
                <w:sz w:val="20"/>
                <w:szCs w:val="18"/>
              </w:rPr>
            </w:pPr>
            <w:r w:rsidRPr="00FC64BF">
              <w:rPr>
                <w:rFonts w:cs="Times New Roman"/>
                <w:b/>
                <w:sz w:val="20"/>
                <w:szCs w:val="18"/>
              </w:rPr>
              <w:t>Pokazatelji provedbe i pokazatelji uspješnosti provedbe</w:t>
            </w:r>
          </w:p>
        </w:tc>
        <w:tc>
          <w:tcPr>
            <w:tcW w:w="1189" w:type="pct"/>
            <w:shd w:val="clear" w:color="auto" w:fill="F2F2F2" w:themeFill="background1" w:themeFillShade="F2"/>
            <w:vAlign w:val="center"/>
          </w:tcPr>
          <w:p w14:paraId="0597FF5F" w14:textId="1C83498D" w:rsidR="003A42D5" w:rsidRPr="00FC64BF" w:rsidRDefault="003A42D5" w:rsidP="00D36147">
            <w:pPr>
              <w:spacing w:line="276" w:lineRule="auto"/>
              <w:jc w:val="center"/>
              <w:rPr>
                <w:rFonts w:cs="Times New Roman"/>
                <w:b/>
                <w:sz w:val="20"/>
                <w:szCs w:val="18"/>
              </w:rPr>
            </w:pPr>
            <w:r w:rsidRPr="00FC64BF">
              <w:rPr>
                <w:rFonts w:cs="Times New Roman"/>
                <w:b/>
                <w:sz w:val="20"/>
                <w:szCs w:val="18"/>
              </w:rPr>
              <w:t>Broj ugovorenih projekata</w:t>
            </w:r>
          </w:p>
        </w:tc>
        <w:tc>
          <w:tcPr>
            <w:tcW w:w="1141" w:type="pct"/>
            <w:shd w:val="clear" w:color="auto" w:fill="F2F2F2" w:themeFill="background1" w:themeFillShade="F2"/>
            <w:vAlign w:val="center"/>
          </w:tcPr>
          <w:p w14:paraId="332C8DD2" w14:textId="6BD99204" w:rsidR="003A42D5" w:rsidRPr="00FC64BF" w:rsidRDefault="003A42D5" w:rsidP="00D36147">
            <w:pPr>
              <w:spacing w:line="276" w:lineRule="auto"/>
              <w:jc w:val="center"/>
              <w:rPr>
                <w:rFonts w:cs="Times New Roman"/>
                <w:b/>
                <w:sz w:val="20"/>
                <w:szCs w:val="18"/>
              </w:rPr>
            </w:pPr>
            <w:r w:rsidRPr="00FC64BF">
              <w:rPr>
                <w:rFonts w:cs="Times New Roman"/>
                <w:b/>
                <w:sz w:val="20"/>
                <w:szCs w:val="18"/>
              </w:rPr>
              <w:t>Broj sudionika</w:t>
            </w:r>
          </w:p>
        </w:tc>
        <w:tc>
          <w:tcPr>
            <w:tcW w:w="938" w:type="pct"/>
            <w:shd w:val="clear" w:color="auto" w:fill="F2F2F2" w:themeFill="background1" w:themeFillShade="F2"/>
            <w:vAlign w:val="center"/>
          </w:tcPr>
          <w:p w14:paraId="4F496E81" w14:textId="62596C3B" w:rsidR="003A42D5" w:rsidRPr="00FC64BF" w:rsidRDefault="003A42D5" w:rsidP="00D36147">
            <w:pPr>
              <w:spacing w:line="276" w:lineRule="auto"/>
              <w:jc w:val="center"/>
              <w:rPr>
                <w:rFonts w:cs="Times New Roman"/>
                <w:b/>
                <w:sz w:val="20"/>
                <w:szCs w:val="18"/>
              </w:rPr>
            </w:pPr>
            <w:r w:rsidRPr="00FC64BF">
              <w:rPr>
                <w:rFonts w:cs="Times New Roman"/>
                <w:b/>
                <w:sz w:val="20"/>
                <w:szCs w:val="18"/>
              </w:rPr>
              <w:t>Broj sudionika iz redova romske nacionalne manjine/ broj djece</w:t>
            </w:r>
          </w:p>
        </w:tc>
      </w:tr>
      <w:tr w:rsidR="00601C43" w:rsidRPr="00601C43" w14:paraId="163AB378" w14:textId="77777777" w:rsidTr="00A42BAD">
        <w:trPr>
          <w:trHeight w:val="453"/>
        </w:trPr>
        <w:tc>
          <w:tcPr>
            <w:tcW w:w="1732" w:type="pct"/>
            <w:shd w:val="clear" w:color="auto" w:fill="F2F2F2" w:themeFill="background1" w:themeFillShade="F2"/>
            <w:vAlign w:val="center"/>
          </w:tcPr>
          <w:p w14:paraId="47D7248D" w14:textId="2D3511E9" w:rsidR="003A42D5" w:rsidRPr="00FC64BF" w:rsidRDefault="003A42D5" w:rsidP="007D2A00">
            <w:pPr>
              <w:spacing w:line="276" w:lineRule="auto"/>
              <w:rPr>
                <w:rFonts w:cs="Times New Roman"/>
                <w:sz w:val="20"/>
                <w:szCs w:val="18"/>
              </w:rPr>
            </w:pPr>
            <w:r w:rsidRPr="00FC64BF">
              <w:rPr>
                <w:rFonts w:cs="Times New Roman"/>
                <w:sz w:val="20"/>
                <w:szCs w:val="18"/>
              </w:rPr>
              <w:t>Planirani ishodi za pokazatelje provedbe u 202</w:t>
            </w:r>
            <w:r w:rsidR="00601C43">
              <w:rPr>
                <w:rFonts w:cs="Times New Roman"/>
                <w:sz w:val="20"/>
                <w:szCs w:val="18"/>
              </w:rPr>
              <w:t>4</w:t>
            </w:r>
          </w:p>
        </w:tc>
        <w:tc>
          <w:tcPr>
            <w:tcW w:w="1189" w:type="pct"/>
            <w:vAlign w:val="center"/>
          </w:tcPr>
          <w:p w14:paraId="23A20DCA" w14:textId="38DB768A" w:rsidR="003A42D5" w:rsidRPr="00FC64BF" w:rsidRDefault="003A42D5" w:rsidP="00D36147">
            <w:pPr>
              <w:spacing w:line="276" w:lineRule="auto"/>
              <w:jc w:val="center"/>
              <w:rPr>
                <w:rFonts w:cs="Times New Roman"/>
                <w:sz w:val="20"/>
                <w:szCs w:val="18"/>
              </w:rPr>
            </w:pPr>
            <w:r w:rsidRPr="00FC64BF">
              <w:rPr>
                <w:rFonts w:cs="Times New Roman"/>
                <w:sz w:val="20"/>
                <w:szCs w:val="18"/>
              </w:rPr>
              <w:t>n/p</w:t>
            </w:r>
          </w:p>
        </w:tc>
        <w:tc>
          <w:tcPr>
            <w:tcW w:w="1141" w:type="pct"/>
            <w:vAlign w:val="center"/>
          </w:tcPr>
          <w:p w14:paraId="1AF7CCAF" w14:textId="565F6DC3" w:rsidR="003A42D5" w:rsidRPr="00FC64BF" w:rsidRDefault="003A42D5" w:rsidP="00D36147">
            <w:pPr>
              <w:spacing w:line="276" w:lineRule="auto"/>
              <w:jc w:val="center"/>
              <w:rPr>
                <w:rFonts w:cs="Times New Roman"/>
                <w:sz w:val="20"/>
                <w:szCs w:val="18"/>
              </w:rPr>
            </w:pPr>
            <w:r w:rsidRPr="00FC64BF">
              <w:rPr>
                <w:rFonts w:cs="Times New Roman"/>
                <w:sz w:val="20"/>
                <w:szCs w:val="18"/>
              </w:rPr>
              <w:t>n/p</w:t>
            </w:r>
          </w:p>
        </w:tc>
        <w:tc>
          <w:tcPr>
            <w:tcW w:w="938" w:type="pct"/>
            <w:vAlign w:val="center"/>
          </w:tcPr>
          <w:p w14:paraId="2F74284C" w14:textId="2602C5AE" w:rsidR="003A42D5" w:rsidRPr="00FC64BF" w:rsidRDefault="003A42D5" w:rsidP="00D36147">
            <w:pPr>
              <w:spacing w:line="276" w:lineRule="auto"/>
              <w:jc w:val="center"/>
              <w:rPr>
                <w:rFonts w:cs="Times New Roman"/>
                <w:sz w:val="20"/>
                <w:szCs w:val="18"/>
              </w:rPr>
            </w:pPr>
            <w:r w:rsidRPr="00FC64BF">
              <w:rPr>
                <w:rFonts w:cs="Times New Roman"/>
                <w:sz w:val="20"/>
                <w:szCs w:val="18"/>
              </w:rPr>
              <w:t>n/p</w:t>
            </w:r>
          </w:p>
        </w:tc>
      </w:tr>
      <w:tr w:rsidR="00601C43" w:rsidRPr="00601C43" w14:paraId="22107AED" w14:textId="77777777" w:rsidTr="00A42BAD">
        <w:tc>
          <w:tcPr>
            <w:tcW w:w="1732" w:type="pct"/>
            <w:shd w:val="clear" w:color="auto" w:fill="F2F2F2" w:themeFill="background1" w:themeFillShade="F2"/>
            <w:vAlign w:val="center"/>
          </w:tcPr>
          <w:p w14:paraId="6503BD7C" w14:textId="67FCDDA0" w:rsidR="003A42D5" w:rsidRPr="00FC64BF" w:rsidRDefault="003A42D5" w:rsidP="007D2A00">
            <w:pPr>
              <w:spacing w:line="276" w:lineRule="auto"/>
              <w:rPr>
                <w:rFonts w:cs="Times New Roman"/>
                <w:sz w:val="20"/>
                <w:szCs w:val="18"/>
              </w:rPr>
            </w:pPr>
            <w:r w:rsidRPr="00FC64BF">
              <w:rPr>
                <w:rFonts w:cs="Times New Roman"/>
                <w:sz w:val="20"/>
                <w:szCs w:val="18"/>
              </w:rPr>
              <w:t>Ostvareni ishodi za pokazatelje provedbe u 202</w:t>
            </w:r>
            <w:r w:rsidR="00601C43">
              <w:rPr>
                <w:rFonts w:cs="Times New Roman"/>
                <w:sz w:val="20"/>
                <w:szCs w:val="18"/>
              </w:rPr>
              <w:t>4</w:t>
            </w:r>
            <w:r w:rsidRPr="00FC64BF">
              <w:rPr>
                <w:rFonts w:cs="Times New Roman"/>
                <w:sz w:val="20"/>
                <w:szCs w:val="18"/>
              </w:rPr>
              <w:t xml:space="preserve">. </w:t>
            </w:r>
          </w:p>
        </w:tc>
        <w:tc>
          <w:tcPr>
            <w:tcW w:w="1189" w:type="pct"/>
            <w:vAlign w:val="center"/>
          </w:tcPr>
          <w:p w14:paraId="5B893568" w14:textId="6B2CF077" w:rsidR="003A42D5" w:rsidRPr="00FC64BF" w:rsidRDefault="00865203" w:rsidP="00D36147">
            <w:pPr>
              <w:spacing w:line="276" w:lineRule="auto"/>
              <w:jc w:val="center"/>
              <w:rPr>
                <w:rFonts w:cs="Times New Roman"/>
                <w:sz w:val="20"/>
                <w:szCs w:val="18"/>
              </w:rPr>
            </w:pPr>
            <w:r w:rsidRPr="00FC64BF">
              <w:rPr>
                <w:rFonts w:cs="Times New Roman"/>
                <w:sz w:val="20"/>
                <w:szCs w:val="18"/>
              </w:rPr>
              <w:t>0</w:t>
            </w:r>
          </w:p>
        </w:tc>
        <w:tc>
          <w:tcPr>
            <w:tcW w:w="1141" w:type="pct"/>
            <w:vAlign w:val="center"/>
          </w:tcPr>
          <w:p w14:paraId="39D2BE2F" w14:textId="77777777" w:rsidR="003A42D5" w:rsidRPr="00FC64BF" w:rsidRDefault="003A42D5" w:rsidP="00D36147">
            <w:pPr>
              <w:spacing w:line="276" w:lineRule="auto"/>
              <w:jc w:val="center"/>
              <w:rPr>
                <w:rFonts w:cs="Times New Roman"/>
                <w:sz w:val="20"/>
                <w:szCs w:val="18"/>
              </w:rPr>
            </w:pPr>
            <w:r w:rsidRPr="00FC64BF">
              <w:rPr>
                <w:rFonts w:cs="Times New Roman"/>
                <w:sz w:val="20"/>
                <w:szCs w:val="18"/>
              </w:rPr>
              <w:t>0</w:t>
            </w:r>
          </w:p>
        </w:tc>
        <w:tc>
          <w:tcPr>
            <w:tcW w:w="938" w:type="pct"/>
            <w:vAlign w:val="center"/>
          </w:tcPr>
          <w:p w14:paraId="64D6DE06" w14:textId="77777777" w:rsidR="003A42D5" w:rsidRPr="00FC64BF" w:rsidRDefault="003A42D5" w:rsidP="00D36147">
            <w:pPr>
              <w:spacing w:line="276" w:lineRule="auto"/>
              <w:jc w:val="center"/>
              <w:rPr>
                <w:rFonts w:cs="Times New Roman"/>
                <w:sz w:val="20"/>
                <w:szCs w:val="18"/>
              </w:rPr>
            </w:pPr>
            <w:r w:rsidRPr="00FC64BF">
              <w:rPr>
                <w:rFonts w:cs="Times New Roman"/>
                <w:sz w:val="20"/>
                <w:szCs w:val="18"/>
              </w:rPr>
              <w:t>0</w:t>
            </w:r>
          </w:p>
        </w:tc>
      </w:tr>
      <w:tr w:rsidR="00601C43" w:rsidRPr="00601C43" w14:paraId="754EFE87" w14:textId="77777777" w:rsidTr="00A42BAD">
        <w:tc>
          <w:tcPr>
            <w:tcW w:w="1732" w:type="pct"/>
            <w:shd w:val="clear" w:color="auto" w:fill="F2F2F2" w:themeFill="background1" w:themeFillShade="F2"/>
            <w:vAlign w:val="center"/>
          </w:tcPr>
          <w:p w14:paraId="6D489B67" w14:textId="77777777" w:rsidR="003A42D5" w:rsidRPr="00FC64BF" w:rsidRDefault="003A42D5" w:rsidP="00D36147">
            <w:pPr>
              <w:spacing w:line="276" w:lineRule="auto"/>
              <w:rPr>
                <w:rFonts w:cs="Times New Roman"/>
                <w:b/>
                <w:sz w:val="20"/>
                <w:szCs w:val="18"/>
              </w:rPr>
            </w:pPr>
            <w:r w:rsidRPr="00FC64BF">
              <w:rPr>
                <w:rFonts w:cs="Times New Roman"/>
                <w:b/>
                <w:sz w:val="20"/>
                <w:szCs w:val="18"/>
              </w:rPr>
              <w:t>IZVORI FINANCIRANJA</w:t>
            </w:r>
          </w:p>
        </w:tc>
        <w:tc>
          <w:tcPr>
            <w:tcW w:w="1189" w:type="pct"/>
            <w:vAlign w:val="center"/>
          </w:tcPr>
          <w:p w14:paraId="157EBF4C" w14:textId="77777777" w:rsidR="003A42D5" w:rsidRPr="00FC64BF" w:rsidRDefault="003A42D5" w:rsidP="00D36147">
            <w:pPr>
              <w:spacing w:line="276" w:lineRule="auto"/>
              <w:jc w:val="center"/>
              <w:rPr>
                <w:rFonts w:cs="Times New Roman"/>
                <w:b/>
                <w:sz w:val="20"/>
                <w:szCs w:val="18"/>
              </w:rPr>
            </w:pPr>
            <w:r w:rsidRPr="00FC64BF">
              <w:rPr>
                <w:rFonts w:cs="Times New Roman"/>
                <w:b/>
                <w:sz w:val="20"/>
                <w:szCs w:val="18"/>
              </w:rPr>
              <w:t>Državni proračun (EUR)</w:t>
            </w:r>
          </w:p>
        </w:tc>
        <w:tc>
          <w:tcPr>
            <w:tcW w:w="1141" w:type="pct"/>
            <w:vAlign w:val="center"/>
          </w:tcPr>
          <w:p w14:paraId="3A7D8A45" w14:textId="77777777" w:rsidR="003A42D5" w:rsidRPr="00FC64BF" w:rsidRDefault="003A42D5" w:rsidP="00D36147">
            <w:pPr>
              <w:spacing w:line="276" w:lineRule="auto"/>
              <w:jc w:val="center"/>
              <w:rPr>
                <w:rFonts w:cs="Times New Roman"/>
                <w:b/>
                <w:sz w:val="20"/>
                <w:szCs w:val="18"/>
              </w:rPr>
            </w:pPr>
            <w:r w:rsidRPr="00FC64BF">
              <w:rPr>
                <w:rFonts w:cs="Times New Roman"/>
                <w:b/>
                <w:sz w:val="20"/>
                <w:szCs w:val="18"/>
              </w:rPr>
              <w:t>EU financiranje (EUR)</w:t>
            </w:r>
          </w:p>
        </w:tc>
        <w:tc>
          <w:tcPr>
            <w:tcW w:w="938" w:type="pct"/>
            <w:vAlign w:val="center"/>
          </w:tcPr>
          <w:p w14:paraId="7D2E53BA" w14:textId="3113B810" w:rsidR="003A42D5" w:rsidRPr="00FC64BF" w:rsidRDefault="003A42D5" w:rsidP="00D36147">
            <w:pPr>
              <w:spacing w:line="276" w:lineRule="auto"/>
              <w:jc w:val="center"/>
              <w:rPr>
                <w:rFonts w:cs="Times New Roman"/>
                <w:b/>
                <w:sz w:val="20"/>
                <w:szCs w:val="18"/>
              </w:rPr>
            </w:pPr>
            <w:r w:rsidRPr="00FC64BF">
              <w:rPr>
                <w:rFonts w:cs="Times New Roman"/>
                <w:b/>
                <w:sz w:val="20"/>
                <w:szCs w:val="18"/>
              </w:rPr>
              <w:t>Drugi izvori (EUR)</w:t>
            </w:r>
          </w:p>
        </w:tc>
      </w:tr>
      <w:tr w:rsidR="00601C43" w:rsidRPr="00601C43" w14:paraId="12526B13" w14:textId="77777777" w:rsidTr="00A42BAD">
        <w:tc>
          <w:tcPr>
            <w:tcW w:w="1732" w:type="pct"/>
            <w:shd w:val="clear" w:color="auto" w:fill="F2F2F2" w:themeFill="background1" w:themeFillShade="F2"/>
            <w:vAlign w:val="center"/>
          </w:tcPr>
          <w:p w14:paraId="728779E6" w14:textId="6ACF35FD" w:rsidR="003A42D5" w:rsidRPr="00FC64BF" w:rsidRDefault="003A42D5" w:rsidP="007D2A00">
            <w:pPr>
              <w:spacing w:line="276" w:lineRule="auto"/>
              <w:rPr>
                <w:rFonts w:cs="Times New Roman"/>
                <w:sz w:val="20"/>
                <w:szCs w:val="18"/>
              </w:rPr>
            </w:pPr>
            <w:r w:rsidRPr="00FC64BF">
              <w:rPr>
                <w:rFonts w:cs="Times New Roman"/>
                <w:sz w:val="20"/>
                <w:szCs w:val="18"/>
              </w:rPr>
              <w:t>Izvori financiranja u 202</w:t>
            </w:r>
            <w:r w:rsidR="00601C43">
              <w:rPr>
                <w:rFonts w:cs="Times New Roman"/>
                <w:sz w:val="20"/>
                <w:szCs w:val="18"/>
              </w:rPr>
              <w:t>4</w:t>
            </w:r>
            <w:r w:rsidRPr="00FC64BF">
              <w:rPr>
                <w:rFonts w:cs="Times New Roman"/>
                <w:sz w:val="20"/>
                <w:szCs w:val="18"/>
              </w:rPr>
              <w:t>. (proračunska pozicija i predviđeni iznos sredstava)</w:t>
            </w:r>
          </w:p>
        </w:tc>
        <w:tc>
          <w:tcPr>
            <w:tcW w:w="1189" w:type="pct"/>
            <w:vAlign w:val="center"/>
          </w:tcPr>
          <w:p w14:paraId="3EB3E100" w14:textId="4E10821E" w:rsidR="003A42D5" w:rsidRPr="00FC64BF" w:rsidRDefault="003A42D5" w:rsidP="00D36147">
            <w:pPr>
              <w:spacing w:line="276" w:lineRule="auto"/>
              <w:jc w:val="center"/>
              <w:rPr>
                <w:rFonts w:cs="Times New Roman"/>
                <w:sz w:val="20"/>
                <w:szCs w:val="18"/>
              </w:rPr>
            </w:pPr>
            <w:r w:rsidRPr="00FC64BF">
              <w:rPr>
                <w:rFonts w:cs="Times New Roman"/>
                <w:sz w:val="20"/>
                <w:szCs w:val="18"/>
              </w:rPr>
              <w:t xml:space="preserve">A681000 </w:t>
            </w:r>
            <w:r w:rsidR="00CD78EF" w:rsidRPr="00FC64BF">
              <w:rPr>
                <w:rFonts w:cs="Times New Roman"/>
                <w:sz w:val="20"/>
                <w:szCs w:val="18"/>
              </w:rPr>
              <w:t xml:space="preserve">- </w:t>
            </w:r>
            <w:r w:rsidRPr="00FC64BF">
              <w:rPr>
                <w:rFonts w:cs="Times New Roman"/>
                <w:sz w:val="20"/>
                <w:szCs w:val="18"/>
              </w:rPr>
              <w:t>Administracija i upravljanje</w:t>
            </w:r>
          </w:p>
        </w:tc>
        <w:tc>
          <w:tcPr>
            <w:tcW w:w="1141" w:type="pct"/>
            <w:vAlign w:val="center"/>
          </w:tcPr>
          <w:p w14:paraId="15CB8FB9" w14:textId="026D3314" w:rsidR="003A42D5" w:rsidRPr="00FC64BF" w:rsidRDefault="003A42D5" w:rsidP="00D36147">
            <w:pPr>
              <w:spacing w:line="276" w:lineRule="auto"/>
              <w:jc w:val="center"/>
              <w:rPr>
                <w:rFonts w:cs="Times New Roman"/>
                <w:sz w:val="20"/>
                <w:szCs w:val="18"/>
              </w:rPr>
            </w:pPr>
            <w:r w:rsidRPr="00FC64BF">
              <w:rPr>
                <w:rFonts w:cs="Times New Roman"/>
                <w:sz w:val="20"/>
                <w:szCs w:val="18"/>
              </w:rPr>
              <w:t>0,00</w:t>
            </w:r>
          </w:p>
        </w:tc>
        <w:tc>
          <w:tcPr>
            <w:tcW w:w="938" w:type="pct"/>
            <w:vAlign w:val="center"/>
          </w:tcPr>
          <w:p w14:paraId="3D557410" w14:textId="324D4714" w:rsidR="003A42D5" w:rsidRPr="00FC64BF" w:rsidRDefault="003A42D5" w:rsidP="00D36147">
            <w:pPr>
              <w:spacing w:line="276" w:lineRule="auto"/>
              <w:jc w:val="center"/>
              <w:rPr>
                <w:rFonts w:cs="Times New Roman"/>
                <w:sz w:val="20"/>
                <w:szCs w:val="18"/>
              </w:rPr>
            </w:pPr>
            <w:r w:rsidRPr="00FC64BF">
              <w:rPr>
                <w:rFonts w:cs="Times New Roman"/>
                <w:sz w:val="20"/>
                <w:szCs w:val="18"/>
              </w:rPr>
              <w:t>0,00</w:t>
            </w:r>
          </w:p>
        </w:tc>
      </w:tr>
      <w:tr w:rsidR="00601C43" w:rsidRPr="00601C43" w14:paraId="76DEBA58" w14:textId="77777777" w:rsidTr="00A42BAD">
        <w:tc>
          <w:tcPr>
            <w:tcW w:w="1732" w:type="pct"/>
            <w:vMerge w:val="restart"/>
            <w:shd w:val="clear" w:color="auto" w:fill="F2F2F2" w:themeFill="background1" w:themeFillShade="F2"/>
            <w:vAlign w:val="center"/>
          </w:tcPr>
          <w:p w14:paraId="7EE26288" w14:textId="77777777" w:rsidR="003A42D5" w:rsidRPr="00FC64BF" w:rsidRDefault="003A42D5" w:rsidP="00D36147">
            <w:pPr>
              <w:spacing w:line="276" w:lineRule="auto"/>
              <w:rPr>
                <w:rFonts w:cs="Times New Roman"/>
                <w:b/>
                <w:bCs/>
                <w:sz w:val="20"/>
                <w:szCs w:val="18"/>
              </w:rPr>
            </w:pPr>
            <w:r w:rsidRPr="00FC64BF">
              <w:rPr>
                <w:rFonts w:cs="Times New Roman"/>
                <w:b/>
                <w:bCs/>
                <w:sz w:val="20"/>
                <w:szCs w:val="18"/>
              </w:rPr>
              <w:t xml:space="preserve">UKUPNO UTROŠENA SREDSTVA PO IZVORU </w:t>
            </w:r>
          </w:p>
        </w:tc>
        <w:tc>
          <w:tcPr>
            <w:tcW w:w="1189" w:type="pct"/>
            <w:vAlign w:val="center"/>
          </w:tcPr>
          <w:p w14:paraId="4DEB092C" w14:textId="77777777" w:rsidR="003A42D5" w:rsidRPr="00FC64BF" w:rsidRDefault="003A42D5" w:rsidP="00D36147">
            <w:pPr>
              <w:spacing w:line="276" w:lineRule="auto"/>
              <w:jc w:val="center"/>
              <w:rPr>
                <w:rFonts w:cs="Times New Roman"/>
                <w:b/>
                <w:bCs/>
                <w:sz w:val="20"/>
                <w:szCs w:val="18"/>
              </w:rPr>
            </w:pPr>
            <w:r w:rsidRPr="00FC64BF">
              <w:rPr>
                <w:rFonts w:cs="Times New Roman"/>
                <w:b/>
                <w:bCs/>
                <w:sz w:val="20"/>
                <w:szCs w:val="18"/>
              </w:rPr>
              <w:t>Državni proračun (EUR)</w:t>
            </w:r>
          </w:p>
        </w:tc>
        <w:tc>
          <w:tcPr>
            <w:tcW w:w="1141" w:type="pct"/>
            <w:vAlign w:val="center"/>
          </w:tcPr>
          <w:p w14:paraId="4CCBA9EF" w14:textId="77777777" w:rsidR="003A42D5" w:rsidRPr="00FC64BF" w:rsidRDefault="003A42D5" w:rsidP="00D36147">
            <w:pPr>
              <w:spacing w:line="276" w:lineRule="auto"/>
              <w:jc w:val="center"/>
              <w:rPr>
                <w:rFonts w:cs="Times New Roman"/>
                <w:b/>
                <w:bCs/>
                <w:sz w:val="20"/>
                <w:szCs w:val="18"/>
              </w:rPr>
            </w:pPr>
            <w:r w:rsidRPr="00FC64BF">
              <w:rPr>
                <w:rFonts w:cs="Times New Roman"/>
                <w:b/>
                <w:bCs/>
                <w:sz w:val="20"/>
                <w:szCs w:val="18"/>
              </w:rPr>
              <w:t>EU financiranje (EUR)</w:t>
            </w:r>
          </w:p>
        </w:tc>
        <w:tc>
          <w:tcPr>
            <w:tcW w:w="938" w:type="pct"/>
            <w:vAlign w:val="center"/>
          </w:tcPr>
          <w:p w14:paraId="0307EF86" w14:textId="77777777" w:rsidR="005675FE" w:rsidRPr="00FC64BF" w:rsidRDefault="003A42D5" w:rsidP="00D36147">
            <w:pPr>
              <w:spacing w:line="276" w:lineRule="auto"/>
              <w:jc w:val="center"/>
              <w:rPr>
                <w:rFonts w:cs="Times New Roman"/>
                <w:b/>
                <w:bCs/>
                <w:sz w:val="20"/>
                <w:szCs w:val="18"/>
              </w:rPr>
            </w:pPr>
            <w:r w:rsidRPr="00FC64BF">
              <w:rPr>
                <w:rFonts w:cs="Times New Roman"/>
                <w:b/>
                <w:bCs/>
                <w:sz w:val="20"/>
                <w:szCs w:val="18"/>
              </w:rPr>
              <w:t>Drugi izvori</w:t>
            </w:r>
          </w:p>
          <w:p w14:paraId="3C432492" w14:textId="59ACA8AD" w:rsidR="003A42D5" w:rsidRPr="00FC64BF" w:rsidRDefault="003A42D5" w:rsidP="00D36147">
            <w:pPr>
              <w:spacing w:line="276" w:lineRule="auto"/>
              <w:jc w:val="center"/>
              <w:rPr>
                <w:rFonts w:cs="Times New Roman"/>
                <w:b/>
                <w:bCs/>
                <w:sz w:val="20"/>
                <w:szCs w:val="18"/>
              </w:rPr>
            </w:pPr>
            <w:r w:rsidRPr="00FC64BF">
              <w:rPr>
                <w:rFonts w:cs="Times New Roman"/>
                <w:b/>
                <w:bCs/>
                <w:sz w:val="20"/>
                <w:szCs w:val="18"/>
              </w:rPr>
              <w:t>(EUR)</w:t>
            </w:r>
          </w:p>
        </w:tc>
      </w:tr>
      <w:tr w:rsidR="00601C43" w:rsidRPr="00601C43" w14:paraId="4A091AF1" w14:textId="77777777" w:rsidTr="00A42BAD">
        <w:tc>
          <w:tcPr>
            <w:tcW w:w="1732" w:type="pct"/>
            <w:vMerge/>
            <w:shd w:val="clear" w:color="auto" w:fill="F2F2F2" w:themeFill="background1" w:themeFillShade="F2"/>
            <w:vAlign w:val="center"/>
          </w:tcPr>
          <w:p w14:paraId="599FC2D8" w14:textId="77777777" w:rsidR="003A42D5" w:rsidRPr="00FC64BF" w:rsidRDefault="003A42D5" w:rsidP="00D36147">
            <w:pPr>
              <w:spacing w:line="276" w:lineRule="auto"/>
              <w:rPr>
                <w:rFonts w:cs="Times New Roman"/>
                <w:b/>
                <w:bCs/>
                <w:sz w:val="20"/>
                <w:szCs w:val="18"/>
              </w:rPr>
            </w:pPr>
          </w:p>
        </w:tc>
        <w:tc>
          <w:tcPr>
            <w:tcW w:w="1189" w:type="pct"/>
            <w:vAlign w:val="center"/>
          </w:tcPr>
          <w:p w14:paraId="5723D4EE" w14:textId="1E53C53C" w:rsidR="00865203" w:rsidRPr="00FC64BF" w:rsidRDefault="00865203" w:rsidP="00D36147">
            <w:pPr>
              <w:spacing w:line="276" w:lineRule="auto"/>
              <w:jc w:val="center"/>
              <w:rPr>
                <w:rFonts w:cs="Times New Roman"/>
                <w:bCs/>
                <w:sz w:val="20"/>
                <w:szCs w:val="18"/>
              </w:rPr>
            </w:pPr>
            <w:r w:rsidRPr="00FC64BF">
              <w:rPr>
                <w:rFonts w:cs="Times New Roman"/>
                <w:bCs/>
                <w:sz w:val="20"/>
                <w:szCs w:val="18"/>
              </w:rPr>
              <w:t xml:space="preserve">A681000 </w:t>
            </w:r>
            <w:r w:rsidR="00CD78EF" w:rsidRPr="00FC64BF">
              <w:rPr>
                <w:rFonts w:cs="Times New Roman"/>
                <w:bCs/>
                <w:sz w:val="20"/>
                <w:szCs w:val="18"/>
              </w:rPr>
              <w:t xml:space="preserve">- </w:t>
            </w:r>
            <w:r w:rsidRPr="00FC64BF">
              <w:rPr>
                <w:rFonts w:cs="Times New Roman"/>
                <w:bCs/>
                <w:sz w:val="20"/>
                <w:szCs w:val="18"/>
              </w:rPr>
              <w:t>Administracija i upravljanje</w:t>
            </w:r>
          </w:p>
          <w:p w14:paraId="6102C27E" w14:textId="14AC957E" w:rsidR="003A42D5" w:rsidRPr="00FC64BF" w:rsidRDefault="003A42D5" w:rsidP="00D36147">
            <w:pPr>
              <w:spacing w:line="276" w:lineRule="auto"/>
              <w:jc w:val="center"/>
              <w:rPr>
                <w:rFonts w:cs="Times New Roman"/>
                <w:b/>
                <w:bCs/>
                <w:sz w:val="20"/>
                <w:szCs w:val="18"/>
              </w:rPr>
            </w:pPr>
            <w:r w:rsidRPr="00FC64BF">
              <w:rPr>
                <w:rFonts w:cs="Times New Roman"/>
                <w:b/>
                <w:bCs/>
                <w:sz w:val="20"/>
                <w:szCs w:val="18"/>
              </w:rPr>
              <w:t>0,00</w:t>
            </w:r>
          </w:p>
        </w:tc>
        <w:tc>
          <w:tcPr>
            <w:tcW w:w="1141" w:type="pct"/>
            <w:vAlign w:val="center"/>
          </w:tcPr>
          <w:p w14:paraId="41EC3670" w14:textId="74E808B3" w:rsidR="003A42D5" w:rsidRPr="00FC64BF" w:rsidRDefault="003A42D5" w:rsidP="00D36147">
            <w:pPr>
              <w:spacing w:line="276" w:lineRule="auto"/>
              <w:jc w:val="center"/>
              <w:rPr>
                <w:rFonts w:cs="Times New Roman"/>
                <w:bCs/>
                <w:sz w:val="20"/>
                <w:szCs w:val="18"/>
              </w:rPr>
            </w:pPr>
            <w:r w:rsidRPr="00FC64BF">
              <w:rPr>
                <w:rFonts w:cs="Times New Roman"/>
                <w:bCs/>
                <w:sz w:val="20"/>
                <w:szCs w:val="18"/>
              </w:rPr>
              <w:t>0,00</w:t>
            </w:r>
          </w:p>
        </w:tc>
        <w:tc>
          <w:tcPr>
            <w:tcW w:w="938" w:type="pct"/>
            <w:vAlign w:val="center"/>
          </w:tcPr>
          <w:p w14:paraId="1DF13849" w14:textId="04A2A0EF" w:rsidR="003A42D5" w:rsidRPr="00FC64BF" w:rsidRDefault="003A42D5" w:rsidP="00D36147">
            <w:pPr>
              <w:spacing w:line="276" w:lineRule="auto"/>
              <w:jc w:val="center"/>
              <w:rPr>
                <w:rFonts w:cs="Times New Roman"/>
                <w:bCs/>
                <w:sz w:val="20"/>
                <w:szCs w:val="18"/>
              </w:rPr>
            </w:pPr>
            <w:r w:rsidRPr="00FC64BF">
              <w:rPr>
                <w:rFonts w:cs="Times New Roman"/>
                <w:bCs/>
                <w:sz w:val="20"/>
                <w:szCs w:val="18"/>
              </w:rPr>
              <w:t>0,00</w:t>
            </w:r>
          </w:p>
        </w:tc>
      </w:tr>
      <w:tr w:rsidR="00601C43" w:rsidRPr="00601C43" w14:paraId="4683C353" w14:textId="77777777" w:rsidTr="00A42BAD">
        <w:trPr>
          <w:trHeight w:val="398"/>
        </w:trPr>
        <w:tc>
          <w:tcPr>
            <w:tcW w:w="1732" w:type="pct"/>
            <w:shd w:val="clear" w:color="auto" w:fill="F2F2F2" w:themeFill="background1" w:themeFillShade="F2"/>
            <w:vAlign w:val="center"/>
          </w:tcPr>
          <w:p w14:paraId="5A5B61E5" w14:textId="4913C3EF" w:rsidR="003A42D5" w:rsidRPr="00FC64BF" w:rsidRDefault="003A42D5" w:rsidP="00D36147">
            <w:pPr>
              <w:spacing w:line="276" w:lineRule="auto"/>
              <w:rPr>
                <w:rFonts w:cs="Times New Roman"/>
                <w:sz w:val="20"/>
                <w:szCs w:val="18"/>
              </w:rPr>
            </w:pPr>
            <w:r w:rsidRPr="00FC64BF">
              <w:rPr>
                <w:rFonts w:cs="Times New Roman"/>
                <w:sz w:val="20"/>
                <w:szCs w:val="18"/>
              </w:rPr>
              <w:t xml:space="preserve">ROK PROVEDBE AKTIVNOSTI </w:t>
            </w:r>
          </w:p>
        </w:tc>
        <w:tc>
          <w:tcPr>
            <w:tcW w:w="3268" w:type="pct"/>
            <w:gridSpan w:val="3"/>
            <w:vAlign w:val="center"/>
          </w:tcPr>
          <w:p w14:paraId="7EC77FEE" w14:textId="77777777" w:rsidR="003A42D5" w:rsidRPr="00FC64BF" w:rsidRDefault="003A42D5" w:rsidP="00D36147">
            <w:pPr>
              <w:spacing w:line="276" w:lineRule="auto"/>
              <w:rPr>
                <w:rFonts w:cs="Times New Roman"/>
                <w:sz w:val="20"/>
                <w:szCs w:val="18"/>
              </w:rPr>
            </w:pPr>
            <w:r w:rsidRPr="00FC64BF">
              <w:rPr>
                <w:rFonts w:cs="Times New Roman"/>
                <w:sz w:val="20"/>
                <w:szCs w:val="18"/>
              </w:rPr>
              <w:t>IV. kvartal 2025.</w:t>
            </w:r>
          </w:p>
        </w:tc>
      </w:tr>
    </w:tbl>
    <w:p w14:paraId="743F2E2E" w14:textId="04BBB50E" w:rsidR="005C1C25" w:rsidRDefault="005C1C25" w:rsidP="004A3B23">
      <w:pPr>
        <w:spacing w:after="0" w:line="276" w:lineRule="auto"/>
        <w:jc w:val="both"/>
        <w:rPr>
          <w:rFonts w:cs="Times New Roman"/>
          <w:bCs/>
          <w:i/>
          <w:szCs w:val="24"/>
        </w:rPr>
      </w:pPr>
    </w:p>
    <w:p w14:paraId="301D828C" w14:textId="77777777" w:rsidR="00601C43" w:rsidRPr="00FC64BF" w:rsidRDefault="00601C43" w:rsidP="004A3B23">
      <w:pPr>
        <w:spacing w:after="0" w:line="276" w:lineRule="auto"/>
        <w:jc w:val="both"/>
        <w:rPr>
          <w:rFonts w:cs="Times New Roman"/>
          <w:bCs/>
          <w:i/>
          <w:szCs w:val="24"/>
        </w:rPr>
      </w:pPr>
    </w:p>
    <w:p w14:paraId="2A3428E0" w14:textId="672792FF" w:rsidR="00DB2CD2" w:rsidRPr="00FC64BF" w:rsidRDefault="00DB2CD2" w:rsidP="004A3B23">
      <w:pPr>
        <w:spacing w:after="0" w:line="276" w:lineRule="auto"/>
        <w:jc w:val="both"/>
        <w:rPr>
          <w:rFonts w:cs="Times New Roman"/>
          <w:i/>
          <w:szCs w:val="24"/>
        </w:rPr>
      </w:pPr>
      <w:r w:rsidRPr="00FC64BF">
        <w:rPr>
          <w:rFonts w:cs="Times New Roman"/>
          <w:bCs/>
          <w:i/>
          <w:szCs w:val="24"/>
        </w:rPr>
        <w:t xml:space="preserve">Aktivnost 1.2.2. Osnaživanje kapaciteta za integrativan rad u području obrazovanja </w:t>
      </w:r>
    </w:p>
    <w:p w14:paraId="2E10E86E" w14:textId="77777777" w:rsidR="00DB2CD2" w:rsidRPr="00FC64BF" w:rsidRDefault="00DB2CD2" w:rsidP="00AB12E9">
      <w:pPr>
        <w:spacing w:after="0" w:line="276" w:lineRule="auto"/>
        <w:jc w:val="both"/>
        <w:rPr>
          <w:rFonts w:cs="Times New Roman"/>
          <w:i/>
          <w:szCs w:val="24"/>
        </w:rPr>
      </w:pPr>
      <w:r w:rsidRPr="00FC64BF">
        <w:rPr>
          <w:rFonts w:cs="Times New Roman"/>
          <w:i/>
          <w:szCs w:val="24"/>
        </w:rPr>
        <w:t>Nositelj provedbe: Ured za ljudska prava i prava nacionalnih manjina</w:t>
      </w:r>
    </w:p>
    <w:p w14:paraId="3BEAD743" w14:textId="77777777" w:rsidR="00FF48F9" w:rsidRPr="00FC64BF" w:rsidRDefault="00FF48F9" w:rsidP="00D36147">
      <w:pPr>
        <w:spacing w:after="0" w:line="276" w:lineRule="auto"/>
        <w:jc w:val="both"/>
        <w:rPr>
          <w:rFonts w:cs="Times New Roman"/>
          <w:i/>
          <w:szCs w:val="24"/>
        </w:rPr>
      </w:pPr>
    </w:p>
    <w:p w14:paraId="185826CC" w14:textId="6C524981" w:rsidR="00EA6A5A" w:rsidRPr="00FC64BF" w:rsidRDefault="005B42C5" w:rsidP="00D36147">
      <w:pPr>
        <w:spacing w:after="0" w:line="276" w:lineRule="auto"/>
        <w:jc w:val="both"/>
        <w:rPr>
          <w:rFonts w:cs="Times New Roman"/>
          <w:szCs w:val="24"/>
        </w:rPr>
      </w:pPr>
      <w:bookmarkStart w:id="23" w:name="_Hlk165376443"/>
      <w:r w:rsidRPr="00FC64BF">
        <w:rPr>
          <w:rFonts w:cs="Times New Roman"/>
          <w:szCs w:val="24"/>
        </w:rPr>
        <w:t xml:space="preserve">Ured je u okviru ovog sektorskog cilja provodio pripremne aktivnosti s relevantnim dionicima, vijećima i predstavnicima nacionalnih manjina, predstavnicima </w:t>
      </w:r>
      <w:r w:rsidR="00FE7B55">
        <w:rPr>
          <w:rFonts w:eastAsia="Droid Sans Fallback"/>
          <w:kern w:val="1"/>
          <w:szCs w:val="24"/>
          <w:lang w:eastAsia="zh-CN" w:bidi="hi-IN"/>
        </w:rPr>
        <w:t>JLP(R)S</w:t>
      </w:r>
      <w:r w:rsidRPr="00FC64BF">
        <w:rPr>
          <w:rFonts w:cs="Times New Roman"/>
          <w:szCs w:val="24"/>
        </w:rPr>
        <w:t>, civilnog društva i akademske zajednice. Tijekom 202</w:t>
      </w:r>
      <w:r w:rsidR="007F3F83" w:rsidRPr="00FC64BF">
        <w:rPr>
          <w:rFonts w:cs="Times New Roman"/>
          <w:szCs w:val="24"/>
        </w:rPr>
        <w:t>4</w:t>
      </w:r>
      <w:r w:rsidRPr="00FC64BF">
        <w:rPr>
          <w:rFonts w:cs="Times New Roman"/>
          <w:szCs w:val="24"/>
        </w:rPr>
        <w:t xml:space="preserve">. </w:t>
      </w:r>
      <w:r w:rsidR="008942A2">
        <w:rPr>
          <w:rFonts w:cs="Times New Roman"/>
          <w:szCs w:val="24"/>
        </w:rPr>
        <w:t xml:space="preserve">godine </w:t>
      </w:r>
      <w:r w:rsidRPr="00FC64BF">
        <w:rPr>
          <w:rFonts w:cs="Times New Roman"/>
          <w:szCs w:val="24"/>
        </w:rPr>
        <w:t xml:space="preserve">nastavljena je suradnja s više </w:t>
      </w:r>
      <w:r w:rsidR="00FE7B55">
        <w:rPr>
          <w:rFonts w:eastAsia="Droid Sans Fallback"/>
          <w:kern w:val="1"/>
          <w:szCs w:val="24"/>
          <w:lang w:eastAsia="zh-CN" w:bidi="hi-IN"/>
        </w:rPr>
        <w:t>JLP(R)S</w:t>
      </w:r>
      <w:r w:rsidRPr="00FC64BF">
        <w:rPr>
          <w:rFonts w:cs="Times New Roman"/>
          <w:szCs w:val="24"/>
        </w:rPr>
        <w:t>, romskim vijećima i predstavnicima, stručnjacima i stručnim udrugama na područjima antidiskriminacije, položaja djece i Romkinja, obrazovanja (osobito predškolskog odgoja i desegregacije), razvoja zajednice i jačanja socijalne kohezije na lokalnoj razini.</w:t>
      </w:r>
      <w:r w:rsidR="001B4CD5" w:rsidRPr="00FC64BF">
        <w:rPr>
          <w:rFonts w:cs="Times New Roman"/>
          <w:szCs w:val="24"/>
        </w:rPr>
        <w:t xml:space="preserve"> </w:t>
      </w:r>
      <w:r w:rsidR="00133E88" w:rsidRPr="00FC64BF">
        <w:rPr>
          <w:rFonts w:cs="Times New Roman"/>
          <w:szCs w:val="24"/>
        </w:rPr>
        <w:t xml:space="preserve">Obavljeni su terenski posjeti </w:t>
      </w:r>
      <w:r w:rsidR="001A5379">
        <w:rPr>
          <w:rFonts w:cs="Times New Roman"/>
          <w:szCs w:val="24"/>
        </w:rPr>
        <w:t xml:space="preserve">Brodsko-posavskoj, </w:t>
      </w:r>
      <w:r w:rsidR="007F3F83" w:rsidRPr="00FC64BF">
        <w:rPr>
          <w:rFonts w:cs="Times New Roman"/>
          <w:szCs w:val="24"/>
        </w:rPr>
        <w:t>Istarskoj</w:t>
      </w:r>
      <w:r w:rsidR="00133E88" w:rsidRPr="00FC64BF">
        <w:rPr>
          <w:rFonts w:cs="Times New Roman"/>
          <w:szCs w:val="24"/>
        </w:rPr>
        <w:t xml:space="preserve">, Međimurskoj, </w:t>
      </w:r>
      <w:r w:rsidR="007F3F83" w:rsidRPr="00FC64BF">
        <w:rPr>
          <w:rFonts w:cs="Times New Roman"/>
          <w:szCs w:val="24"/>
        </w:rPr>
        <w:t xml:space="preserve">Osječko-baranjskoj i </w:t>
      </w:r>
      <w:r w:rsidR="00133E88" w:rsidRPr="00FC64BF">
        <w:rPr>
          <w:rFonts w:cs="Times New Roman"/>
          <w:szCs w:val="24"/>
        </w:rPr>
        <w:t>Sisačko-moslavačkoj županiji</w:t>
      </w:r>
      <w:r w:rsidR="00EA6A5A" w:rsidRPr="00FC64BF">
        <w:rPr>
          <w:rFonts w:cs="Times New Roman"/>
          <w:szCs w:val="24"/>
        </w:rPr>
        <w:t>.</w:t>
      </w:r>
    </w:p>
    <w:p w14:paraId="2FCA9621" w14:textId="77777777" w:rsidR="005A6860" w:rsidRPr="00FC64BF" w:rsidRDefault="005A6860" w:rsidP="00D36147">
      <w:pPr>
        <w:spacing w:after="0" w:line="276" w:lineRule="auto"/>
        <w:jc w:val="both"/>
        <w:rPr>
          <w:rFonts w:cs="Times New Roman"/>
          <w:szCs w:val="24"/>
        </w:rPr>
      </w:pPr>
    </w:p>
    <w:p w14:paraId="1A0787DC" w14:textId="6B5D7A4E" w:rsidR="00717573" w:rsidRPr="00FC64BF" w:rsidRDefault="00CB7D17" w:rsidP="00D36147">
      <w:pPr>
        <w:spacing w:after="0" w:line="276" w:lineRule="auto"/>
        <w:jc w:val="both"/>
        <w:rPr>
          <w:rFonts w:cs="Times New Roman"/>
          <w:szCs w:val="24"/>
        </w:rPr>
      </w:pPr>
      <w:r w:rsidRPr="00FC64BF">
        <w:rPr>
          <w:rFonts w:cs="Times New Roman"/>
          <w:szCs w:val="24"/>
        </w:rPr>
        <w:t>Objava Poziva na dostavu projektnog prijedloga kojim će se financirati ove aktivnosti, planirana je u 202</w:t>
      </w:r>
      <w:r w:rsidR="007F3F83" w:rsidRPr="00FC64BF">
        <w:rPr>
          <w:rFonts w:cs="Times New Roman"/>
          <w:szCs w:val="24"/>
        </w:rPr>
        <w:t>5</w:t>
      </w:r>
      <w:r w:rsidRPr="00FC64BF">
        <w:rPr>
          <w:rFonts w:cs="Times New Roman"/>
          <w:szCs w:val="24"/>
        </w:rPr>
        <w:t xml:space="preserve">. </w:t>
      </w:r>
      <w:r w:rsidR="008942A2">
        <w:rPr>
          <w:rFonts w:cs="Times New Roman"/>
          <w:szCs w:val="24"/>
        </w:rPr>
        <w:t>godini.</w:t>
      </w:r>
    </w:p>
    <w:p w14:paraId="09EE2F9B" w14:textId="77777777" w:rsidR="005A6860" w:rsidRPr="00FC64BF" w:rsidRDefault="005A6860" w:rsidP="00D36147">
      <w:pPr>
        <w:spacing w:after="0" w:line="276" w:lineRule="auto"/>
        <w:jc w:val="both"/>
        <w:rPr>
          <w:rFonts w:cs="Times New Roman"/>
          <w:szCs w:val="24"/>
        </w:rPr>
      </w:pPr>
    </w:p>
    <w:tbl>
      <w:tblPr>
        <w:tblStyle w:val="TableGrid"/>
        <w:tblW w:w="5000" w:type="pct"/>
        <w:tblLook w:val="04A0" w:firstRow="1" w:lastRow="0" w:firstColumn="1" w:lastColumn="0" w:noHBand="0" w:noVBand="1"/>
      </w:tblPr>
      <w:tblGrid>
        <w:gridCol w:w="2829"/>
        <w:gridCol w:w="2409"/>
        <w:gridCol w:w="2128"/>
        <w:gridCol w:w="1696"/>
      </w:tblGrid>
      <w:tr w:rsidR="006772F8" w:rsidRPr="006772F8" w14:paraId="546698FE" w14:textId="77777777" w:rsidTr="00A42BAD">
        <w:tc>
          <w:tcPr>
            <w:tcW w:w="1561" w:type="pct"/>
            <w:shd w:val="clear" w:color="auto" w:fill="F2F2F2" w:themeFill="background1" w:themeFillShade="F2"/>
            <w:vAlign w:val="center"/>
          </w:tcPr>
          <w:bookmarkEnd w:id="23"/>
          <w:p w14:paraId="70A40400" w14:textId="6626F589" w:rsidR="003A42D5" w:rsidRPr="00FC64BF" w:rsidRDefault="00B510B5" w:rsidP="004A3B23">
            <w:pPr>
              <w:spacing w:line="276" w:lineRule="auto"/>
              <w:rPr>
                <w:rFonts w:cs="Times New Roman"/>
                <w:b/>
                <w:sz w:val="20"/>
                <w:szCs w:val="18"/>
              </w:rPr>
            </w:pPr>
            <w:r w:rsidRPr="00FC64BF">
              <w:rPr>
                <w:rFonts w:cs="Times New Roman"/>
                <w:b/>
                <w:sz w:val="20"/>
                <w:szCs w:val="18"/>
              </w:rPr>
              <w:lastRenderedPageBreak/>
              <w:t>Pokazatelji provedbe i pokazatelji uspješnosti provedbe</w:t>
            </w:r>
          </w:p>
        </w:tc>
        <w:tc>
          <w:tcPr>
            <w:tcW w:w="1329" w:type="pct"/>
            <w:shd w:val="clear" w:color="auto" w:fill="F2F2F2" w:themeFill="background1" w:themeFillShade="F2"/>
            <w:vAlign w:val="center"/>
          </w:tcPr>
          <w:p w14:paraId="5F3A5614" w14:textId="2774D82A" w:rsidR="003A42D5" w:rsidRPr="00FC64BF" w:rsidRDefault="003A42D5" w:rsidP="00AB12E9">
            <w:pPr>
              <w:spacing w:line="276" w:lineRule="auto"/>
              <w:jc w:val="center"/>
              <w:rPr>
                <w:rFonts w:cs="Times New Roman"/>
                <w:b/>
                <w:sz w:val="20"/>
                <w:szCs w:val="18"/>
              </w:rPr>
            </w:pPr>
            <w:r w:rsidRPr="00FC64BF">
              <w:rPr>
                <w:rFonts w:cs="Times New Roman"/>
                <w:b/>
                <w:sz w:val="20"/>
                <w:szCs w:val="18"/>
              </w:rPr>
              <w:t>Izrađeno istraživačko izvješće</w:t>
            </w:r>
          </w:p>
        </w:tc>
        <w:tc>
          <w:tcPr>
            <w:tcW w:w="1174" w:type="pct"/>
            <w:shd w:val="clear" w:color="auto" w:fill="F2F2F2" w:themeFill="background1" w:themeFillShade="F2"/>
            <w:vAlign w:val="center"/>
          </w:tcPr>
          <w:p w14:paraId="5C0534A0" w14:textId="2CCFEFBE" w:rsidR="003A42D5" w:rsidRPr="00FC64BF" w:rsidRDefault="003A42D5" w:rsidP="00D36147">
            <w:pPr>
              <w:spacing w:line="276" w:lineRule="auto"/>
              <w:jc w:val="center"/>
              <w:rPr>
                <w:rFonts w:cs="Times New Roman"/>
                <w:b/>
                <w:sz w:val="20"/>
                <w:szCs w:val="18"/>
              </w:rPr>
            </w:pPr>
            <w:r w:rsidRPr="00FC64BF">
              <w:rPr>
                <w:rFonts w:cs="Times New Roman"/>
                <w:b/>
                <w:sz w:val="20"/>
                <w:szCs w:val="18"/>
              </w:rPr>
              <w:t>Broj objavljenih publikacija</w:t>
            </w:r>
          </w:p>
        </w:tc>
        <w:tc>
          <w:tcPr>
            <w:tcW w:w="935" w:type="pct"/>
            <w:shd w:val="clear" w:color="auto" w:fill="F2F2F2" w:themeFill="background1" w:themeFillShade="F2"/>
            <w:vAlign w:val="center"/>
          </w:tcPr>
          <w:p w14:paraId="4EC0C587" w14:textId="1AC2929F" w:rsidR="003A42D5" w:rsidRPr="00FC64BF" w:rsidRDefault="003A42D5" w:rsidP="00D36147">
            <w:pPr>
              <w:spacing w:line="276" w:lineRule="auto"/>
              <w:jc w:val="center"/>
              <w:rPr>
                <w:rFonts w:cs="Times New Roman"/>
                <w:b/>
                <w:sz w:val="20"/>
                <w:szCs w:val="18"/>
              </w:rPr>
            </w:pPr>
            <w:r w:rsidRPr="00FC64BF">
              <w:rPr>
                <w:rFonts w:cs="Times New Roman"/>
                <w:b/>
                <w:sz w:val="20"/>
                <w:szCs w:val="18"/>
              </w:rPr>
              <w:t>Broj održanih edukativnih aktivnosti</w:t>
            </w:r>
          </w:p>
        </w:tc>
      </w:tr>
      <w:tr w:rsidR="006772F8" w:rsidRPr="006772F8" w14:paraId="4D65D516" w14:textId="77777777" w:rsidTr="00A42BAD">
        <w:tc>
          <w:tcPr>
            <w:tcW w:w="1561" w:type="pct"/>
            <w:shd w:val="clear" w:color="auto" w:fill="F2F2F2" w:themeFill="background1" w:themeFillShade="F2"/>
            <w:vAlign w:val="center"/>
          </w:tcPr>
          <w:p w14:paraId="7F083704" w14:textId="1DD5C87E" w:rsidR="003A42D5" w:rsidRPr="00FC64BF" w:rsidRDefault="003A42D5" w:rsidP="0072307D">
            <w:pPr>
              <w:spacing w:line="276" w:lineRule="auto"/>
              <w:rPr>
                <w:rFonts w:cs="Times New Roman"/>
                <w:sz w:val="20"/>
                <w:szCs w:val="18"/>
              </w:rPr>
            </w:pPr>
            <w:r w:rsidRPr="00FC64BF">
              <w:rPr>
                <w:rFonts w:cs="Times New Roman"/>
                <w:sz w:val="20"/>
                <w:szCs w:val="18"/>
              </w:rPr>
              <w:t>Planirani ishodi za pokazatelje provedbe u 202</w:t>
            </w:r>
            <w:r w:rsidR="00C423ED" w:rsidRPr="00FC64BF">
              <w:rPr>
                <w:rFonts w:cs="Times New Roman"/>
                <w:sz w:val="20"/>
                <w:szCs w:val="18"/>
              </w:rPr>
              <w:t>4</w:t>
            </w:r>
            <w:r w:rsidRPr="00FC64BF">
              <w:rPr>
                <w:rFonts w:cs="Times New Roman"/>
                <w:sz w:val="20"/>
                <w:szCs w:val="18"/>
              </w:rPr>
              <w:t>.</w:t>
            </w:r>
          </w:p>
        </w:tc>
        <w:tc>
          <w:tcPr>
            <w:tcW w:w="1329" w:type="pct"/>
            <w:vAlign w:val="center"/>
          </w:tcPr>
          <w:p w14:paraId="7933801F" w14:textId="5DFF8E8A" w:rsidR="003A42D5" w:rsidRPr="00FC64BF" w:rsidRDefault="003A42D5" w:rsidP="00AB12E9">
            <w:pPr>
              <w:spacing w:line="276" w:lineRule="auto"/>
              <w:jc w:val="center"/>
              <w:rPr>
                <w:rFonts w:cs="Times New Roman"/>
                <w:sz w:val="20"/>
                <w:szCs w:val="18"/>
              </w:rPr>
            </w:pPr>
            <w:r w:rsidRPr="00FC64BF">
              <w:rPr>
                <w:rFonts w:cs="Times New Roman"/>
                <w:sz w:val="20"/>
                <w:szCs w:val="18"/>
              </w:rPr>
              <w:t>0</w:t>
            </w:r>
          </w:p>
        </w:tc>
        <w:tc>
          <w:tcPr>
            <w:tcW w:w="1174" w:type="pct"/>
            <w:vAlign w:val="center"/>
          </w:tcPr>
          <w:p w14:paraId="47C72637" w14:textId="21A57040" w:rsidR="003A42D5" w:rsidRPr="00FC64BF" w:rsidRDefault="003A42D5" w:rsidP="00D36147">
            <w:pPr>
              <w:spacing w:line="276" w:lineRule="auto"/>
              <w:jc w:val="center"/>
              <w:rPr>
                <w:rFonts w:cs="Times New Roman"/>
                <w:sz w:val="20"/>
                <w:szCs w:val="18"/>
              </w:rPr>
            </w:pPr>
            <w:r w:rsidRPr="00FC64BF">
              <w:rPr>
                <w:rFonts w:cs="Times New Roman"/>
                <w:sz w:val="20"/>
                <w:szCs w:val="18"/>
              </w:rPr>
              <w:t>0</w:t>
            </w:r>
          </w:p>
        </w:tc>
        <w:tc>
          <w:tcPr>
            <w:tcW w:w="935" w:type="pct"/>
            <w:vAlign w:val="center"/>
          </w:tcPr>
          <w:p w14:paraId="3E11D6AF" w14:textId="43EEE1D0" w:rsidR="003A42D5" w:rsidRPr="00FC64BF" w:rsidRDefault="003A42D5" w:rsidP="00D36147">
            <w:pPr>
              <w:spacing w:line="276" w:lineRule="auto"/>
              <w:jc w:val="center"/>
              <w:rPr>
                <w:rFonts w:cs="Times New Roman"/>
                <w:sz w:val="20"/>
                <w:szCs w:val="18"/>
              </w:rPr>
            </w:pPr>
            <w:r w:rsidRPr="00FC64BF">
              <w:rPr>
                <w:rFonts w:cs="Times New Roman"/>
                <w:sz w:val="20"/>
                <w:szCs w:val="18"/>
              </w:rPr>
              <w:t>0</w:t>
            </w:r>
          </w:p>
        </w:tc>
      </w:tr>
      <w:tr w:rsidR="00CE622A" w:rsidRPr="006772F8" w14:paraId="66077A8D" w14:textId="77777777" w:rsidTr="00A42BAD">
        <w:tc>
          <w:tcPr>
            <w:tcW w:w="1561" w:type="pct"/>
            <w:shd w:val="clear" w:color="auto" w:fill="F2F2F2" w:themeFill="background1" w:themeFillShade="F2"/>
            <w:vAlign w:val="center"/>
          </w:tcPr>
          <w:p w14:paraId="56AC7AD7" w14:textId="2D794B90" w:rsidR="003A42D5" w:rsidRPr="00FC64BF" w:rsidRDefault="003A42D5" w:rsidP="0072307D">
            <w:pPr>
              <w:spacing w:line="276" w:lineRule="auto"/>
              <w:rPr>
                <w:rFonts w:cs="Times New Roman"/>
                <w:sz w:val="20"/>
                <w:szCs w:val="18"/>
              </w:rPr>
            </w:pPr>
            <w:r w:rsidRPr="00FC64BF">
              <w:rPr>
                <w:rFonts w:cs="Times New Roman"/>
                <w:sz w:val="20"/>
                <w:szCs w:val="18"/>
              </w:rPr>
              <w:t>Ostvareni ishodi za pokazatelje provedbe u 202</w:t>
            </w:r>
            <w:r w:rsidR="00C423ED" w:rsidRPr="00FC64BF">
              <w:rPr>
                <w:rFonts w:cs="Times New Roman"/>
                <w:sz w:val="20"/>
                <w:szCs w:val="18"/>
              </w:rPr>
              <w:t>4</w:t>
            </w:r>
            <w:r w:rsidRPr="00FC64BF">
              <w:rPr>
                <w:rFonts w:cs="Times New Roman"/>
                <w:sz w:val="20"/>
                <w:szCs w:val="18"/>
              </w:rPr>
              <w:t xml:space="preserve">. </w:t>
            </w:r>
          </w:p>
        </w:tc>
        <w:tc>
          <w:tcPr>
            <w:tcW w:w="1329" w:type="pct"/>
            <w:vAlign w:val="center"/>
          </w:tcPr>
          <w:p w14:paraId="31F17FBE" w14:textId="379BA72E" w:rsidR="003A42D5" w:rsidRPr="00FC64BF" w:rsidRDefault="00456996" w:rsidP="00AB12E9">
            <w:pPr>
              <w:spacing w:line="276" w:lineRule="auto"/>
              <w:jc w:val="center"/>
              <w:rPr>
                <w:rFonts w:cs="Times New Roman"/>
                <w:sz w:val="20"/>
                <w:szCs w:val="18"/>
              </w:rPr>
            </w:pPr>
            <w:r w:rsidRPr="00FC64BF">
              <w:rPr>
                <w:rFonts w:cs="Times New Roman"/>
                <w:sz w:val="20"/>
                <w:szCs w:val="18"/>
              </w:rPr>
              <w:t>0</w:t>
            </w:r>
          </w:p>
        </w:tc>
        <w:tc>
          <w:tcPr>
            <w:tcW w:w="1174" w:type="pct"/>
            <w:vAlign w:val="center"/>
          </w:tcPr>
          <w:p w14:paraId="18BE7C9C" w14:textId="77777777" w:rsidR="003A42D5" w:rsidRPr="00FC64BF" w:rsidRDefault="003A42D5" w:rsidP="00D36147">
            <w:pPr>
              <w:spacing w:line="276" w:lineRule="auto"/>
              <w:jc w:val="center"/>
              <w:rPr>
                <w:rFonts w:cs="Times New Roman"/>
                <w:sz w:val="20"/>
                <w:szCs w:val="18"/>
              </w:rPr>
            </w:pPr>
            <w:r w:rsidRPr="00FC64BF">
              <w:rPr>
                <w:rFonts w:cs="Times New Roman"/>
                <w:sz w:val="20"/>
                <w:szCs w:val="18"/>
              </w:rPr>
              <w:t>0</w:t>
            </w:r>
          </w:p>
        </w:tc>
        <w:tc>
          <w:tcPr>
            <w:tcW w:w="935" w:type="pct"/>
            <w:vAlign w:val="center"/>
          </w:tcPr>
          <w:p w14:paraId="5EBF2551" w14:textId="77777777" w:rsidR="003A42D5" w:rsidRPr="00FC64BF" w:rsidRDefault="003A42D5" w:rsidP="00D36147">
            <w:pPr>
              <w:spacing w:line="276" w:lineRule="auto"/>
              <w:jc w:val="center"/>
              <w:rPr>
                <w:rFonts w:cs="Times New Roman"/>
                <w:sz w:val="20"/>
                <w:szCs w:val="18"/>
              </w:rPr>
            </w:pPr>
            <w:r w:rsidRPr="00FC64BF">
              <w:rPr>
                <w:rFonts w:cs="Times New Roman"/>
                <w:sz w:val="20"/>
                <w:szCs w:val="18"/>
              </w:rPr>
              <w:t>0</w:t>
            </w:r>
          </w:p>
        </w:tc>
      </w:tr>
      <w:tr w:rsidR="006772F8" w:rsidRPr="006772F8" w14:paraId="5EF1D69D" w14:textId="77777777" w:rsidTr="00A42BAD">
        <w:tc>
          <w:tcPr>
            <w:tcW w:w="1561" w:type="pct"/>
            <w:shd w:val="clear" w:color="auto" w:fill="F2F2F2" w:themeFill="background1" w:themeFillShade="F2"/>
            <w:vAlign w:val="center"/>
          </w:tcPr>
          <w:p w14:paraId="47F5632A" w14:textId="77777777" w:rsidR="003A42D5" w:rsidRPr="00FC64BF" w:rsidRDefault="003A42D5" w:rsidP="004A3B23">
            <w:pPr>
              <w:spacing w:line="276" w:lineRule="auto"/>
              <w:rPr>
                <w:rFonts w:cs="Times New Roman"/>
                <w:b/>
                <w:sz w:val="20"/>
                <w:szCs w:val="18"/>
              </w:rPr>
            </w:pPr>
            <w:r w:rsidRPr="00FC64BF">
              <w:rPr>
                <w:rFonts w:cs="Times New Roman"/>
                <w:b/>
                <w:sz w:val="20"/>
                <w:szCs w:val="18"/>
              </w:rPr>
              <w:t>IZVORI FINANCIRANJA</w:t>
            </w:r>
          </w:p>
        </w:tc>
        <w:tc>
          <w:tcPr>
            <w:tcW w:w="1329" w:type="pct"/>
            <w:vAlign w:val="center"/>
          </w:tcPr>
          <w:p w14:paraId="2BEA2A56" w14:textId="05FB4D4E" w:rsidR="003A42D5" w:rsidRPr="00FC64BF" w:rsidRDefault="003A42D5" w:rsidP="00AB12E9">
            <w:pPr>
              <w:spacing w:line="276" w:lineRule="auto"/>
              <w:jc w:val="center"/>
              <w:rPr>
                <w:rFonts w:cs="Times New Roman"/>
                <w:b/>
                <w:sz w:val="20"/>
                <w:szCs w:val="18"/>
              </w:rPr>
            </w:pPr>
            <w:r w:rsidRPr="00FC64BF">
              <w:rPr>
                <w:rFonts w:cs="Times New Roman"/>
                <w:b/>
                <w:sz w:val="20"/>
                <w:szCs w:val="18"/>
              </w:rPr>
              <w:t>Državni proračun (EUR)</w:t>
            </w:r>
          </w:p>
        </w:tc>
        <w:tc>
          <w:tcPr>
            <w:tcW w:w="1174" w:type="pct"/>
            <w:vAlign w:val="center"/>
          </w:tcPr>
          <w:p w14:paraId="5166E42E" w14:textId="77777777" w:rsidR="003A42D5" w:rsidRPr="00FC64BF" w:rsidRDefault="003A42D5" w:rsidP="00D36147">
            <w:pPr>
              <w:spacing w:line="276" w:lineRule="auto"/>
              <w:jc w:val="center"/>
              <w:rPr>
                <w:rFonts w:cs="Times New Roman"/>
                <w:b/>
                <w:sz w:val="20"/>
                <w:szCs w:val="18"/>
              </w:rPr>
            </w:pPr>
            <w:r w:rsidRPr="00FC64BF">
              <w:rPr>
                <w:rFonts w:cs="Times New Roman"/>
                <w:b/>
                <w:sz w:val="20"/>
                <w:szCs w:val="18"/>
              </w:rPr>
              <w:t>EU financiranje (EUR)</w:t>
            </w:r>
          </w:p>
        </w:tc>
        <w:tc>
          <w:tcPr>
            <w:tcW w:w="935" w:type="pct"/>
            <w:vAlign w:val="center"/>
          </w:tcPr>
          <w:p w14:paraId="734CA8BA" w14:textId="47625573" w:rsidR="003A42D5" w:rsidRPr="00FC64BF" w:rsidRDefault="003A42D5" w:rsidP="00D36147">
            <w:pPr>
              <w:spacing w:line="276" w:lineRule="auto"/>
              <w:jc w:val="center"/>
              <w:rPr>
                <w:rFonts w:cs="Times New Roman"/>
                <w:b/>
                <w:sz w:val="20"/>
                <w:szCs w:val="18"/>
              </w:rPr>
            </w:pPr>
            <w:r w:rsidRPr="00FC64BF">
              <w:rPr>
                <w:rFonts w:cs="Times New Roman"/>
                <w:b/>
                <w:sz w:val="20"/>
                <w:szCs w:val="18"/>
              </w:rPr>
              <w:t>Drugi izvori</w:t>
            </w:r>
            <w:r w:rsidR="00E45D73" w:rsidRPr="00FC64BF">
              <w:rPr>
                <w:rFonts w:cs="Times New Roman"/>
                <w:b/>
                <w:sz w:val="20"/>
                <w:szCs w:val="18"/>
              </w:rPr>
              <w:t xml:space="preserve"> </w:t>
            </w:r>
            <w:r w:rsidRPr="00FC64BF">
              <w:rPr>
                <w:rFonts w:cs="Times New Roman"/>
                <w:b/>
                <w:sz w:val="20"/>
                <w:szCs w:val="18"/>
              </w:rPr>
              <w:t>(EUR)</w:t>
            </w:r>
          </w:p>
        </w:tc>
      </w:tr>
      <w:tr w:rsidR="00CE622A" w:rsidRPr="006772F8" w14:paraId="5E6D9841" w14:textId="77777777" w:rsidTr="00A42BAD">
        <w:tc>
          <w:tcPr>
            <w:tcW w:w="1561" w:type="pct"/>
            <w:shd w:val="clear" w:color="auto" w:fill="F2F2F2" w:themeFill="background1" w:themeFillShade="F2"/>
            <w:vAlign w:val="center"/>
          </w:tcPr>
          <w:p w14:paraId="7EC3265D" w14:textId="21549939" w:rsidR="003A42D5" w:rsidRPr="00FC64BF" w:rsidRDefault="003A42D5" w:rsidP="0072307D">
            <w:pPr>
              <w:spacing w:line="276" w:lineRule="auto"/>
              <w:rPr>
                <w:rFonts w:cs="Times New Roman"/>
                <w:sz w:val="20"/>
                <w:szCs w:val="18"/>
                <w:highlight w:val="yellow"/>
              </w:rPr>
            </w:pPr>
            <w:r w:rsidRPr="00FC64BF">
              <w:rPr>
                <w:rFonts w:cs="Times New Roman"/>
                <w:sz w:val="20"/>
                <w:szCs w:val="18"/>
              </w:rPr>
              <w:t>Izvori financiranja u 202</w:t>
            </w:r>
            <w:r w:rsidR="00C423ED" w:rsidRPr="00FC64BF">
              <w:rPr>
                <w:rFonts w:cs="Times New Roman"/>
                <w:sz w:val="20"/>
                <w:szCs w:val="18"/>
              </w:rPr>
              <w:t>4</w:t>
            </w:r>
            <w:r w:rsidRPr="00FC64BF">
              <w:rPr>
                <w:rFonts w:cs="Times New Roman"/>
                <w:sz w:val="20"/>
                <w:szCs w:val="18"/>
              </w:rPr>
              <w:t>. (proračunska pozicija i predviđeni iznos sredstava)</w:t>
            </w:r>
          </w:p>
        </w:tc>
        <w:tc>
          <w:tcPr>
            <w:tcW w:w="1329" w:type="pct"/>
            <w:vAlign w:val="center"/>
          </w:tcPr>
          <w:p w14:paraId="4AD4DAAF" w14:textId="1E39619A" w:rsidR="00C423ED" w:rsidRPr="00FC64BF" w:rsidRDefault="00C423ED" w:rsidP="00C423ED">
            <w:pPr>
              <w:spacing w:line="276" w:lineRule="auto"/>
              <w:jc w:val="center"/>
              <w:rPr>
                <w:rFonts w:cs="Times New Roman"/>
                <w:bCs/>
                <w:sz w:val="20"/>
                <w:szCs w:val="18"/>
              </w:rPr>
            </w:pPr>
            <w:r w:rsidRPr="00FC64BF">
              <w:rPr>
                <w:rFonts w:cs="Times New Roman"/>
                <w:bCs/>
                <w:sz w:val="20"/>
                <w:szCs w:val="18"/>
              </w:rPr>
              <w:t>A681000-</w:t>
            </w:r>
            <w:r w:rsidR="002F7831">
              <w:rPr>
                <w:rFonts w:cs="Times New Roman"/>
                <w:bCs/>
                <w:sz w:val="20"/>
                <w:szCs w:val="18"/>
              </w:rPr>
              <w:t xml:space="preserve"> </w:t>
            </w:r>
            <w:r w:rsidRPr="00FC64BF">
              <w:rPr>
                <w:rFonts w:cs="Times New Roman"/>
                <w:bCs/>
                <w:sz w:val="20"/>
                <w:szCs w:val="18"/>
              </w:rPr>
              <w:t>Administracija i upravljanje</w:t>
            </w:r>
          </w:p>
          <w:p w14:paraId="3957E30D" w14:textId="2F892FFF" w:rsidR="00C423ED" w:rsidRPr="00FC64BF" w:rsidRDefault="00C423ED" w:rsidP="00C423ED">
            <w:pPr>
              <w:spacing w:line="276" w:lineRule="auto"/>
              <w:jc w:val="center"/>
              <w:rPr>
                <w:rFonts w:cs="Times New Roman"/>
                <w:bCs/>
                <w:sz w:val="20"/>
                <w:szCs w:val="18"/>
              </w:rPr>
            </w:pPr>
            <w:r w:rsidRPr="00FC64BF">
              <w:rPr>
                <w:rFonts w:cs="Times New Roman"/>
                <w:bCs/>
                <w:sz w:val="20"/>
                <w:szCs w:val="18"/>
              </w:rPr>
              <w:t>0,00</w:t>
            </w:r>
          </w:p>
          <w:p w14:paraId="1FA3BC1E" w14:textId="7CBEF8F0" w:rsidR="003A42D5" w:rsidRPr="00FC64BF" w:rsidRDefault="003A42D5" w:rsidP="00D36147">
            <w:pPr>
              <w:spacing w:line="276" w:lineRule="auto"/>
              <w:jc w:val="center"/>
              <w:rPr>
                <w:rFonts w:cs="Times New Roman"/>
                <w:sz w:val="20"/>
                <w:szCs w:val="18"/>
                <w:highlight w:val="yellow"/>
              </w:rPr>
            </w:pPr>
          </w:p>
        </w:tc>
        <w:tc>
          <w:tcPr>
            <w:tcW w:w="1174" w:type="pct"/>
            <w:vAlign w:val="center"/>
          </w:tcPr>
          <w:p w14:paraId="07885441" w14:textId="1A6225C4" w:rsidR="00C423ED" w:rsidRPr="00FC64BF" w:rsidRDefault="00C423ED" w:rsidP="00C423ED">
            <w:pPr>
              <w:spacing w:line="276" w:lineRule="auto"/>
              <w:jc w:val="center"/>
              <w:rPr>
                <w:rFonts w:cs="Times New Roman"/>
                <w:bCs/>
                <w:sz w:val="20"/>
                <w:szCs w:val="18"/>
              </w:rPr>
            </w:pPr>
            <w:r w:rsidRPr="00FC64BF">
              <w:rPr>
                <w:rFonts w:cs="Times New Roman"/>
                <w:bCs/>
                <w:sz w:val="20"/>
                <w:szCs w:val="18"/>
              </w:rPr>
              <w:t xml:space="preserve"> A681000-</w:t>
            </w:r>
            <w:r w:rsidR="002F7831">
              <w:rPr>
                <w:rFonts w:cs="Times New Roman"/>
                <w:bCs/>
                <w:sz w:val="20"/>
                <w:szCs w:val="18"/>
              </w:rPr>
              <w:t xml:space="preserve"> </w:t>
            </w:r>
            <w:r w:rsidRPr="00FC64BF">
              <w:rPr>
                <w:rFonts w:cs="Times New Roman"/>
                <w:bCs/>
                <w:sz w:val="20"/>
                <w:szCs w:val="18"/>
              </w:rPr>
              <w:t>Administracija i upravljanje</w:t>
            </w:r>
          </w:p>
          <w:p w14:paraId="097C9C47" w14:textId="0FCF5AA8" w:rsidR="00C423ED" w:rsidRPr="00FC64BF" w:rsidRDefault="00C423ED" w:rsidP="00C423ED">
            <w:pPr>
              <w:spacing w:line="276" w:lineRule="auto"/>
              <w:jc w:val="center"/>
              <w:rPr>
                <w:rFonts w:cs="Times New Roman"/>
                <w:bCs/>
                <w:sz w:val="20"/>
                <w:szCs w:val="18"/>
              </w:rPr>
            </w:pPr>
            <w:r w:rsidRPr="00FC64BF">
              <w:rPr>
                <w:rFonts w:cs="Times New Roman"/>
                <w:bCs/>
                <w:sz w:val="20"/>
                <w:szCs w:val="18"/>
              </w:rPr>
              <w:t>0,00</w:t>
            </w:r>
          </w:p>
          <w:p w14:paraId="677487F7" w14:textId="62D33F3D" w:rsidR="003A42D5" w:rsidRPr="00FC64BF" w:rsidRDefault="003A42D5" w:rsidP="00D36147">
            <w:pPr>
              <w:spacing w:line="276" w:lineRule="auto"/>
              <w:jc w:val="center"/>
              <w:rPr>
                <w:rFonts w:cs="Times New Roman"/>
                <w:sz w:val="20"/>
                <w:szCs w:val="18"/>
                <w:highlight w:val="yellow"/>
              </w:rPr>
            </w:pPr>
          </w:p>
        </w:tc>
        <w:tc>
          <w:tcPr>
            <w:tcW w:w="935" w:type="pct"/>
            <w:vAlign w:val="center"/>
          </w:tcPr>
          <w:p w14:paraId="7C90E9FD" w14:textId="095046F9" w:rsidR="003A42D5" w:rsidRPr="00FC64BF" w:rsidRDefault="003A42D5" w:rsidP="00D36147">
            <w:pPr>
              <w:spacing w:line="276" w:lineRule="auto"/>
              <w:jc w:val="center"/>
              <w:rPr>
                <w:rFonts w:cs="Times New Roman"/>
                <w:sz w:val="20"/>
                <w:szCs w:val="18"/>
              </w:rPr>
            </w:pPr>
            <w:r w:rsidRPr="00FC64BF">
              <w:rPr>
                <w:rFonts w:cs="Times New Roman"/>
                <w:sz w:val="20"/>
                <w:szCs w:val="18"/>
              </w:rPr>
              <w:t>0,00</w:t>
            </w:r>
          </w:p>
        </w:tc>
      </w:tr>
      <w:tr w:rsidR="00CE622A" w:rsidRPr="006772F8" w14:paraId="67F578CE" w14:textId="77777777" w:rsidTr="00A42BAD">
        <w:tc>
          <w:tcPr>
            <w:tcW w:w="1561" w:type="pct"/>
            <w:vMerge w:val="restart"/>
            <w:shd w:val="clear" w:color="auto" w:fill="F2F2F2" w:themeFill="background1" w:themeFillShade="F2"/>
            <w:vAlign w:val="center"/>
          </w:tcPr>
          <w:p w14:paraId="2D76CD81" w14:textId="77777777" w:rsidR="003A42D5" w:rsidRPr="00FC64BF" w:rsidRDefault="003A42D5" w:rsidP="004A3B23">
            <w:pPr>
              <w:spacing w:line="276" w:lineRule="auto"/>
              <w:rPr>
                <w:rFonts w:cs="Times New Roman"/>
                <w:b/>
                <w:bCs/>
                <w:sz w:val="20"/>
                <w:szCs w:val="18"/>
              </w:rPr>
            </w:pPr>
            <w:r w:rsidRPr="00FC64BF">
              <w:rPr>
                <w:rFonts w:cs="Times New Roman"/>
                <w:b/>
                <w:bCs/>
                <w:sz w:val="20"/>
                <w:szCs w:val="18"/>
              </w:rPr>
              <w:t xml:space="preserve">UKUPNO UTROŠENA SREDSTVA PO IZVORU </w:t>
            </w:r>
          </w:p>
        </w:tc>
        <w:tc>
          <w:tcPr>
            <w:tcW w:w="1329" w:type="pct"/>
            <w:vAlign w:val="center"/>
          </w:tcPr>
          <w:p w14:paraId="41B6AA2D" w14:textId="77777777" w:rsidR="003A42D5" w:rsidRPr="00FC64BF" w:rsidRDefault="003A42D5" w:rsidP="00AB12E9">
            <w:pPr>
              <w:spacing w:line="276" w:lineRule="auto"/>
              <w:jc w:val="center"/>
              <w:rPr>
                <w:rFonts w:cs="Times New Roman"/>
                <w:b/>
                <w:bCs/>
                <w:sz w:val="20"/>
                <w:szCs w:val="18"/>
              </w:rPr>
            </w:pPr>
            <w:r w:rsidRPr="00FC64BF">
              <w:rPr>
                <w:rFonts w:cs="Times New Roman"/>
                <w:b/>
                <w:bCs/>
                <w:sz w:val="20"/>
                <w:szCs w:val="18"/>
              </w:rPr>
              <w:t>Državni proračun (EUR)</w:t>
            </w:r>
          </w:p>
        </w:tc>
        <w:tc>
          <w:tcPr>
            <w:tcW w:w="1174" w:type="pct"/>
            <w:vAlign w:val="center"/>
          </w:tcPr>
          <w:p w14:paraId="17AB51CC" w14:textId="77777777" w:rsidR="003A42D5" w:rsidRPr="00FC64BF" w:rsidRDefault="003A42D5" w:rsidP="00D36147">
            <w:pPr>
              <w:spacing w:line="276" w:lineRule="auto"/>
              <w:jc w:val="center"/>
              <w:rPr>
                <w:rFonts w:cs="Times New Roman"/>
                <w:b/>
                <w:bCs/>
                <w:sz w:val="20"/>
                <w:szCs w:val="18"/>
              </w:rPr>
            </w:pPr>
            <w:r w:rsidRPr="00FC64BF">
              <w:rPr>
                <w:rFonts w:cs="Times New Roman"/>
                <w:b/>
                <w:bCs/>
                <w:sz w:val="20"/>
                <w:szCs w:val="18"/>
              </w:rPr>
              <w:t>EU financiranje (EUR)</w:t>
            </w:r>
          </w:p>
        </w:tc>
        <w:tc>
          <w:tcPr>
            <w:tcW w:w="935" w:type="pct"/>
            <w:vAlign w:val="center"/>
          </w:tcPr>
          <w:p w14:paraId="226DC399" w14:textId="3372515B" w:rsidR="003A42D5" w:rsidRPr="00FC64BF" w:rsidRDefault="003A42D5" w:rsidP="00D36147">
            <w:pPr>
              <w:spacing w:line="276" w:lineRule="auto"/>
              <w:jc w:val="center"/>
              <w:rPr>
                <w:rFonts w:cs="Times New Roman"/>
                <w:b/>
                <w:bCs/>
                <w:sz w:val="20"/>
                <w:szCs w:val="18"/>
              </w:rPr>
            </w:pPr>
            <w:r w:rsidRPr="00FC64BF">
              <w:rPr>
                <w:rFonts w:cs="Times New Roman"/>
                <w:b/>
                <w:bCs/>
                <w:sz w:val="20"/>
                <w:szCs w:val="18"/>
              </w:rPr>
              <w:t>Drugi izvori</w:t>
            </w:r>
            <w:r w:rsidR="00E45D73" w:rsidRPr="00FC64BF">
              <w:rPr>
                <w:rFonts w:cs="Times New Roman"/>
                <w:b/>
                <w:bCs/>
                <w:sz w:val="20"/>
                <w:szCs w:val="18"/>
              </w:rPr>
              <w:t xml:space="preserve"> </w:t>
            </w:r>
            <w:r w:rsidRPr="00FC64BF">
              <w:rPr>
                <w:rFonts w:cs="Times New Roman"/>
                <w:b/>
                <w:bCs/>
                <w:sz w:val="20"/>
                <w:szCs w:val="18"/>
              </w:rPr>
              <w:t>(EUR)</w:t>
            </w:r>
          </w:p>
        </w:tc>
      </w:tr>
      <w:tr w:rsidR="00CE622A" w:rsidRPr="006772F8" w14:paraId="1CF7BC08" w14:textId="77777777" w:rsidTr="00E5482D">
        <w:tc>
          <w:tcPr>
            <w:tcW w:w="1561" w:type="pct"/>
            <w:vMerge/>
            <w:tcBorders>
              <w:bottom w:val="single" w:sz="4" w:space="0" w:color="auto"/>
            </w:tcBorders>
            <w:shd w:val="clear" w:color="auto" w:fill="F2F2F2" w:themeFill="background1" w:themeFillShade="F2"/>
            <w:vAlign w:val="center"/>
          </w:tcPr>
          <w:p w14:paraId="4F2867D4" w14:textId="77777777" w:rsidR="00FF48F9" w:rsidRPr="00FC64BF" w:rsidRDefault="00FF48F9" w:rsidP="00D36147">
            <w:pPr>
              <w:spacing w:line="276" w:lineRule="auto"/>
              <w:rPr>
                <w:rFonts w:cs="Times New Roman"/>
                <w:b/>
                <w:bCs/>
                <w:sz w:val="20"/>
                <w:szCs w:val="18"/>
              </w:rPr>
            </w:pPr>
          </w:p>
        </w:tc>
        <w:tc>
          <w:tcPr>
            <w:tcW w:w="1329" w:type="pct"/>
            <w:tcBorders>
              <w:bottom w:val="single" w:sz="4" w:space="0" w:color="auto"/>
            </w:tcBorders>
            <w:vAlign w:val="center"/>
          </w:tcPr>
          <w:p w14:paraId="594D361A" w14:textId="0307D305" w:rsidR="00410784" w:rsidRPr="00FC64BF" w:rsidRDefault="00410784" w:rsidP="00D36147">
            <w:pPr>
              <w:spacing w:line="276" w:lineRule="auto"/>
              <w:jc w:val="center"/>
              <w:rPr>
                <w:rFonts w:cs="Times New Roman"/>
                <w:bCs/>
                <w:sz w:val="20"/>
                <w:szCs w:val="18"/>
              </w:rPr>
            </w:pPr>
            <w:r w:rsidRPr="00FC64BF">
              <w:rPr>
                <w:rFonts w:cs="Times New Roman"/>
                <w:bCs/>
                <w:sz w:val="20"/>
                <w:szCs w:val="18"/>
              </w:rPr>
              <w:t>A681000</w:t>
            </w:r>
            <w:r w:rsidR="00CD78EF" w:rsidRPr="00FC64BF">
              <w:rPr>
                <w:rFonts w:cs="Times New Roman"/>
                <w:bCs/>
                <w:sz w:val="20"/>
                <w:szCs w:val="18"/>
              </w:rPr>
              <w:t>-</w:t>
            </w:r>
            <w:r w:rsidR="002F7831">
              <w:rPr>
                <w:rFonts w:cs="Times New Roman"/>
                <w:bCs/>
                <w:sz w:val="20"/>
                <w:szCs w:val="18"/>
              </w:rPr>
              <w:t xml:space="preserve"> </w:t>
            </w:r>
            <w:r w:rsidRPr="00FC64BF">
              <w:rPr>
                <w:rFonts w:cs="Times New Roman"/>
                <w:bCs/>
                <w:sz w:val="20"/>
                <w:szCs w:val="18"/>
              </w:rPr>
              <w:t>Administracija i upravljanje</w:t>
            </w:r>
          </w:p>
          <w:p w14:paraId="5C24068E" w14:textId="61463A58" w:rsidR="00FF48F9" w:rsidRPr="00FC64BF" w:rsidRDefault="00410784" w:rsidP="00D36147">
            <w:pPr>
              <w:spacing w:line="276" w:lineRule="auto"/>
              <w:jc w:val="center"/>
              <w:rPr>
                <w:rFonts w:cs="Times New Roman"/>
                <w:b/>
                <w:bCs/>
                <w:sz w:val="20"/>
                <w:szCs w:val="18"/>
              </w:rPr>
            </w:pPr>
            <w:r w:rsidRPr="00FC64BF">
              <w:rPr>
                <w:rFonts w:cs="Times New Roman"/>
                <w:b/>
                <w:bCs/>
                <w:sz w:val="20"/>
                <w:szCs w:val="18"/>
              </w:rPr>
              <w:t>0,00</w:t>
            </w:r>
            <w:r w:rsidRPr="00FC64BF" w:rsidDel="00410784">
              <w:rPr>
                <w:rFonts w:cs="Times New Roman"/>
                <w:b/>
                <w:bCs/>
                <w:sz w:val="20"/>
                <w:szCs w:val="18"/>
              </w:rPr>
              <w:t xml:space="preserve"> </w:t>
            </w:r>
          </w:p>
        </w:tc>
        <w:tc>
          <w:tcPr>
            <w:tcW w:w="1174" w:type="pct"/>
            <w:tcBorders>
              <w:bottom w:val="single" w:sz="4" w:space="0" w:color="auto"/>
            </w:tcBorders>
            <w:vAlign w:val="center"/>
          </w:tcPr>
          <w:p w14:paraId="6D1C6DEB" w14:textId="67BF6964" w:rsidR="00FF48F9" w:rsidRPr="00FC64BF" w:rsidRDefault="00FF48F9" w:rsidP="00D36147">
            <w:pPr>
              <w:spacing w:line="276" w:lineRule="auto"/>
              <w:jc w:val="center"/>
              <w:rPr>
                <w:rFonts w:cs="Times New Roman"/>
                <w:bCs/>
                <w:sz w:val="20"/>
                <w:szCs w:val="18"/>
              </w:rPr>
            </w:pPr>
            <w:r w:rsidRPr="00FC64BF">
              <w:rPr>
                <w:rFonts w:cs="Times New Roman"/>
                <w:bCs/>
                <w:sz w:val="20"/>
                <w:szCs w:val="18"/>
              </w:rPr>
              <w:t>0,00</w:t>
            </w:r>
          </w:p>
        </w:tc>
        <w:tc>
          <w:tcPr>
            <w:tcW w:w="935" w:type="pct"/>
            <w:tcBorders>
              <w:bottom w:val="single" w:sz="4" w:space="0" w:color="auto"/>
            </w:tcBorders>
            <w:vAlign w:val="center"/>
          </w:tcPr>
          <w:p w14:paraId="76B1C5A2" w14:textId="353AFE3D" w:rsidR="00FF48F9" w:rsidRPr="00FC64BF" w:rsidRDefault="00FF48F9" w:rsidP="00D36147">
            <w:pPr>
              <w:spacing w:line="276" w:lineRule="auto"/>
              <w:jc w:val="center"/>
              <w:rPr>
                <w:rFonts w:cs="Times New Roman"/>
                <w:bCs/>
                <w:sz w:val="20"/>
                <w:szCs w:val="18"/>
              </w:rPr>
            </w:pPr>
            <w:r w:rsidRPr="00FC64BF">
              <w:rPr>
                <w:rFonts w:cs="Times New Roman"/>
                <w:bCs/>
                <w:sz w:val="20"/>
                <w:szCs w:val="18"/>
              </w:rPr>
              <w:t>0,00</w:t>
            </w:r>
          </w:p>
        </w:tc>
      </w:tr>
      <w:tr w:rsidR="00CE622A" w:rsidRPr="006772F8" w14:paraId="6022A1EE" w14:textId="77777777" w:rsidTr="00E5482D">
        <w:trPr>
          <w:trHeight w:val="340"/>
        </w:trPr>
        <w:tc>
          <w:tcPr>
            <w:tcW w:w="1561" w:type="pct"/>
            <w:tcBorders>
              <w:bottom w:val="single" w:sz="4" w:space="0" w:color="auto"/>
            </w:tcBorders>
            <w:shd w:val="clear" w:color="auto" w:fill="F2F2F2" w:themeFill="background1" w:themeFillShade="F2"/>
            <w:vAlign w:val="center"/>
          </w:tcPr>
          <w:p w14:paraId="66F55333" w14:textId="240F3A1F" w:rsidR="00FF48F9" w:rsidRPr="00FC64BF" w:rsidRDefault="00FF48F9" w:rsidP="004A3B23">
            <w:pPr>
              <w:spacing w:line="276" w:lineRule="auto"/>
              <w:rPr>
                <w:rFonts w:cs="Times New Roman"/>
                <w:sz w:val="20"/>
                <w:szCs w:val="18"/>
              </w:rPr>
            </w:pPr>
            <w:r w:rsidRPr="00FC64BF">
              <w:rPr>
                <w:rFonts w:cs="Times New Roman"/>
                <w:sz w:val="20"/>
                <w:szCs w:val="18"/>
              </w:rPr>
              <w:t xml:space="preserve">ROK PROVEDBE AKTIVNOSTI </w:t>
            </w:r>
          </w:p>
        </w:tc>
        <w:tc>
          <w:tcPr>
            <w:tcW w:w="3439" w:type="pct"/>
            <w:gridSpan w:val="3"/>
            <w:tcBorders>
              <w:bottom w:val="single" w:sz="4" w:space="0" w:color="auto"/>
            </w:tcBorders>
            <w:vAlign w:val="center"/>
          </w:tcPr>
          <w:p w14:paraId="6C85B2A0" w14:textId="77777777" w:rsidR="00FF48F9" w:rsidRPr="00FC64BF" w:rsidRDefault="00FF48F9" w:rsidP="00AB12E9">
            <w:pPr>
              <w:spacing w:line="276" w:lineRule="auto"/>
              <w:rPr>
                <w:rFonts w:cs="Times New Roman"/>
                <w:sz w:val="20"/>
                <w:szCs w:val="18"/>
              </w:rPr>
            </w:pPr>
            <w:r w:rsidRPr="00FC64BF">
              <w:rPr>
                <w:rFonts w:cs="Times New Roman"/>
                <w:sz w:val="20"/>
                <w:szCs w:val="18"/>
              </w:rPr>
              <w:t>IV. kvartal 2025.</w:t>
            </w:r>
          </w:p>
        </w:tc>
      </w:tr>
      <w:tr w:rsidR="00705600" w:rsidRPr="00705600" w14:paraId="3DD53703" w14:textId="77777777" w:rsidTr="00E5482D">
        <w:trPr>
          <w:trHeight w:val="340"/>
        </w:trPr>
        <w:tc>
          <w:tcPr>
            <w:tcW w:w="1561" w:type="pct"/>
            <w:tcBorders>
              <w:top w:val="single" w:sz="4" w:space="0" w:color="auto"/>
              <w:left w:val="nil"/>
              <w:bottom w:val="nil"/>
              <w:right w:val="nil"/>
            </w:tcBorders>
            <w:shd w:val="clear" w:color="auto" w:fill="auto"/>
            <w:vAlign w:val="center"/>
          </w:tcPr>
          <w:p w14:paraId="104528D3" w14:textId="77777777" w:rsidR="00E5482D" w:rsidRPr="00705600" w:rsidRDefault="00E5482D" w:rsidP="004A3B23">
            <w:pPr>
              <w:spacing w:line="276" w:lineRule="auto"/>
              <w:rPr>
                <w:rFonts w:cs="Times New Roman"/>
                <w:sz w:val="20"/>
                <w:szCs w:val="18"/>
              </w:rPr>
            </w:pPr>
          </w:p>
        </w:tc>
        <w:tc>
          <w:tcPr>
            <w:tcW w:w="3439" w:type="pct"/>
            <w:gridSpan w:val="3"/>
            <w:tcBorders>
              <w:top w:val="single" w:sz="4" w:space="0" w:color="auto"/>
              <w:left w:val="nil"/>
              <w:bottom w:val="nil"/>
              <w:right w:val="nil"/>
            </w:tcBorders>
            <w:shd w:val="clear" w:color="auto" w:fill="auto"/>
            <w:vAlign w:val="center"/>
          </w:tcPr>
          <w:p w14:paraId="483BEBE3" w14:textId="77777777" w:rsidR="00E5482D" w:rsidRPr="00705600" w:rsidRDefault="00E5482D" w:rsidP="00AB12E9">
            <w:pPr>
              <w:spacing w:line="276" w:lineRule="auto"/>
              <w:rPr>
                <w:rFonts w:cs="Times New Roman"/>
                <w:sz w:val="20"/>
                <w:szCs w:val="18"/>
              </w:rPr>
            </w:pPr>
          </w:p>
        </w:tc>
      </w:tr>
    </w:tbl>
    <w:p w14:paraId="036F5B68" w14:textId="4A7F7F31" w:rsidR="002D20BA" w:rsidRPr="00705600" w:rsidRDefault="00E40592" w:rsidP="004A3B23">
      <w:pPr>
        <w:pStyle w:val="Heading1"/>
        <w:rPr>
          <w:rFonts w:cs="Times New Roman"/>
        </w:rPr>
      </w:pPr>
      <w:bookmarkStart w:id="24" w:name="_Toc132988316"/>
      <w:bookmarkStart w:id="25" w:name="_Hlk66118348"/>
      <w:r w:rsidRPr="00705600">
        <w:rPr>
          <w:rFonts w:cs="Times New Roman"/>
        </w:rPr>
        <w:t>MJER</w:t>
      </w:r>
      <w:r w:rsidR="004A47F2" w:rsidRPr="00705600">
        <w:rPr>
          <w:rFonts w:cs="Times New Roman"/>
        </w:rPr>
        <w:t>E</w:t>
      </w:r>
      <w:r w:rsidRPr="00705600">
        <w:rPr>
          <w:rFonts w:cs="Times New Roman"/>
        </w:rPr>
        <w:t xml:space="preserve"> I </w:t>
      </w:r>
      <w:r w:rsidR="00CB102E" w:rsidRPr="00705600">
        <w:rPr>
          <w:rFonts w:cs="Times New Roman"/>
        </w:rPr>
        <w:t>AKTIVNOSTI</w:t>
      </w:r>
      <w:r w:rsidR="006E6C99" w:rsidRPr="00705600">
        <w:rPr>
          <w:rFonts w:cs="Times New Roman"/>
        </w:rPr>
        <w:t xml:space="preserve"> U HORIZONTALNOM CILJU </w:t>
      </w:r>
      <w:r w:rsidR="00006799" w:rsidRPr="00705600">
        <w:rPr>
          <w:rFonts w:cs="Times New Roman"/>
        </w:rPr>
        <w:t>SMANJ</w:t>
      </w:r>
      <w:r w:rsidR="000237A2" w:rsidRPr="00705600">
        <w:rPr>
          <w:rFonts w:cs="Times New Roman"/>
        </w:rPr>
        <w:t>IVA</w:t>
      </w:r>
      <w:r w:rsidR="00006799" w:rsidRPr="00705600">
        <w:rPr>
          <w:rFonts w:cs="Times New Roman"/>
        </w:rPr>
        <w:t>NJE</w:t>
      </w:r>
      <w:r w:rsidR="00FA1728" w:rsidRPr="00705600">
        <w:rPr>
          <w:rFonts w:cs="Times New Roman"/>
        </w:rPr>
        <w:t xml:space="preserve"> SIROMAŠTVA I SOCIJALNE ISKLJUČENOSTI </w:t>
      </w:r>
      <w:r w:rsidR="00250A1E" w:rsidRPr="00705600">
        <w:rPr>
          <w:rFonts w:cs="Times New Roman"/>
        </w:rPr>
        <w:t xml:space="preserve">ROMA </w:t>
      </w:r>
      <w:r w:rsidR="00FA1728" w:rsidRPr="00705600">
        <w:rPr>
          <w:rFonts w:cs="Times New Roman"/>
        </w:rPr>
        <w:t>KAKO BI SE SMANJIO DRUŠTVENO-EKONOMSKI JAZ IZMEĐU ROMA I OPĆE POPULACIJE</w:t>
      </w:r>
      <w:bookmarkEnd w:id="24"/>
    </w:p>
    <w:p w14:paraId="7ACCE4CE" w14:textId="77777777" w:rsidR="00A42BAD" w:rsidRPr="00705600" w:rsidRDefault="00A42BAD" w:rsidP="00D36147">
      <w:pPr>
        <w:spacing w:after="0" w:line="276" w:lineRule="auto"/>
        <w:rPr>
          <w:rFonts w:cs="Times New Roman"/>
        </w:rPr>
      </w:pPr>
    </w:p>
    <w:p w14:paraId="38F7311F" w14:textId="77777777" w:rsidR="008B1167" w:rsidRPr="00705600" w:rsidRDefault="008B1167" w:rsidP="004A3B23">
      <w:pPr>
        <w:spacing w:after="0" w:line="276" w:lineRule="auto"/>
        <w:jc w:val="both"/>
        <w:rPr>
          <w:rFonts w:cs="Times New Roman"/>
          <w:szCs w:val="24"/>
        </w:rPr>
      </w:pPr>
      <w:r w:rsidRPr="00705600">
        <w:rPr>
          <w:rFonts w:cs="Times New Roman"/>
          <w:szCs w:val="24"/>
        </w:rPr>
        <w:t xml:space="preserve">Svrha provedbe mjera i aktivnosti u horizontalnom cilju uključuje: </w:t>
      </w:r>
    </w:p>
    <w:p w14:paraId="4EDF11C4" w14:textId="7F255A2A" w:rsidR="008B1167" w:rsidRPr="00705600" w:rsidRDefault="004F5312" w:rsidP="00AB12E9">
      <w:pPr>
        <w:pStyle w:val="ListParagraph"/>
        <w:numPr>
          <w:ilvl w:val="0"/>
          <w:numId w:val="3"/>
        </w:numPr>
        <w:spacing w:line="276" w:lineRule="auto"/>
        <w:jc w:val="both"/>
      </w:pPr>
      <w:r w:rsidRPr="00705600">
        <w:rPr>
          <w:szCs w:val="28"/>
        </w:rPr>
        <w:t>smanjivanje siromaštva i socijalne isključenosti Roma poticanjem ulaganja u ljudski kapital, osiguravanjem pristupa adekvatnim programima socijalne zaštite, potpora dohotku, davanja u naravi i pružanje usluga za Rome u nepovoljnom položaju</w:t>
      </w:r>
      <w:r w:rsidR="00E3676D" w:rsidRPr="00705600">
        <w:rPr>
          <w:szCs w:val="28"/>
        </w:rPr>
        <w:t xml:space="preserve">; </w:t>
      </w:r>
    </w:p>
    <w:p w14:paraId="2B12B687" w14:textId="08343662" w:rsidR="00F1631F" w:rsidRPr="00705600" w:rsidRDefault="004F5312" w:rsidP="00D36147">
      <w:pPr>
        <w:pStyle w:val="ListParagraph"/>
        <w:numPr>
          <w:ilvl w:val="0"/>
          <w:numId w:val="3"/>
        </w:numPr>
        <w:spacing w:line="276" w:lineRule="auto"/>
        <w:jc w:val="both"/>
      </w:pPr>
      <w:r w:rsidRPr="00705600">
        <w:rPr>
          <w:szCs w:val="28"/>
        </w:rPr>
        <w:t xml:space="preserve">smanjivanje jaza u siromaštvu i socijalne isključenosti djece pripadnika romske nacionalne manjine pružanjem sveobuhvatne potpore djeci i njihovim obiteljima u međusobno povezanim područjima </w:t>
      </w:r>
      <w:r w:rsidR="00E3676D" w:rsidRPr="00705600">
        <w:rPr>
          <w:szCs w:val="28"/>
        </w:rPr>
        <w:t>te osiguravanja pristupa osnovnim uslugama, prehrani</w:t>
      </w:r>
      <w:r w:rsidR="00F1631F" w:rsidRPr="00705600">
        <w:rPr>
          <w:szCs w:val="28"/>
        </w:rPr>
        <w:t xml:space="preserve"> i slobodnim aktivnostima;</w:t>
      </w:r>
    </w:p>
    <w:p w14:paraId="3C893754" w14:textId="1858FEDC" w:rsidR="004F5312" w:rsidRPr="00705600" w:rsidRDefault="00E3676D" w:rsidP="00D36147">
      <w:pPr>
        <w:pStyle w:val="ListParagraph"/>
        <w:numPr>
          <w:ilvl w:val="0"/>
          <w:numId w:val="3"/>
        </w:numPr>
        <w:spacing w:line="276" w:lineRule="auto"/>
        <w:jc w:val="both"/>
      </w:pPr>
      <w:r w:rsidRPr="00705600">
        <w:rPr>
          <w:szCs w:val="28"/>
        </w:rPr>
        <w:t xml:space="preserve">unapređenju dostupnosti </w:t>
      </w:r>
      <w:r w:rsidR="00F1631F" w:rsidRPr="00705600">
        <w:rPr>
          <w:szCs w:val="28"/>
        </w:rPr>
        <w:t xml:space="preserve">kvalitetnih </w:t>
      </w:r>
      <w:r w:rsidRPr="00705600">
        <w:rPr>
          <w:szCs w:val="28"/>
        </w:rPr>
        <w:t>socija</w:t>
      </w:r>
      <w:r w:rsidR="00F1631F" w:rsidRPr="00705600">
        <w:rPr>
          <w:szCs w:val="28"/>
        </w:rPr>
        <w:t>lnih usluga na romskim lokalitetima.</w:t>
      </w:r>
    </w:p>
    <w:p w14:paraId="2936046E" w14:textId="77777777" w:rsidR="00FC7E07" w:rsidRPr="00705600" w:rsidRDefault="00FC7E07" w:rsidP="00D36147">
      <w:pPr>
        <w:pStyle w:val="ListParagraph"/>
        <w:spacing w:line="276" w:lineRule="auto"/>
        <w:jc w:val="both"/>
      </w:pPr>
    </w:p>
    <w:p w14:paraId="3E4A3DFE" w14:textId="77777777" w:rsidR="00277C25" w:rsidRPr="00FC64BF" w:rsidRDefault="00FC7E07" w:rsidP="00D36147">
      <w:pPr>
        <w:pStyle w:val="Heading2"/>
        <w:spacing w:line="276" w:lineRule="auto"/>
        <w:rPr>
          <w:rFonts w:cs="Times New Roman"/>
        </w:rPr>
      </w:pPr>
      <w:r w:rsidRPr="00FC64BF">
        <w:rPr>
          <w:rFonts w:cs="Times New Roman"/>
        </w:rPr>
        <w:t xml:space="preserve">Mjera 2.1. Smanjivanje siromaštva i socijalne isključenosti Roma </w:t>
      </w:r>
    </w:p>
    <w:p w14:paraId="63690750" w14:textId="4138FBCF" w:rsidR="00FC7E07" w:rsidRPr="00FC64BF" w:rsidRDefault="00FC7E07" w:rsidP="00D36147">
      <w:pPr>
        <w:spacing w:after="0" w:line="276" w:lineRule="auto"/>
        <w:rPr>
          <w:rFonts w:cs="Times New Roman"/>
        </w:rPr>
      </w:pPr>
      <w:r w:rsidRPr="00FC64BF">
        <w:rPr>
          <w:rFonts w:cs="Times New Roman"/>
        </w:rPr>
        <w:tab/>
      </w:r>
    </w:p>
    <w:p w14:paraId="69AF58D6" w14:textId="14912647" w:rsidR="00024EF9" w:rsidRPr="00FC64BF" w:rsidRDefault="00FC7E07" w:rsidP="004A3B23">
      <w:pPr>
        <w:spacing w:after="0" w:line="276" w:lineRule="auto"/>
        <w:jc w:val="both"/>
        <w:rPr>
          <w:rFonts w:cs="Times New Roman"/>
          <w:i/>
          <w:iCs/>
          <w:szCs w:val="24"/>
        </w:rPr>
      </w:pPr>
      <w:r w:rsidRPr="00FC64BF">
        <w:rPr>
          <w:rFonts w:cs="Times New Roman"/>
          <w:i/>
          <w:iCs/>
          <w:szCs w:val="24"/>
        </w:rPr>
        <w:t>Aktivnost 2.1.1. Redovito prikupljanje i objavljivanje informacija o raspisanim natječajima relevantnim za rad romskih udruga i udruga za Rome na nacionalnoj i lokalnim razinama i njihovo objavljivanje na mrež</w:t>
      </w:r>
      <w:r w:rsidR="00024EF9" w:rsidRPr="00FC64BF">
        <w:rPr>
          <w:rFonts w:cs="Times New Roman"/>
          <w:i/>
          <w:iCs/>
          <w:szCs w:val="24"/>
        </w:rPr>
        <w:t>nim stranicama Ureda za udruge</w:t>
      </w:r>
    </w:p>
    <w:p w14:paraId="289909A9" w14:textId="7E27D398" w:rsidR="00024EF9" w:rsidRPr="00FC64BF" w:rsidRDefault="00024EF9" w:rsidP="00AB12E9">
      <w:pPr>
        <w:spacing w:after="0" w:line="276" w:lineRule="auto"/>
        <w:jc w:val="both"/>
        <w:rPr>
          <w:rFonts w:cs="Times New Roman"/>
          <w:i/>
          <w:iCs/>
          <w:szCs w:val="24"/>
        </w:rPr>
      </w:pPr>
      <w:r w:rsidRPr="00FC64BF">
        <w:rPr>
          <w:rFonts w:cs="Times New Roman"/>
          <w:i/>
          <w:iCs/>
          <w:szCs w:val="24"/>
        </w:rPr>
        <w:t xml:space="preserve">Nositelj provedbe: </w:t>
      </w:r>
      <w:r w:rsidR="00FC7E07" w:rsidRPr="00FC64BF">
        <w:rPr>
          <w:rFonts w:cs="Times New Roman"/>
          <w:i/>
          <w:iCs/>
          <w:szCs w:val="24"/>
        </w:rPr>
        <w:t>Ured za udruge</w:t>
      </w:r>
      <w:r w:rsidR="001F52B2" w:rsidRPr="00FC64BF">
        <w:rPr>
          <w:rFonts w:cs="Times New Roman"/>
          <w:i/>
          <w:iCs/>
          <w:szCs w:val="24"/>
        </w:rPr>
        <w:t xml:space="preserve"> </w:t>
      </w:r>
    </w:p>
    <w:p w14:paraId="429A6D39" w14:textId="5C8A1C2B" w:rsidR="00FC7E07" w:rsidRPr="00FC64BF" w:rsidRDefault="00024EF9" w:rsidP="00D36147">
      <w:pPr>
        <w:spacing w:after="0" w:line="276" w:lineRule="auto"/>
        <w:jc w:val="both"/>
        <w:rPr>
          <w:rFonts w:cs="Times New Roman"/>
          <w:i/>
          <w:iCs/>
          <w:szCs w:val="24"/>
        </w:rPr>
      </w:pPr>
      <w:r w:rsidRPr="00FC64BF">
        <w:rPr>
          <w:rFonts w:cs="Times New Roman"/>
          <w:i/>
          <w:iCs/>
          <w:szCs w:val="24"/>
        </w:rPr>
        <w:t>Partneri</w:t>
      </w:r>
      <w:r w:rsidR="00303A36" w:rsidRPr="00FC64BF">
        <w:rPr>
          <w:rFonts w:cs="Times New Roman"/>
          <w:i/>
          <w:iCs/>
          <w:szCs w:val="24"/>
        </w:rPr>
        <w:t xml:space="preserve">: </w:t>
      </w:r>
      <w:r w:rsidR="00026107">
        <w:rPr>
          <w:rFonts w:cs="Times New Roman"/>
          <w:i/>
          <w:iCs/>
          <w:szCs w:val="24"/>
        </w:rPr>
        <w:t>TDU</w:t>
      </w:r>
      <w:r w:rsidR="00303A36" w:rsidRPr="00FC64BF">
        <w:rPr>
          <w:rFonts w:cs="Times New Roman"/>
          <w:i/>
          <w:iCs/>
          <w:szCs w:val="24"/>
        </w:rPr>
        <w:t>,</w:t>
      </w:r>
      <w:r w:rsidRPr="00FC64BF">
        <w:rPr>
          <w:rFonts w:cs="Times New Roman"/>
          <w:i/>
          <w:iCs/>
          <w:szCs w:val="24"/>
        </w:rPr>
        <w:t xml:space="preserve"> </w:t>
      </w:r>
      <w:r w:rsidR="00026107">
        <w:rPr>
          <w:rFonts w:cs="Times New Roman"/>
          <w:i/>
          <w:iCs/>
          <w:szCs w:val="24"/>
        </w:rPr>
        <w:t>JLP(R)S</w:t>
      </w:r>
      <w:r w:rsidR="00303A36" w:rsidRPr="00FC64BF">
        <w:rPr>
          <w:rFonts w:cs="Times New Roman"/>
          <w:i/>
          <w:iCs/>
          <w:szCs w:val="24"/>
        </w:rPr>
        <w:t xml:space="preserve"> i drugi davatelji financijskih sredstava iz javnih izvora)</w:t>
      </w:r>
    </w:p>
    <w:p w14:paraId="484C402F" w14:textId="77777777" w:rsidR="005A6860" w:rsidRPr="00FC64BF" w:rsidRDefault="005A6860" w:rsidP="00D36147">
      <w:pPr>
        <w:spacing w:after="0" w:line="276" w:lineRule="auto"/>
        <w:jc w:val="both"/>
        <w:rPr>
          <w:rFonts w:cs="Times New Roman"/>
          <w:i/>
          <w:iCs/>
          <w:szCs w:val="24"/>
        </w:rPr>
      </w:pPr>
    </w:p>
    <w:p w14:paraId="6B590CD9" w14:textId="7FA4BA89" w:rsidR="005B4B7C" w:rsidRPr="00FC64BF" w:rsidRDefault="001671E0" w:rsidP="001671E0">
      <w:pPr>
        <w:spacing w:after="0" w:line="276" w:lineRule="auto"/>
        <w:jc w:val="both"/>
        <w:rPr>
          <w:rFonts w:cs="Times New Roman"/>
          <w:szCs w:val="24"/>
        </w:rPr>
      </w:pPr>
      <w:r w:rsidRPr="00FC64BF">
        <w:rPr>
          <w:rFonts w:cs="Times New Roman"/>
          <w:szCs w:val="24"/>
        </w:rPr>
        <w:lastRenderedPageBreak/>
        <w:t xml:space="preserve">Ured za udruge je od davatelja financijskih sredstava iz javnih izvora redovito prikupljao i objavljivao </w:t>
      </w:r>
      <w:r w:rsidR="00662DA8" w:rsidRPr="00FC64BF">
        <w:rPr>
          <w:rFonts w:cs="Times New Roman"/>
          <w:szCs w:val="24"/>
        </w:rPr>
        <w:t xml:space="preserve">na mrežnim stranicama Ureda za udruge </w:t>
      </w:r>
      <w:r w:rsidRPr="00FC64BF">
        <w:rPr>
          <w:rFonts w:cs="Times New Roman"/>
          <w:szCs w:val="24"/>
        </w:rPr>
        <w:t>informacije o raspisanim natječajima relevantnim za rad romskih udruga i udruga za Rome na nacionalnoj i lokalnim razinama</w:t>
      </w:r>
      <w:r w:rsidR="00662DA8">
        <w:rPr>
          <w:rFonts w:cs="Times New Roman"/>
          <w:szCs w:val="24"/>
        </w:rPr>
        <w:t>.</w:t>
      </w:r>
      <w:r w:rsidRPr="00FC64BF">
        <w:rPr>
          <w:rFonts w:cs="Times New Roman"/>
          <w:szCs w:val="24"/>
        </w:rPr>
        <w:t>.</w:t>
      </w:r>
    </w:p>
    <w:p w14:paraId="63836AF2" w14:textId="77777777" w:rsidR="008F288C" w:rsidRPr="003462D1" w:rsidRDefault="008F288C" w:rsidP="00AB12E9">
      <w:pPr>
        <w:spacing w:after="0" w:line="276" w:lineRule="auto"/>
        <w:jc w:val="both"/>
        <w:rPr>
          <w:rFonts w:cs="Times New Roman"/>
          <w:szCs w:val="24"/>
        </w:rPr>
      </w:pPr>
    </w:p>
    <w:tbl>
      <w:tblPr>
        <w:tblStyle w:val="TableGrid"/>
        <w:tblW w:w="5081" w:type="pct"/>
        <w:jc w:val="center"/>
        <w:tblLayout w:type="fixed"/>
        <w:tblLook w:val="04A0" w:firstRow="1" w:lastRow="0" w:firstColumn="1" w:lastColumn="0" w:noHBand="0" w:noVBand="1"/>
      </w:tblPr>
      <w:tblGrid>
        <w:gridCol w:w="3257"/>
        <w:gridCol w:w="2267"/>
        <w:gridCol w:w="2127"/>
        <w:gridCol w:w="1558"/>
      </w:tblGrid>
      <w:tr w:rsidR="003462D1" w:rsidRPr="003462D1" w14:paraId="7613582C" w14:textId="77777777" w:rsidTr="00CA40F2">
        <w:trPr>
          <w:jc w:val="center"/>
        </w:trPr>
        <w:tc>
          <w:tcPr>
            <w:tcW w:w="1768" w:type="pct"/>
            <w:shd w:val="clear" w:color="auto" w:fill="F2F2F2" w:themeFill="background1" w:themeFillShade="F2"/>
            <w:vAlign w:val="center"/>
          </w:tcPr>
          <w:p w14:paraId="576CD3EB" w14:textId="472B344B" w:rsidR="008F288C" w:rsidRPr="003462D1" w:rsidRDefault="00B510B5" w:rsidP="00D36147">
            <w:pPr>
              <w:spacing w:line="276" w:lineRule="auto"/>
              <w:rPr>
                <w:rFonts w:cs="Times New Roman"/>
                <w:b/>
                <w:sz w:val="20"/>
                <w:szCs w:val="18"/>
              </w:rPr>
            </w:pPr>
            <w:r w:rsidRPr="003462D1">
              <w:rPr>
                <w:rFonts w:cs="Times New Roman"/>
                <w:b/>
                <w:sz w:val="20"/>
                <w:szCs w:val="18"/>
              </w:rPr>
              <w:t>Pokazatelji provedbe i pokazatelji uspješnosti provedbe</w:t>
            </w:r>
          </w:p>
        </w:tc>
        <w:tc>
          <w:tcPr>
            <w:tcW w:w="3232" w:type="pct"/>
            <w:gridSpan w:val="3"/>
            <w:shd w:val="clear" w:color="auto" w:fill="F2F2F2" w:themeFill="background1" w:themeFillShade="F2"/>
          </w:tcPr>
          <w:p w14:paraId="2520CADD" w14:textId="5229E628" w:rsidR="008F288C" w:rsidRPr="003462D1" w:rsidRDefault="008F288C" w:rsidP="00D36147">
            <w:pPr>
              <w:spacing w:line="276" w:lineRule="auto"/>
              <w:jc w:val="center"/>
              <w:rPr>
                <w:rFonts w:cs="Times New Roman"/>
                <w:b/>
                <w:sz w:val="20"/>
                <w:szCs w:val="18"/>
              </w:rPr>
            </w:pPr>
            <w:r w:rsidRPr="003462D1">
              <w:rPr>
                <w:rFonts w:cs="Times New Roman"/>
                <w:b/>
                <w:sz w:val="20"/>
                <w:szCs w:val="18"/>
              </w:rPr>
              <w:t>Broj obavijesti objavljenih na mrežnim stranicama Ureda za udruge o natječajima relevantnim za rad romskih udruga i udruga za Rome na nacionalnoj i lokalnim razinama</w:t>
            </w:r>
          </w:p>
        </w:tc>
      </w:tr>
      <w:tr w:rsidR="003462D1" w:rsidRPr="003462D1" w14:paraId="6AD8D8CD" w14:textId="77777777" w:rsidTr="00CA40F2">
        <w:trPr>
          <w:jc w:val="center"/>
        </w:trPr>
        <w:tc>
          <w:tcPr>
            <w:tcW w:w="1768" w:type="pct"/>
            <w:shd w:val="clear" w:color="auto" w:fill="F2F2F2" w:themeFill="background1" w:themeFillShade="F2"/>
            <w:vAlign w:val="center"/>
          </w:tcPr>
          <w:p w14:paraId="5F2A92A8" w14:textId="4586E53E" w:rsidR="008F288C" w:rsidRPr="003462D1" w:rsidRDefault="008F288C" w:rsidP="0072307D">
            <w:pPr>
              <w:spacing w:line="276" w:lineRule="auto"/>
              <w:rPr>
                <w:rFonts w:cs="Times New Roman"/>
                <w:sz w:val="20"/>
                <w:szCs w:val="18"/>
              </w:rPr>
            </w:pPr>
            <w:r w:rsidRPr="003462D1">
              <w:rPr>
                <w:rFonts w:cs="Times New Roman"/>
                <w:sz w:val="20"/>
                <w:szCs w:val="18"/>
              </w:rPr>
              <w:t>Planirani ishodi za pokazatelje provedbe u 202</w:t>
            </w:r>
            <w:r w:rsidR="000F2491" w:rsidRPr="003462D1">
              <w:rPr>
                <w:rFonts w:cs="Times New Roman"/>
                <w:sz w:val="20"/>
                <w:szCs w:val="18"/>
              </w:rPr>
              <w:t>4</w:t>
            </w:r>
            <w:r w:rsidRPr="003462D1">
              <w:rPr>
                <w:rFonts w:cs="Times New Roman"/>
                <w:sz w:val="20"/>
                <w:szCs w:val="18"/>
              </w:rPr>
              <w:t xml:space="preserve">. </w:t>
            </w:r>
          </w:p>
        </w:tc>
        <w:tc>
          <w:tcPr>
            <w:tcW w:w="3232" w:type="pct"/>
            <w:gridSpan w:val="3"/>
          </w:tcPr>
          <w:p w14:paraId="1C647AEB" w14:textId="77777777" w:rsidR="008F288C" w:rsidRPr="003462D1" w:rsidRDefault="008F288C" w:rsidP="00AB12E9">
            <w:pPr>
              <w:spacing w:line="276" w:lineRule="auto"/>
              <w:jc w:val="center"/>
              <w:rPr>
                <w:rFonts w:cs="Times New Roman"/>
                <w:sz w:val="20"/>
                <w:szCs w:val="18"/>
              </w:rPr>
            </w:pPr>
          </w:p>
          <w:p w14:paraId="770DE360" w14:textId="6DA740DD" w:rsidR="008F288C" w:rsidRPr="003462D1" w:rsidRDefault="00231D6B" w:rsidP="00D36147">
            <w:pPr>
              <w:spacing w:line="276" w:lineRule="auto"/>
              <w:jc w:val="center"/>
              <w:rPr>
                <w:rFonts w:cs="Times New Roman"/>
                <w:sz w:val="20"/>
                <w:szCs w:val="18"/>
              </w:rPr>
            </w:pPr>
            <w:r w:rsidRPr="003462D1">
              <w:rPr>
                <w:rFonts w:cs="Times New Roman"/>
                <w:sz w:val="20"/>
                <w:szCs w:val="18"/>
              </w:rPr>
              <w:t>100</w:t>
            </w:r>
          </w:p>
        </w:tc>
      </w:tr>
      <w:tr w:rsidR="003462D1" w:rsidRPr="003462D1" w14:paraId="17A0170E" w14:textId="77777777" w:rsidTr="00CA40F2">
        <w:trPr>
          <w:jc w:val="center"/>
        </w:trPr>
        <w:tc>
          <w:tcPr>
            <w:tcW w:w="1768" w:type="pct"/>
            <w:shd w:val="clear" w:color="auto" w:fill="F2F2F2" w:themeFill="background1" w:themeFillShade="F2"/>
            <w:vAlign w:val="center"/>
          </w:tcPr>
          <w:p w14:paraId="1C02254A" w14:textId="63154494" w:rsidR="008F288C" w:rsidRPr="003462D1" w:rsidRDefault="008F288C" w:rsidP="0072307D">
            <w:pPr>
              <w:spacing w:line="276" w:lineRule="auto"/>
              <w:rPr>
                <w:rFonts w:cs="Times New Roman"/>
                <w:sz w:val="20"/>
                <w:szCs w:val="18"/>
              </w:rPr>
            </w:pPr>
            <w:r w:rsidRPr="003462D1">
              <w:rPr>
                <w:rFonts w:cs="Times New Roman"/>
                <w:sz w:val="20"/>
                <w:szCs w:val="18"/>
              </w:rPr>
              <w:t>Ostvareni ishodi za pokazatelje provedbe u 202</w:t>
            </w:r>
            <w:r w:rsidR="000F2491" w:rsidRPr="003462D1">
              <w:rPr>
                <w:rFonts w:cs="Times New Roman"/>
                <w:sz w:val="20"/>
                <w:szCs w:val="18"/>
              </w:rPr>
              <w:t>4</w:t>
            </w:r>
            <w:r w:rsidRPr="003462D1">
              <w:rPr>
                <w:rFonts w:cs="Times New Roman"/>
                <w:sz w:val="20"/>
                <w:szCs w:val="18"/>
              </w:rPr>
              <w:t xml:space="preserve">. </w:t>
            </w:r>
          </w:p>
        </w:tc>
        <w:tc>
          <w:tcPr>
            <w:tcW w:w="3232" w:type="pct"/>
            <w:gridSpan w:val="3"/>
            <w:vAlign w:val="center"/>
          </w:tcPr>
          <w:p w14:paraId="4BCD220C" w14:textId="32C5CD5C" w:rsidR="008F288C" w:rsidRPr="003462D1" w:rsidRDefault="00231D6B" w:rsidP="001671E0">
            <w:pPr>
              <w:spacing w:line="276" w:lineRule="auto"/>
              <w:jc w:val="center"/>
              <w:rPr>
                <w:rFonts w:cs="Times New Roman"/>
                <w:sz w:val="20"/>
                <w:szCs w:val="18"/>
              </w:rPr>
            </w:pPr>
            <w:r w:rsidRPr="003462D1">
              <w:rPr>
                <w:rFonts w:cs="Times New Roman"/>
                <w:sz w:val="20"/>
                <w:szCs w:val="18"/>
              </w:rPr>
              <w:t xml:space="preserve">8 </w:t>
            </w:r>
          </w:p>
        </w:tc>
      </w:tr>
      <w:tr w:rsidR="003462D1" w:rsidRPr="003462D1" w14:paraId="70AE2276" w14:textId="77777777" w:rsidTr="00CA40F2">
        <w:trPr>
          <w:jc w:val="center"/>
        </w:trPr>
        <w:tc>
          <w:tcPr>
            <w:tcW w:w="1768" w:type="pct"/>
            <w:shd w:val="clear" w:color="auto" w:fill="F2F2F2" w:themeFill="background1" w:themeFillShade="F2"/>
            <w:vAlign w:val="center"/>
          </w:tcPr>
          <w:p w14:paraId="73A12EC1" w14:textId="77777777" w:rsidR="008F288C" w:rsidRPr="003462D1" w:rsidRDefault="008F288C" w:rsidP="004A3B23">
            <w:pPr>
              <w:spacing w:line="276" w:lineRule="auto"/>
              <w:rPr>
                <w:rFonts w:cs="Times New Roman"/>
                <w:b/>
                <w:sz w:val="20"/>
                <w:szCs w:val="18"/>
              </w:rPr>
            </w:pPr>
            <w:r w:rsidRPr="003462D1">
              <w:rPr>
                <w:rFonts w:cs="Times New Roman"/>
                <w:b/>
                <w:sz w:val="20"/>
                <w:szCs w:val="18"/>
              </w:rPr>
              <w:t>IZVORI FINANCIRANJA</w:t>
            </w:r>
          </w:p>
        </w:tc>
        <w:tc>
          <w:tcPr>
            <w:tcW w:w="1231" w:type="pct"/>
            <w:vAlign w:val="center"/>
          </w:tcPr>
          <w:p w14:paraId="098B8493" w14:textId="77777777" w:rsidR="008F288C" w:rsidRPr="003462D1" w:rsidRDefault="008F288C" w:rsidP="00AB12E9">
            <w:pPr>
              <w:spacing w:line="276" w:lineRule="auto"/>
              <w:jc w:val="center"/>
              <w:rPr>
                <w:rFonts w:cs="Times New Roman"/>
                <w:b/>
                <w:sz w:val="20"/>
                <w:szCs w:val="18"/>
              </w:rPr>
            </w:pPr>
            <w:r w:rsidRPr="003462D1">
              <w:rPr>
                <w:rFonts w:cs="Times New Roman"/>
                <w:b/>
                <w:sz w:val="20"/>
                <w:szCs w:val="18"/>
              </w:rPr>
              <w:t>Državni proračun (EUR)</w:t>
            </w:r>
          </w:p>
        </w:tc>
        <w:tc>
          <w:tcPr>
            <w:tcW w:w="1155" w:type="pct"/>
            <w:vAlign w:val="center"/>
          </w:tcPr>
          <w:p w14:paraId="4869A297" w14:textId="1AF01FC6" w:rsidR="008F288C" w:rsidRPr="003462D1" w:rsidRDefault="008F288C" w:rsidP="00D36147">
            <w:pPr>
              <w:spacing w:line="276" w:lineRule="auto"/>
              <w:jc w:val="center"/>
              <w:rPr>
                <w:rFonts w:cs="Times New Roman"/>
                <w:b/>
                <w:sz w:val="20"/>
                <w:szCs w:val="18"/>
              </w:rPr>
            </w:pPr>
            <w:r w:rsidRPr="003462D1">
              <w:rPr>
                <w:rFonts w:cs="Times New Roman"/>
                <w:b/>
                <w:sz w:val="20"/>
                <w:szCs w:val="18"/>
              </w:rPr>
              <w:t xml:space="preserve">EU financiranje </w:t>
            </w:r>
            <w:r w:rsidR="00E45D73" w:rsidRPr="003462D1">
              <w:rPr>
                <w:rFonts w:cs="Times New Roman"/>
                <w:b/>
                <w:sz w:val="20"/>
                <w:szCs w:val="18"/>
              </w:rPr>
              <w:t>(</w:t>
            </w:r>
            <w:r w:rsidRPr="003462D1">
              <w:rPr>
                <w:rFonts w:cs="Times New Roman"/>
                <w:b/>
                <w:sz w:val="20"/>
                <w:szCs w:val="18"/>
              </w:rPr>
              <w:t>EUR)</w:t>
            </w:r>
          </w:p>
        </w:tc>
        <w:tc>
          <w:tcPr>
            <w:tcW w:w="846" w:type="pct"/>
            <w:vAlign w:val="center"/>
          </w:tcPr>
          <w:p w14:paraId="178F549F" w14:textId="64116F95" w:rsidR="008F288C" w:rsidRPr="003462D1" w:rsidRDefault="008F288C" w:rsidP="00D36147">
            <w:pPr>
              <w:spacing w:line="276" w:lineRule="auto"/>
              <w:jc w:val="center"/>
              <w:rPr>
                <w:rFonts w:cs="Times New Roman"/>
                <w:b/>
                <w:sz w:val="20"/>
                <w:szCs w:val="18"/>
              </w:rPr>
            </w:pPr>
            <w:r w:rsidRPr="003462D1">
              <w:rPr>
                <w:rFonts w:cs="Times New Roman"/>
                <w:b/>
                <w:sz w:val="20"/>
                <w:szCs w:val="18"/>
              </w:rPr>
              <w:t>Drugi izvori (EUR)</w:t>
            </w:r>
          </w:p>
        </w:tc>
      </w:tr>
      <w:tr w:rsidR="003462D1" w:rsidRPr="003462D1" w14:paraId="4B082D79" w14:textId="77777777" w:rsidTr="00CA40F2">
        <w:trPr>
          <w:jc w:val="center"/>
        </w:trPr>
        <w:tc>
          <w:tcPr>
            <w:tcW w:w="1768" w:type="pct"/>
            <w:shd w:val="clear" w:color="auto" w:fill="F2F2F2" w:themeFill="background1" w:themeFillShade="F2"/>
            <w:vAlign w:val="center"/>
          </w:tcPr>
          <w:p w14:paraId="636D0CBD" w14:textId="41F4BF6D" w:rsidR="008F288C" w:rsidRPr="003462D1" w:rsidRDefault="008F288C" w:rsidP="0072307D">
            <w:pPr>
              <w:spacing w:line="276" w:lineRule="auto"/>
              <w:rPr>
                <w:rFonts w:cs="Times New Roman"/>
                <w:sz w:val="20"/>
                <w:szCs w:val="18"/>
              </w:rPr>
            </w:pPr>
            <w:r w:rsidRPr="003462D1">
              <w:rPr>
                <w:rFonts w:cs="Times New Roman"/>
                <w:sz w:val="20"/>
                <w:szCs w:val="18"/>
              </w:rPr>
              <w:t>Izvori financiranja u 202</w:t>
            </w:r>
            <w:r w:rsidR="000F2491" w:rsidRPr="003462D1">
              <w:rPr>
                <w:rFonts w:cs="Times New Roman"/>
                <w:sz w:val="20"/>
                <w:szCs w:val="18"/>
              </w:rPr>
              <w:t>4</w:t>
            </w:r>
            <w:r w:rsidRPr="003462D1">
              <w:rPr>
                <w:rFonts w:cs="Times New Roman"/>
                <w:sz w:val="20"/>
                <w:szCs w:val="18"/>
              </w:rPr>
              <w:t>. (proračunska pozicija i predviđeni iznos sredstava)</w:t>
            </w:r>
          </w:p>
        </w:tc>
        <w:tc>
          <w:tcPr>
            <w:tcW w:w="1231" w:type="pct"/>
            <w:vAlign w:val="center"/>
          </w:tcPr>
          <w:p w14:paraId="698EA2DF" w14:textId="7D8A21EA" w:rsidR="008F288C" w:rsidRPr="003462D1" w:rsidRDefault="008F288C" w:rsidP="00AB12E9">
            <w:pPr>
              <w:spacing w:line="276" w:lineRule="auto"/>
              <w:jc w:val="center"/>
              <w:rPr>
                <w:rFonts w:cs="Times New Roman"/>
                <w:sz w:val="20"/>
                <w:szCs w:val="18"/>
              </w:rPr>
            </w:pPr>
            <w:r w:rsidRPr="003462D1">
              <w:rPr>
                <w:rFonts w:cs="Times New Roman"/>
                <w:sz w:val="20"/>
                <w:szCs w:val="18"/>
              </w:rPr>
              <w:t xml:space="preserve">A509000 </w:t>
            </w:r>
            <w:r w:rsidR="00CD78EF" w:rsidRPr="003462D1">
              <w:rPr>
                <w:rFonts w:cs="Times New Roman"/>
                <w:sz w:val="20"/>
                <w:szCs w:val="18"/>
              </w:rPr>
              <w:t xml:space="preserve">- </w:t>
            </w:r>
            <w:r w:rsidRPr="003462D1">
              <w:rPr>
                <w:rFonts w:cs="Times New Roman"/>
                <w:sz w:val="20"/>
                <w:szCs w:val="18"/>
              </w:rPr>
              <w:t>Administracija i upravljanje</w:t>
            </w:r>
          </w:p>
        </w:tc>
        <w:tc>
          <w:tcPr>
            <w:tcW w:w="1155" w:type="pct"/>
            <w:vAlign w:val="center"/>
          </w:tcPr>
          <w:p w14:paraId="200B3AA7" w14:textId="098A5534" w:rsidR="008F288C" w:rsidRPr="003462D1" w:rsidRDefault="008F288C" w:rsidP="00D36147">
            <w:pPr>
              <w:spacing w:line="276" w:lineRule="auto"/>
              <w:jc w:val="center"/>
              <w:rPr>
                <w:rFonts w:cs="Times New Roman"/>
                <w:sz w:val="20"/>
                <w:szCs w:val="18"/>
              </w:rPr>
            </w:pPr>
            <w:r w:rsidRPr="003462D1">
              <w:rPr>
                <w:rFonts w:cs="Times New Roman"/>
                <w:sz w:val="20"/>
                <w:szCs w:val="18"/>
              </w:rPr>
              <w:t>0,00</w:t>
            </w:r>
          </w:p>
        </w:tc>
        <w:tc>
          <w:tcPr>
            <w:tcW w:w="846" w:type="pct"/>
            <w:vAlign w:val="center"/>
          </w:tcPr>
          <w:p w14:paraId="69D5D2E3" w14:textId="472C1CB2" w:rsidR="008F288C" w:rsidRPr="003462D1" w:rsidRDefault="008F288C" w:rsidP="00D36147">
            <w:pPr>
              <w:spacing w:line="276" w:lineRule="auto"/>
              <w:jc w:val="center"/>
              <w:rPr>
                <w:rFonts w:cs="Times New Roman"/>
                <w:sz w:val="20"/>
                <w:szCs w:val="18"/>
              </w:rPr>
            </w:pPr>
            <w:r w:rsidRPr="003462D1">
              <w:rPr>
                <w:rFonts w:cs="Times New Roman"/>
                <w:sz w:val="20"/>
                <w:szCs w:val="18"/>
              </w:rPr>
              <w:t>0,00</w:t>
            </w:r>
          </w:p>
        </w:tc>
      </w:tr>
      <w:tr w:rsidR="003462D1" w:rsidRPr="003462D1" w14:paraId="081695C4" w14:textId="77777777" w:rsidTr="00CA40F2">
        <w:trPr>
          <w:jc w:val="center"/>
        </w:trPr>
        <w:tc>
          <w:tcPr>
            <w:tcW w:w="1768" w:type="pct"/>
            <w:vMerge w:val="restart"/>
            <w:shd w:val="clear" w:color="auto" w:fill="F2F2F2" w:themeFill="background1" w:themeFillShade="F2"/>
            <w:vAlign w:val="center"/>
          </w:tcPr>
          <w:p w14:paraId="13C56116" w14:textId="77777777" w:rsidR="008F288C" w:rsidRPr="003462D1" w:rsidRDefault="008F288C" w:rsidP="004A3B23">
            <w:pPr>
              <w:spacing w:line="276" w:lineRule="auto"/>
              <w:rPr>
                <w:rFonts w:cs="Times New Roman"/>
                <w:b/>
                <w:bCs/>
                <w:sz w:val="20"/>
                <w:szCs w:val="18"/>
              </w:rPr>
            </w:pPr>
            <w:r w:rsidRPr="003462D1">
              <w:rPr>
                <w:rFonts w:cs="Times New Roman"/>
                <w:b/>
                <w:bCs/>
                <w:sz w:val="20"/>
                <w:szCs w:val="18"/>
              </w:rPr>
              <w:t xml:space="preserve">UKUPNO UTROŠENA SREDSTVA PO IZVORU </w:t>
            </w:r>
          </w:p>
        </w:tc>
        <w:tc>
          <w:tcPr>
            <w:tcW w:w="1231" w:type="pct"/>
            <w:vAlign w:val="center"/>
          </w:tcPr>
          <w:p w14:paraId="162A5293" w14:textId="77777777" w:rsidR="008F288C" w:rsidRPr="003462D1" w:rsidRDefault="008F288C" w:rsidP="00AB12E9">
            <w:pPr>
              <w:spacing w:line="276" w:lineRule="auto"/>
              <w:jc w:val="center"/>
              <w:rPr>
                <w:rFonts w:cs="Times New Roman"/>
                <w:b/>
                <w:bCs/>
                <w:sz w:val="20"/>
                <w:szCs w:val="18"/>
              </w:rPr>
            </w:pPr>
            <w:r w:rsidRPr="003462D1">
              <w:rPr>
                <w:rFonts w:cs="Times New Roman"/>
                <w:b/>
                <w:bCs/>
                <w:sz w:val="20"/>
                <w:szCs w:val="18"/>
              </w:rPr>
              <w:t>Državni proračun (EUR)</w:t>
            </w:r>
          </w:p>
        </w:tc>
        <w:tc>
          <w:tcPr>
            <w:tcW w:w="1155" w:type="pct"/>
            <w:vAlign w:val="center"/>
          </w:tcPr>
          <w:p w14:paraId="70AE931D" w14:textId="77777777" w:rsidR="008F288C" w:rsidRPr="003462D1" w:rsidRDefault="008F288C" w:rsidP="00D36147">
            <w:pPr>
              <w:spacing w:line="276" w:lineRule="auto"/>
              <w:jc w:val="center"/>
              <w:rPr>
                <w:rFonts w:cs="Times New Roman"/>
                <w:b/>
                <w:bCs/>
                <w:sz w:val="20"/>
                <w:szCs w:val="18"/>
              </w:rPr>
            </w:pPr>
            <w:r w:rsidRPr="003462D1">
              <w:rPr>
                <w:rFonts w:cs="Times New Roman"/>
                <w:b/>
                <w:bCs/>
                <w:sz w:val="20"/>
                <w:szCs w:val="18"/>
              </w:rPr>
              <w:t>EU financiranje (EUR)</w:t>
            </w:r>
          </w:p>
        </w:tc>
        <w:tc>
          <w:tcPr>
            <w:tcW w:w="846" w:type="pct"/>
            <w:vAlign w:val="center"/>
          </w:tcPr>
          <w:p w14:paraId="744EA4D6" w14:textId="026FC5E4" w:rsidR="008F288C" w:rsidRPr="003462D1" w:rsidRDefault="008F288C" w:rsidP="00D36147">
            <w:pPr>
              <w:spacing w:line="276" w:lineRule="auto"/>
              <w:jc w:val="center"/>
              <w:rPr>
                <w:rFonts w:cs="Times New Roman"/>
                <w:b/>
                <w:bCs/>
                <w:sz w:val="20"/>
                <w:szCs w:val="18"/>
              </w:rPr>
            </w:pPr>
            <w:r w:rsidRPr="003462D1">
              <w:rPr>
                <w:rFonts w:cs="Times New Roman"/>
                <w:b/>
                <w:bCs/>
                <w:sz w:val="20"/>
                <w:szCs w:val="18"/>
              </w:rPr>
              <w:t>Drugi izvori</w:t>
            </w:r>
            <w:r w:rsidR="005275C8" w:rsidRPr="003462D1">
              <w:rPr>
                <w:rFonts w:cs="Times New Roman"/>
                <w:b/>
                <w:bCs/>
                <w:sz w:val="20"/>
                <w:szCs w:val="18"/>
              </w:rPr>
              <w:t xml:space="preserve"> </w:t>
            </w:r>
            <w:r w:rsidRPr="003462D1">
              <w:rPr>
                <w:rFonts w:cs="Times New Roman"/>
                <w:b/>
                <w:bCs/>
                <w:sz w:val="20"/>
                <w:szCs w:val="18"/>
              </w:rPr>
              <w:t>(EUR)</w:t>
            </w:r>
          </w:p>
        </w:tc>
      </w:tr>
      <w:tr w:rsidR="003462D1" w:rsidRPr="003462D1" w14:paraId="2905B1A0" w14:textId="77777777" w:rsidTr="00CA40F2">
        <w:trPr>
          <w:jc w:val="center"/>
        </w:trPr>
        <w:tc>
          <w:tcPr>
            <w:tcW w:w="1768" w:type="pct"/>
            <w:vMerge/>
            <w:shd w:val="clear" w:color="auto" w:fill="F2F2F2" w:themeFill="background1" w:themeFillShade="F2"/>
            <w:vAlign w:val="center"/>
          </w:tcPr>
          <w:p w14:paraId="657C2298" w14:textId="77777777" w:rsidR="008F288C" w:rsidRPr="003462D1" w:rsidRDefault="008F288C" w:rsidP="00D36147">
            <w:pPr>
              <w:spacing w:line="276" w:lineRule="auto"/>
              <w:rPr>
                <w:rFonts w:cs="Times New Roman"/>
                <w:b/>
                <w:bCs/>
                <w:sz w:val="20"/>
                <w:szCs w:val="18"/>
              </w:rPr>
            </w:pPr>
          </w:p>
        </w:tc>
        <w:tc>
          <w:tcPr>
            <w:tcW w:w="1231" w:type="pct"/>
            <w:vAlign w:val="center"/>
          </w:tcPr>
          <w:p w14:paraId="6648095E" w14:textId="5BE690B8" w:rsidR="008F288C" w:rsidRPr="003462D1" w:rsidRDefault="000B0BF7" w:rsidP="00A75D55">
            <w:pPr>
              <w:spacing w:line="276" w:lineRule="auto"/>
              <w:jc w:val="center"/>
              <w:rPr>
                <w:rFonts w:cs="Times New Roman"/>
                <w:b/>
                <w:bCs/>
                <w:sz w:val="20"/>
                <w:szCs w:val="18"/>
              </w:rPr>
            </w:pPr>
            <w:r w:rsidRPr="003462D1">
              <w:rPr>
                <w:rFonts w:cs="Times New Roman"/>
                <w:bCs/>
                <w:sz w:val="20"/>
                <w:szCs w:val="18"/>
              </w:rPr>
              <w:t xml:space="preserve">A509000 </w:t>
            </w:r>
            <w:r w:rsidR="00CD78EF" w:rsidRPr="003462D1">
              <w:rPr>
                <w:rFonts w:cs="Times New Roman"/>
                <w:bCs/>
                <w:sz w:val="20"/>
                <w:szCs w:val="18"/>
              </w:rPr>
              <w:t xml:space="preserve">- </w:t>
            </w:r>
            <w:r w:rsidR="008F288C" w:rsidRPr="003462D1">
              <w:rPr>
                <w:rFonts w:cs="Times New Roman"/>
                <w:bCs/>
                <w:sz w:val="20"/>
                <w:szCs w:val="18"/>
              </w:rPr>
              <w:t>Administracija i</w:t>
            </w:r>
            <w:r w:rsidR="00A75D55" w:rsidRPr="003462D1">
              <w:rPr>
                <w:rFonts w:cs="Times New Roman"/>
                <w:bCs/>
                <w:sz w:val="20"/>
                <w:szCs w:val="18"/>
              </w:rPr>
              <w:t xml:space="preserve"> </w:t>
            </w:r>
            <w:r w:rsidR="008F288C" w:rsidRPr="003462D1">
              <w:rPr>
                <w:rFonts w:cs="Times New Roman"/>
                <w:bCs/>
                <w:sz w:val="20"/>
                <w:szCs w:val="18"/>
              </w:rPr>
              <w:t>upravljanje</w:t>
            </w:r>
            <w:r w:rsidR="00A75D55" w:rsidRPr="003462D1">
              <w:rPr>
                <w:rFonts w:cs="Times New Roman"/>
                <w:b/>
                <w:bCs/>
                <w:sz w:val="20"/>
                <w:szCs w:val="18"/>
              </w:rPr>
              <w:t xml:space="preserve"> </w:t>
            </w:r>
            <w:r w:rsidR="008F288C" w:rsidRPr="003462D1">
              <w:rPr>
                <w:rFonts w:cs="Times New Roman"/>
                <w:b/>
                <w:bCs/>
                <w:sz w:val="20"/>
                <w:szCs w:val="18"/>
              </w:rPr>
              <w:t>0,00</w:t>
            </w:r>
          </w:p>
        </w:tc>
        <w:tc>
          <w:tcPr>
            <w:tcW w:w="1155" w:type="pct"/>
            <w:vAlign w:val="center"/>
          </w:tcPr>
          <w:p w14:paraId="749C476B" w14:textId="77777777" w:rsidR="008F288C" w:rsidRPr="003462D1" w:rsidRDefault="008F288C" w:rsidP="00D36147">
            <w:pPr>
              <w:spacing w:line="276" w:lineRule="auto"/>
              <w:jc w:val="center"/>
              <w:rPr>
                <w:rFonts w:cs="Times New Roman"/>
                <w:b/>
                <w:bCs/>
                <w:sz w:val="20"/>
                <w:szCs w:val="18"/>
              </w:rPr>
            </w:pPr>
            <w:r w:rsidRPr="003462D1">
              <w:rPr>
                <w:rFonts w:cs="Times New Roman"/>
                <w:b/>
                <w:bCs/>
                <w:sz w:val="20"/>
                <w:szCs w:val="18"/>
              </w:rPr>
              <w:t xml:space="preserve">0,00 </w:t>
            </w:r>
          </w:p>
        </w:tc>
        <w:tc>
          <w:tcPr>
            <w:tcW w:w="846" w:type="pct"/>
            <w:vAlign w:val="center"/>
          </w:tcPr>
          <w:p w14:paraId="2A6CBFC5" w14:textId="77777777" w:rsidR="008F288C" w:rsidRPr="003462D1" w:rsidRDefault="008F288C" w:rsidP="00D36147">
            <w:pPr>
              <w:spacing w:line="276" w:lineRule="auto"/>
              <w:jc w:val="center"/>
              <w:rPr>
                <w:rFonts w:cs="Times New Roman"/>
                <w:b/>
                <w:bCs/>
                <w:sz w:val="20"/>
                <w:szCs w:val="18"/>
              </w:rPr>
            </w:pPr>
            <w:r w:rsidRPr="003462D1">
              <w:rPr>
                <w:rFonts w:cs="Times New Roman"/>
                <w:b/>
                <w:bCs/>
                <w:sz w:val="20"/>
                <w:szCs w:val="18"/>
              </w:rPr>
              <w:t xml:space="preserve">0,00 </w:t>
            </w:r>
          </w:p>
        </w:tc>
      </w:tr>
      <w:tr w:rsidR="003462D1" w:rsidRPr="003462D1" w14:paraId="5C1D1A36" w14:textId="77777777" w:rsidTr="00CA40F2">
        <w:trPr>
          <w:trHeight w:val="400"/>
          <w:jc w:val="center"/>
        </w:trPr>
        <w:tc>
          <w:tcPr>
            <w:tcW w:w="1768" w:type="pct"/>
            <w:shd w:val="clear" w:color="auto" w:fill="F2F2F2" w:themeFill="background1" w:themeFillShade="F2"/>
            <w:vAlign w:val="center"/>
          </w:tcPr>
          <w:p w14:paraId="5A7BFE6C" w14:textId="2AC14F07" w:rsidR="008F288C" w:rsidRPr="003462D1" w:rsidRDefault="008F288C" w:rsidP="004A3B23">
            <w:pPr>
              <w:spacing w:line="276" w:lineRule="auto"/>
              <w:rPr>
                <w:rFonts w:cs="Times New Roman"/>
                <w:sz w:val="20"/>
                <w:szCs w:val="18"/>
              </w:rPr>
            </w:pPr>
            <w:r w:rsidRPr="003462D1">
              <w:rPr>
                <w:rFonts w:cs="Times New Roman"/>
                <w:sz w:val="20"/>
                <w:szCs w:val="18"/>
              </w:rPr>
              <w:t>ROK PROVEDBE AKTIVNOSTI</w:t>
            </w:r>
          </w:p>
        </w:tc>
        <w:tc>
          <w:tcPr>
            <w:tcW w:w="3232" w:type="pct"/>
            <w:gridSpan w:val="3"/>
            <w:vAlign w:val="center"/>
          </w:tcPr>
          <w:p w14:paraId="61DC5105" w14:textId="0FC45472" w:rsidR="008F288C" w:rsidRPr="003462D1" w:rsidRDefault="00231D6B" w:rsidP="00AB12E9">
            <w:pPr>
              <w:spacing w:line="276" w:lineRule="auto"/>
              <w:rPr>
                <w:rFonts w:cs="Times New Roman"/>
                <w:sz w:val="20"/>
                <w:szCs w:val="18"/>
              </w:rPr>
            </w:pPr>
            <w:r w:rsidRPr="003462D1">
              <w:rPr>
                <w:rFonts w:cs="Times New Roman"/>
                <w:sz w:val="20"/>
                <w:szCs w:val="18"/>
              </w:rPr>
              <w:t>IV. kvartal 2025.</w:t>
            </w:r>
          </w:p>
        </w:tc>
      </w:tr>
    </w:tbl>
    <w:p w14:paraId="20BB95C1" w14:textId="3D107E65" w:rsidR="008F288C" w:rsidRPr="003462D1" w:rsidRDefault="008F288C" w:rsidP="004A3B23">
      <w:pPr>
        <w:spacing w:after="0" w:line="276" w:lineRule="auto"/>
        <w:jc w:val="both"/>
        <w:rPr>
          <w:rFonts w:cs="Times New Roman"/>
          <w:szCs w:val="24"/>
        </w:rPr>
      </w:pPr>
    </w:p>
    <w:p w14:paraId="67144371" w14:textId="122F8250" w:rsidR="00E5482D" w:rsidRPr="003462D1" w:rsidRDefault="00E5482D">
      <w:pPr>
        <w:rPr>
          <w:rFonts w:cs="Times New Roman"/>
          <w:i/>
          <w:iCs/>
          <w:szCs w:val="24"/>
        </w:rPr>
      </w:pPr>
    </w:p>
    <w:p w14:paraId="5E422B7F" w14:textId="6CF0A5C4" w:rsidR="00024EF9" w:rsidRPr="00FC64BF" w:rsidRDefault="004F7519" w:rsidP="00AB12E9">
      <w:pPr>
        <w:spacing w:after="0" w:line="276" w:lineRule="auto"/>
        <w:jc w:val="both"/>
        <w:rPr>
          <w:rFonts w:cs="Times New Roman"/>
          <w:i/>
          <w:iCs/>
          <w:szCs w:val="24"/>
        </w:rPr>
      </w:pPr>
      <w:r w:rsidRPr="00FC64BF">
        <w:rPr>
          <w:rFonts w:cs="Times New Roman"/>
          <w:i/>
          <w:iCs/>
          <w:szCs w:val="24"/>
        </w:rPr>
        <w:t xml:space="preserve">Aktivnost </w:t>
      </w:r>
      <w:r w:rsidR="00FC7E07" w:rsidRPr="00FC64BF">
        <w:rPr>
          <w:rFonts w:cs="Times New Roman"/>
          <w:i/>
          <w:iCs/>
          <w:szCs w:val="24"/>
        </w:rPr>
        <w:t>2.1.</w:t>
      </w:r>
      <w:r w:rsidR="00B40118" w:rsidRPr="00FC64BF">
        <w:rPr>
          <w:rFonts w:cs="Times New Roman"/>
          <w:i/>
          <w:iCs/>
          <w:szCs w:val="24"/>
        </w:rPr>
        <w:t>2</w:t>
      </w:r>
      <w:r w:rsidR="00FC7E07" w:rsidRPr="00FC64BF">
        <w:rPr>
          <w:rFonts w:cs="Times New Roman"/>
          <w:i/>
          <w:iCs/>
          <w:szCs w:val="24"/>
        </w:rPr>
        <w:t>.</w:t>
      </w:r>
      <w:r w:rsidRPr="00FC64BF">
        <w:rPr>
          <w:rFonts w:cs="Times New Roman"/>
          <w:i/>
          <w:iCs/>
          <w:szCs w:val="24"/>
        </w:rPr>
        <w:t xml:space="preserve"> </w:t>
      </w:r>
      <w:r w:rsidR="00FC7E07" w:rsidRPr="00FC64BF">
        <w:rPr>
          <w:rFonts w:cs="Times New Roman"/>
          <w:i/>
          <w:iCs/>
          <w:szCs w:val="24"/>
        </w:rPr>
        <w:t>Sufinancirati programe i projekte romskih udruga i udruga koje provode aktivnosti usmjerene na poboljšanje života romske nacionalne manjine</w:t>
      </w:r>
      <w:r w:rsidR="00B40118" w:rsidRPr="00FC64BF">
        <w:rPr>
          <w:rFonts w:cs="Times New Roman"/>
          <w:i/>
          <w:szCs w:val="20"/>
        </w:rPr>
        <w:t xml:space="preserve"> koji su financirani iz fondova EU i inozemnih fondova</w:t>
      </w:r>
    </w:p>
    <w:p w14:paraId="7051C78B" w14:textId="0C39C5F6" w:rsidR="00D62CA0" w:rsidRPr="00FC64BF" w:rsidRDefault="00024EF9" w:rsidP="00D36147">
      <w:pPr>
        <w:spacing w:after="0" w:line="276" w:lineRule="auto"/>
        <w:jc w:val="both"/>
        <w:rPr>
          <w:rFonts w:cs="Times New Roman"/>
          <w:i/>
          <w:iCs/>
          <w:szCs w:val="24"/>
        </w:rPr>
      </w:pPr>
      <w:r w:rsidRPr="00FC64BF">
        <w:rPr>
          <w:rFonts w:cs="Times New Roman"/>
          <w:i/>
          <w:iCs/>
          <w:szCs w:val="24"/>
        </w:rPr>
        <w:t xml:space="preserve">Nositelj provedbe: Ured za udruge </w:t>
      </w:r>
    </w:p>
    <w:p w14:paraId="3BC25AEB" w14:textId="77777777" w:rsidR="005A6860" w:rsidRPr="00FC64BF" w:rsidRDefault="005A6860" w:rsidP="00D36147">
      <w:pPr>
        <w:spacing w:after="0" w:line="276" w:lineRule="auto"/>
        <w:jc w:val="both"/>
        <w:rPr>
          <w:rFonts w:cs="Times New Roman"/>
          <w:i/>
          <w:iCs/>
          <w:szCs w:val="24"/>
        </w:rPr>
      </w:pPr>
    </w:p>
    <w:p w14:paraId="4FD1E973" w14:textId="3DFA3E6C" w:rsidR="00577E76" w:rsidRPr="00FC64BF" w:rsidRDefault="001671E0" w:rsidP="004A3B23">
      <w:pPr>
        <w:spacing w:after="0" w:line="276" w:lineRule="auto"/>
        <w:jc w:val="both"/>
        <w:rPr>
          <w:rFonts w:cs="Times New Roman"/>
        </w:rPr>
      </w:pPr>
      <w:r w:rsidRPr="00FC64BF">
        <w:rPr>
          <w:rFonts w:cs="Times New Roman"/>
          <w:szCs w:val="24"/>
        </w:rPr>
        <w:t>U okviru Javnog poziva Ureda za udruge za sufinanciranje projekata ugovorenih u okviru EU i inozemnih programa, u 2024.</w:t>
      </w:r>
      <w:r w:rsidR="003379F1">
        <w:rPr>
          <w:rFonts w:cs="Times New Roman"/>
          <w:szCs w:val="24"/>
        </w:rPr>
        <w:t xml:space="preserve"> </w:t>
      </w:r>
      <w:r w:rsidR="008942A2">
        <w:rPr>
          <w:rFonts w:cs="Times New Roman"/>
          <w:szCs w:val="24"/>
        </w:rPr>
        <w:t xml:space="preserve">godini </w:t>
      </w:r>
      <w:r w:rsidRPr="00FC64BF">
        <w:rPr>
          <w:rFonts w:cs="Times New Roman"/>
          <w:szCs w:val="24"/>
        </w:rPr>
        <w:t xml:space="preserve">sufinanciran je jedan projekt i to Saveza Roma u Republici Hrvatskoj </w:t>
      </w:r>
      <w:r w:rsidR="008942A2">
        <w:rPr>
          <w:rFonts w:cs="Times New Roman"/>
          <w:szCs w:val="24"/>
        </w:rPr>
        <w:t>„</w:t>
      </w:r>
      <w:r w:rsidRPr="00FC64BF">
        <w:rPr>
          <w:rFonts w:cs="Times New Roman"/>
          <w:szCs w:val="24"/>
        </w:rPr>
        <w:t>Kali Sara</w:t>
      </w:r>
      <w:r w:rsidR="008942A2">
        <w:rPr>
          <w:rFonts w:cs="Times New Roman"/>
          <w:szCs w:val="24"/>
        </w:rPr>
        <w:t>“</w:t>
      </w:r>
      <w:r w:rsidRPr="00FC64BF">
        <w:rPr>
          <w:rFonts w:cs="Times New Roman"/>
          <w:szCs w:val="24"/>
        </w:rPr>
        <w:t xml:space="preserve"> s temom: Radionice o romskoj kulturi, jeziku i povijesti te pripremanje i izvođenje kazališnog ulomka o stradanju Roma u Drugom svjetskom ratu u tri države: Španjolskoj, Italiji i Hrvatskoj s posebnim naglaskom na jezični genocid koji je proizašao iz povijesnih događanja.</w:t>
      </w:r>
    </w:p>
    <w:p w14:paraId="42F5BD2A" w14:textId="5E9688CB" w:rsidR="00577E76" w:rsidRPr="00FC64BF" w:rsidRDefault="00577E76" w:rsidP="00AB12E9">
      <w:pPr>
        <w:spacing w:after="0" w:line="276" w:lineRule="auto"/>
        <w:jc w:val="both"/>
        <w:rPr>
          <w:rFonts w:cs="Times New Roman"/>
          <w:szCs w:val="24"/>
        </w:rPr>
      </w:pPr>
    </w:p>
    <w:tbl>
      <w:tblPr>
        <w:tblStyle w:val="TableGrid"/>
        <w:tblW w:w="9209" w:type="dxa"/>
        <w:jc w:val="center"/>
        <w:tblLayout w:type="fixed"/>
        <w:tblLook w:val="04A0" w:firstRow="1" w:lastRow="0" w:firstColumn="1" w:lastColumn="0" w:noHBand="0" w:noVBand="1"/>
      </w:tblPr>
      <w:tblGrid>
        <w:gridCol w:w="3114"/>
        <w:gridCol w:w="2551"/>
        <w:gridCol w:w="1843"/>
        <w:gridCol w:w="1701"/>
      </w:tblGrid>
      <w:tr w:rsidR="00CE622A" w:rsidRPr="0081705D" w14:paraId="2F3EA15E" w14:textId="77777777" w:rsidTr="00D36147">
        <w:trPr>
          <w:trHeight w:val="651"/>
          <w:jc w:val="center"/>
        </w:trPr>
        <w:tc>
          <w:tcPr>
            <w:tcW w:w="3114" w:type="dxa"/>
            <w:shd w:val="clear" w:color="auto" w:fill="F2F2F2" w:themeFill="background1" w:themeFillShade="F2"/>
            <w:vAlign w:val="center"/>
          </w:tcPr>
          <w:p w14:paraId="68C623BA" w14:textId="1959435B" w:rsidR="00022F58" w:rsidRPr="00FC64BF" w:rsidRDefault="00B510B5" w:rsidP="00D36147">
            <w:pPr>
              <w:rPr>
                <w:rFonts w:cs="Times New Roman"/>
                <w:b/>
                <w:sz w:val="20"/>
                <w:szCs w:val="20"/>
              </w:rPr>
            </w:pPr>
            <w:r w:rsidRPr="00FC64BF">
              <w:rPr>
                <w:rFonts w:cs="Times New Roman"/>
                <w:b/>
                <w:sz w:val="20"/>
                <w:szCs w:val="20"/>
              </w:rPr>
              <w:t>Pokazatelji provedbe i pokazatelji uspješnosti provedbe</w:t>
            </w:r>
          </w:p>
        </w:tc>
        <w:tc>
          <w:tcPr>
            <w:tcW w:w="6095" w:type="dxa"/>
            <w:gridSpan w:val="3"/>
            <w:shd w:val="clear" w:color="auto" w:fill="F2F2F2" w:themeFill="background1" w:themeFillShade="F2"/>
            <w:vAlign w:val="center"/>
          </w:tcPr>
          <w:p w14:paraId="145580E6" w14:textId="0A3160BA" w:rsidR="00022F58" w:rsidRPr="00FC64BF" w:rsidRDefault="00022F58" w:rsidP="00D36147">
            <w:pPr>
              <w:jc w:val="center"/>
              <w:rPr>
                <w:rFonts w:cs="Times New Roman"/>
                <w:b/>
                <w:sz w:val="20"/>
                <w:szCs w:val="20"/>
              </w:rPr>
            </w:pPr>
            <w:r w:rsidRPr="00FC64BF">
              <w:rPr>
                <w:rFonts w:cs="Times New Roman"/>
                <w:b/>
                <w:sz w:val="20"/>
                <w:szCs w:val="20"/>
              </w:rPr>
              <w:t>Broj i iznos dodijeljenih potpora</w:t>
            </w:r>
          </w:p>
        </w:tc>
      </w:tr>
      <w:tr w:rsidR="00CE622A" w:rsidRPr="0081705D" w14:paraId="3741A1A1" w14:textId="77777777" w:rsidTr="00D36147">
        <w:trPr>
          <w:jc w:val="center"/>
        </w:trPr>
        <w:tc>
          <w:tcPr>
            <w:tcW w:w="3114" w:type="dxa"/>
            <w:shd w:val="clear" w:color="auto" w:fill="F2F2F2" w:themeFill="background1" w:themeFillShade="F2"/>
            <w:vAlign w:val="center"/>
          </w:tcPr>
          <w:p w14:paraId="10C15444" w14:textId="5F7AF7F8" w:rsidR="00022F58" w:rsidRPr="00FC64BF" w:rsidRDefault="00022F58" w:rsidP="0072307D">
            <w:pPr>
              <w:rPr>
                <w:rFonts w:cs="Times New Roman"/>
                <w:sz w:val="20"/>
                <w:szCs w:val="20"/>
              </w:rPr>
            </w:pPr>
            <w:r w:rsidRPr="00FC64BF">
              <w:rPr>
                <w:rFonts w:cs="Times New Roman"/>
                <w:sz w:val="20"/>
                <w:szCs w:val="20"/>
              </w:rPr>
              <w:t>Planirani ishodi za pokazatelje provedbe u 202</w:t>
            </w:r>
            <w:r w:rsidR="000F2491" w:rsidRPr="00FC64BF">
              <w:rPr>
                <w:rFonts w:cs="Times New Roman"/>
                <w:sz w:val="20"/>
                <w:szCs w:val="20"/>
              </w:rPr>
              <w:t>4</w:t>
            </w:r>
            <w:r w:rsidRPr="00FC64BF">
              <w:rPr>
                <w:rFonts w:cs="Times New Roman"/>
                <w:sz w:val="20"/>
                <w:szCs w:val="20"/>
              </w:rPr>
              <w:t>.</w:t>
            </w:r>
          </w:p>
        </w:tc>
        <w:tc>
          <w:tcPr>
            <w:tcW w:w="6095" w:type="dxa"/>
            <w:gridSpan w:val="3"/>
            <w:vAlign w:val="center"/>
          </w:tcPr>
          <w:p w14:paraId="66286899" w14:textId="4B5CE01D" w:rsidR="00022F58" w:rsidRPr="00FC64BF" w:rsidRDefault="00022F58" w:rsidP="00D36147">
            <w:pPr>
              <w:jc w:val="center"/>
              <w:rPr>
                <w:rFonts w:cs="Times New Roman"/>
                <w:sz w:val="20"/>
                <w:szCs w:val="20"/>
              </w:rPr>
            </w:pPr>
            <w:r w:rsidRPr="00FC64BF">
              <w:rPr>
                <w:rFonts w:cs="Times New Roman"/>
                <w:sz w:val="20"/>
                <w:szCs w:val="20"/>
              </w:rPr>
              <w:t>2</w:t>
            </w:r>
          </w:p>
        </w:tc>
      </w:tr>
      <w:tr w:rsidR="00CE622A" w:rsidRPr="0081705D" w14:paraId="09F589FC" w14:textId="77777777" w:rsidTr="00D36147">
        <w:trPr>
          <w:jc w:val="center"/>
        </w:trPr>
        <w:tc>
          <w:tcPr>
            <w:tcW w:w="3114" w:type="dxa"/>
            <w:shd w:val="clear" w:color="auto" w:fill="F2F2F2" w:themeFill="background1" w:themeFillShade="F2"/>
            <w:vAlign w:val="center"/>
          </w:tcPr>
          <w:p w14:paraId="6BE2747A" w14:textId="0B87BD10" w:rsidR="00022F58" w:rsidRPr="00FC64BF" w:rsidRDefault="00022F58" w:rsidP="0072307D">
            <w:pPr>
              <w:rPr>
                <w:rFonts w:cs="Times New Roman"/>
                <w:sz w:val="20"/>
                <w:szCs w:val="20"/>
              </w:rPr>
            </w:pPr>
            <w:r w:rsidRPr="00FC64BF">
              <w:rPr>
                <w:rFonts w:cs="Times New Roman"/>
                <w:sz w:val="20"/>
                <w:szCs w:val="20"/>
              </w:rPr>
              <w:t>Ostvareni ishodi za pokazatelje provedbe u 202</w:t>
            </w:r>
            <w:r w:rsidR="000F2491" w:rsidRPr="00FC64BF">
              <w:rPr>
                <w:rFonts w:cs="Times New Roman"/>
                <w:sz w:val="20"/>
                <w:szCs w:val="20"/>
              </w:rPr>
              <w:t>4</w:t>
            </w:r>
            <w:r w:rsidRPr="00FC64BF">
              <w:rPr>
                <w:rFonts w:cs="Times New Roman"/>
                <w:sz w:val="20"/>
                <w:szCs w:val="20"/>
              </w:rPr>
              <w:t xml:space="preserve">. </w:t>
            </w:r>
          </w:p>
        </w:tc>
        <w:tc>
          <w:tcPr>
            <w:tcW w:w="6095" w:type="dxa"/>
            <w:gridSpan w:val="3"/>
            <w:vAlign w:val="center"/>
          </w:tcPr>
          <w:p w14:paraId="699B681A" w14:textId="17AD76FC" w:rsidR="00022F58" w:rsidRPr="00FC64BF" w:rsidRDefault="000F2491" w:rsidP="00D36147">
            <w:pPr>
              <w:jc w:val="center"/>
              <w:rPr>
                <w:rFonts w:cs="Times New Roman"/>
                <w:sz w:val="20"/>
                <w:szCs w:val="20"/>
              </w:rPr>
            </w:pPr>
            <w:r w:rsidRPr="00FC64BF">
              <w:rPr>
                <w:rFonts w:cs="Times New Roman"/>
                <w:sz w:val="20"/>
                <w:szCs w:val="20"/>
              </w:rPr>
              <w:t>1</w:t>
            </w:r>
          </w:p>
        </w:tc>
      </w:tr>
      <w:tr w:rsidR="00CE622A" w:rsidRPr="0081705D" w14:paraId="10033839" w14:textId="77777777" w:rsidTr="00D36147">
        <w:trPr>
          <w:jc w:val="center"/>
        </w:trPr>
        <w:tc>
          <w:tcPr>
            <w:tcW w:w="3114" w:type="dxa"/>
            <w:shd w:val="clear" w:color="auto" w:fill="F2F2F2" w:themeFill="background1" w:themeFillShade="F2"/>
            <w:vAlign w:val="center"/>
          </w:tcPr>
          <w:p w14:paraId="2BBB488A" w14:textId="77777777" w:rsidR="00022F58" w:rsidRPr="00FC64BF" w:rsidRDefault="00022F58" w:rsidP="00D36147">
            <w:pPr>
              <w:rPr>
                <w:rFonts w:cs="Times New Roman"/>
                <w:b/>
                <w:sz w:val="20"/>
                <w:szCs w:val="20"/>
              </w:rPr>
            </w:pPr>
            <w:r w:rsidRPr="00FC64BF">
              <w:rPr>
                <w:rFonts w:cs="Times New Roman"/>
                <w:b/>
                <w:sz w:val="20"/>
                <w:szCs w:val="20"/>
              </w:rPr>
              <w:t>IZVORI FINANCIRANJA</w:t>
            </w:r>
          </w:p>
        </w:tc>
        <w:tc>
          <w:tcPr>
            <w:tcW w:w="2551" w:type="dxa"/>
            <w:vAlign w:val="center"/>
          </w:tcPr>
          <w:p w14:paraId="4ADA8E41" w14:textId="77777777" w:rsidR="00022F58" w:rsidRPr="00FC64BF" w:rsidRDefault="00022F58" w:rsidP="00D36147">
            <w:pPr>
              <w:jc w:val="center"/>
              <w:rPr>
                <w:rFonts w:cs="Times New Roman"/>
                <w:b/>
                <w:sz w:val="20"/>
                <w:szCs w:val="20"/>
              </w:rPr>
            </w:pPr>
            <w:r w:rsidRPr="00FC64BF">
              <w:rPr>
                <w:rFonts w:cs="Times New Roman"/>
                <w:b/>
                <w:sz w:val="20"/>
                <w:szCs w:val="20"/>
              </w:rPr>
              <w:t>Državni proračun (EUR)</w:t>
            </w:r>
          </w:p>
        </w:tc>
        <w:tc>
          <w:tcPr>
            <w:tcW w:w="1843" w:type="dxa"/>
            <w:vAlign w:val="center"/>
          </w:tcPr>
          <w:p w14:paraId="3D902F53" w14:textId="63A8842F" w:rsidR="00022F58" w:rsidRPr="00FC64BF" w:rsidRDefault="00022F58" w:rsidP="00D36147">
            <w:pPr>
              <w:jc w:val="center"/>
              <w:rPr>
                <w:rFonts w:cs="Times New Roman"/>
                <w:b/>
                <w:sz w:val="20"/>
                <w:szCs w:val="20"/>
              </w:rPr>
            </w:pPr>
            <w:r w:rsidRPr="00FC64BF">
              <w:rPr>
                <w:rFonts w:cs="Times New Roman"/>
                <w:b/>
                <w:sz w:val="20"/>
                <w:szCs w:val="20"/>
              </w:rPr>
              <w:t>EU financiranje</w:t>
            </w:r>
            <w:r w:rsidR="005275C8" w:rsidRPr="00FC64BF">
              <w:rPr>
                <w:rFonts w:cs="Times New Roman"/>
                <w:b/>
                <w:sz w:val="20"/>
                <w:szCs w:val="20"/>
              </w:rPr>
              <w:t xml:space="preserve"> (</w:t>
            </w:r>
            <w:r w:rsidRPr="00FC64BF">
              <w:rPr>
                <w:rFonts w:cs="Times New Roman"/>
                <w:b/>
                <w:sz w:val="20"/>
                <w:szCs w:val="20"/>
              </w:rPr>
              <w:t>EUR)</w:t>
            </w:r>
          </w:p>
        </w:tc>
        <w:tc>
          <w:tcPr>
            <w:tcW w:w="1701" w:type="dxa"/>
            <w:vAlign w:val="center"/>
          </w:tcPr>
          <w:p w14:paraId="5F746994" w14:textId="01252A43" w:rsidR="00022F58" w:rsidRPr="00FC64BF" w:rsidRDefault="00022F58" w:rsidP="00D36147">
            <w:pPr>
              <w:jc w:val="center"/>
              <w:rPr>
                <w:rFonts w:cs="Times New Roman"/>
                <w:b/>
                <w:sz w:val="20"/>
                <w:szCs w:val="20"/>
              </w:rPr>
            </w:pPr>
            <w:r w:rsidRPr="00FC64BF">
              <w:rPr>
                <w:rFonts w:cs="Times New Roman"/>
                <w:b/>
                <w:sz w:val="20"/>
                <w:szCs w:val="20"/>
              </w:rPr>
              <w:t>Drugi izvori</w:t>
            </w:r>
            <w:r w:rsidR="005275C8" w:rsidRPr="00FC64BF">
              <w:rPr>
                <w:rFonts w:cs="Times New Roman"/>
                <w:b/>
                <w:sz w:val="20"/>
                <w:szCs w:val="20"/>
              </w:rPr>
              <w:t xml:space="preserve"> </w:t>
            </w:r>
            <w:r w:rsidRPr="00FC64BF">
              <w:rPr>
                <w:rFonts w:cs="Times New Roman"/>
                <w:b/>
                <w:sz w:val="20"/>
                <w:szCs w:val="20"/>
              </w:rPr>
              <w:t>(EUR)</w:t>
            </w:r>
          </w:p>
        </w:tc>
      </w:tr>
      <w:tr w:rsidR="00CE622A" w:rsidRPr="0081705D" w14:paraId="07529701" w14:textId="77777777" w:rsidTr="00D36147">
        <w:trPr>
          <w:jc w:val="center"/>
        </w:trPr>
        <w:tc>
          <w:tcPr>
            <w:tcW w:w="3114" w:type="dxa"/>
            <w:shd w:val="clear" w:color="auto" w:fill="F2F2F2" w:themeFill="background1" w:themeFillShade="F2"/>
            <w:vAlign w:val="center"/>
          </w:tcPr>
          <w:p w14:paraId="669093EF" w14:textId="716CCBBA" w:rsidR="00022F58" w:rsidRPr="00FC64BF" w:rsidRDefault="00022F58" w:rsidP="0072307D">
            <w:pPr>
              <w:rPr>
                <w:rFonts w:cs="Times New Roman"/>
                <w:sz w:val="20"/>
                <w:szCs w:val="20"/>
              </w:rPr>
            </w:pPr>
            <w:r w:rsidRPr="00FC64BF">
              <w:rPr>
                <w:rFonts w:cs="Times New Roman"/>
                <w:sz w:val="20"/>
                <w:szCs w:val="20"/>
              </w:rPr>
              <w:t>Izvori financiranja u 202</w:t>
            </w:r>
            <w:r w:rsidR="000F2491" w:rsidRPr="00FC64BF">
              <w:rPr>
                <w:rFonts w:cs="Times New Roman"/>
                <w:sz w:val="20"/>
                <w:szCs w:val="20"/>
              </w:rPr>
              <w:t>4</w:t>
            </w:r>
            <w:r w:rsidRPr="00FC64BF">
              <w:rPr>
                <w:rFonts w:cs="Times New Roman"/>
                <w:sz w:val="20"/>
                <w:szCs w:val="20"/>
              </w:rPr>
              <w:t>. (proračunska pozicija i predviđeni iznos sredstava)</w:t>
            </w:r>
          </w:p>
        </w:tc>
        <w:tc>
          <w:tcPr>
            <w:tcW w:w="2551" w:type="dxa"/>
            <w:vAlign w:val="center"/>
          </w:tcPr>
          <w:p w14:paraId="53881EA0" w14:textId="1EE81AE3" w:rsidR="00022F58" w:rsidRPr="00FC64BF" w:rsidRDefault="00AC1886" w:rsidP="00D36147">
            <w:pPr>
              <w:jc w:val="center"/>
              <w:rPr>
                <w:rFonts w:cs="Times New Roman"/>
                <w:sz w:val="20"/>
                <w:szCs w:val="20"/>
              </w:rPr>
            </w:pPr>
            <w:r w:rsidRPr="00FC64BF">
              <w:rPr>
                <w:rFonts w:cs="Times New Roman"/>
                <w:sz w:val="20"/>
                <w:szCs w:val="20"/>
              </w:rPr>
              <w:t>A</w:t>
            </w:r>
            <w:r w:rsidR="00022F58" w:rsidRPr="00FC64BF">
              <w:rPr>
                <w:rFonts w:cs="Times New Roman"/>
                <w:sz w:val="20"/>
                <w:szCs w:val="20"/>
              </w:rPr>
              <w:t>509000</w:t>
            </w:r>
            <w:r w:rsidR="00CD78EF" w:rsidRPr="00FC64BF">
              <w:rPr>
                <w:rFonts w:cs="Times New Roman"/>
                <w:sz w:val="20"/>
                <w:szCs w:val="20"/>
              </w:rPr>
              <w:t xml:space="preserve"> -</w:t>
            </w:r>
            <w:r w:rsidR="00022F58" w:rsidRPr="00FC64BF">
              <w:rPr>
                <w:rFonts w:cs="Times New Roman"/>
                <w:sz w:val="20"/>
                <w:szCs w:val="20"/>
              </w:rPr>
              <w:t xml:space="preserve"> Administracija i upravljanje</w:t>
            </w:r>
          </w:p>
        </w:tc>
        <w:tc>
          <w:tcPr>
            <w:tcW w:w="1843" w:type="dxa"/>
            <w:vAlign w:val="center"/>
          </w:tcPr>
          <w:p w14:paraId="280BC20F" w14:textId="77777777" w:rsidR="00022F58" w:rsidRPr="00FC64BF" w:rsidRDefault="00022F58" w:rsidP="00D36147">
            <w:pPr>
              <w:jc w:val="center"/>
              <w:rPr>
                <w:rFonts w:cs="Times New Roman"/>
                <w:sz w:val="20"/>
                <w:szCs w:val="20"/>
              </w:rPr>
            </w:pPr>
            <w:r w:rsidRPr="00FC64BF">
              <w:rPr>
                <w:rFonts w:cs="Times New Roman"/>
                <w:sz w:val="20"/>
                <w:szCs w:val="20"/>
              </w:rPr>
              <w:t>0,00</w:t>
            </w:r>
          </w:p>
        </w:tc>
        <w:tc>
          <w:tcPr>
            <w:tcW w:w="1701" w:type="dxa"/>
            <w:vAlign w:val="center"/>
          </w:tcPr>
          <w:p w14:paraId="66207C6F" w14:textId="2BE3B2C6" w:rsidR="00022F58" w:rsidRPr="00FC64BF" w:rsidRDefault="002A15F1" w:rsidP="000F2491">
            <w:pPr>
              <w:rPr>
                <w:rFonts w:cs="Times New Roman"/>
                <w:sz w:val="20"/>
                <w:szCs w:val="20"/>
              </w:rPr>
            </w:pPr>
            <w:r w:rsidRPr="00FC64BF">
              <w:rPr>
                <w:rFonts w:cs="Times New Roman"/>
                <w:sz w:val="20"/>
                <w:szCs w:val="20"/>
              </w:rPr>
              <w:t xml:space="preserve">A509051 (izvor 41): </w:t>
            </w:r>
            <w:r w:rsidR="000F2491" w:rsidRPr="00FC64BF">
              <w:rPr>
                <w:rFonts w:cs="Times New Roman"/>
                <w:sz w:val="20"/>
                <w:szCs w:val="20"/>
              </w:rPr>
              <w:t xml:space="preserve">16.558,08 </w:t>
            </w:r>
          </w:p>
        </w:tc>
      </w:tr>
      <w:tr w:rsidR="00CE622A" w:rsidRPr="0081705D" w14:paraId="76669B5C" w14:textId="77777777" w:rsidTr="00D36147">
        <w:trPr>
          <w:jc w:val="center"/>
        </w:trPr>
        <w:tc>
          <w:tcPr>
            <w:tcW w:w="3114" w:type="dxa"/>
            <w:vMerge w:val="restart"/>
            <w:shd w:val="clear" w:color="auto" w:fill="F2F2F2" w:themeFill="background1" w:themeFillShade="F2"/>
            <w:vAlign w:val="center"/>
          </w:tcPr>
          <w:p w14:paraId="0677AB54" w14:textId="77777777" w:rsidR="00022F58" w:rsidRPr="00FC64BF" w:rsidRDefault="00022F58" w:rsidP="00D36147">
            <w:pPr>
              <w:rPr>
                <w:rFonts w:cs="Times New Roman"/>
                <w:b/>
                <w:bCs/>
                <w:sz w:val="20"/>
                <w:szCs w:val="20"/>
              </w:rPr>
            </w:pPr>
            <w:r w:rsidRPr="00FC64BF">
              <w:rPr>
                <w:rFonts w:cs="Times New Roman"/>
                <w:b/>
                <w:bCs/>
                <w:sz w:val="20"/>
                <w:szCs w:val="20"/>
              </w:rPr>
              <w:lastRenderedPageBreak/>
              <w:t xml:space="preserve">UKUPNO UTROŠENA SREDSTVA PO IZVORU </w:t>
            </w:r>
          </w:p>
        </w:tc>
        <w:tc>
          <w:tcPr>
            <w:tcW w:w="2551" w:type="dxa"/>
            <w:vAlign w:val="center"/>
          </w:tcPr>
          <w:p w14:paraId="37F45E34" w14:textId="77777777" w:rsidR="00022F58" w:rsidRPr="00FC64BF" w:rsidRDefault="00022F58" w:rsidP="00D36147">
            <w:pPr>
              <w:jc w:val="center"/>
              <w:rPr>
                <w:rFonts w:cs="Times New Roman"/>
                <w:b/>
                <w:bCs/>
                <w:sz w:val="20"/>
                <w:szCs w:val="20"/>
              </w:rPr>
            </w:pPr>
            <w:r w:rsidRPr="00FC64BF">
              <w:rPr>
                <w:rFonts w:cs="Times New Roman"/>
                <w:b/>
                <w:bCs/>
                <w:sz w:val="20"/>
                <w:szCs w:val="20"/>
              </w:rPr>
              <w:t>Državni proračun (EUR)</w:t>
            </w:r>
          </w:p>
        </w:tc>
        <w:tc>
          <w:tcPr>
            <w:tcW w:w="1843" w:type="dxa"/>
            <w:vAlign w:val="center"/>
          </w:tcPr>
          <w:p w14:paraId="34CEBC92" w14:textId="77777777" w:rsidR="00022F58" w:rsidRPr="00FC64BF" w:rsidRDefault="00022F58" w:rsidP="00D36147">
            <w:pPr>
              <w:jc w:val="center"/>
              <w:rPr>
                <w:rFonts w:cs="Times New Roman"/>
                <w:b/>
                <w:bCs/>
                <w:sz w:val="20"/>
                <w:szCs w:val="20"/>
              </w:rPr>
            </w:pPr>
            <w:r w:rsidRPr="00FC64BF">
              <w:rPr>
                <w:rFonts w:cs="Times New Roman"/>
                <w:b/>
                <w:bCs/>
                <w:sz w:val="20"/>
                <w:szCs w:val="20"/>
              </w:rPr>
              <w:t>EU financiranje (EUR)</w:t>
            </w:r>
          </w:p>
        </w:tc>
        <w:tc>
          <w:tcPr>
            <w:tcW w:w="1701" w:type="dxa"/>
            <w:vAlign w:val="center"/>
          </w:tcPr>
          <w:p w14:paraId="7A24F20B" w14:textId="15A90150" w:rsidR="00022F58" w:rsidRPr="00FC64BF" w:rsidRDefault="00022F58" w:rsidP="00D36147">
            <w:pPr>
              <w:jc w:val="center"/>
              <w:rPr>
                <w:rFonts w:cs="Times New Roman"/>
                <w:b/>
                <w:bCs/>
                <w:sz w:val="20"/>
                <w:szCs w:val="20"/>
              </w:rPr>
            </w:pPr>
            <w:r w:rsidRPr="00FC64BF">
              <w:rPr>
                <w:rFonts w:cs="Times New Roman"/>
                <w:b/>
                <w:bCs/>
                <w:sz w:val="20"/>
                <w:szCs w:val="20"/>
              </w:rPr>
              <w:t>Drugi izvori</w:t>
            </w:r>
            <w:r w:rsidR="005275C8" w:rsidRPr="00FC64BF">
              <w:rPr>
                <w:rFonts w:cs="Times New Roman"/>
                <w:b/>
                <w:bCs/>
                <w:sz w:val="20"/>
                <w:szCs w:val="20"/>
              </w:rPr>
              <w:t xml:space="preserve"> </w:t>
            </w:r>
            <w:r w:rsidRPr="00FC64BF">
              <w:rPr>
                <w:rFonts w:cs="Times New Roman"/>
                <w:b/>
                <w:bCs/>
                <w:sz w:val="20"/>
                <w:szCs w:val="20"/>
              </w:rPr>
              <w:t>(EUR)</w:t>
            </w:r>
          </w:p>
        </w:tc>
      </w:tr>
      <w:tr w:rsidR="00CE622A" w:rsidRPr="0081705D" w14:paraId="622610ED" w14:textId="77777777" w:rsidTr="00D36147">
        <w:trPr>
          <w:jc w:val="center"/>
        </w:trPr>
        <w:tc>
          <w:tcPr>
            <w:tcW w:w="3114" w:type="dxa"/>
            <w:vMerge/>
            <w:shd w:val="clear" w:color="auto" w:fill="F2F2F2" w:themeFill="background1" w:themeFillShade="F2"/>
            <w:vAlign w:val="center"/>
          </w:tcPr>
          <w:p w14:paraId="596312EE" w14:textId="77777777" w:rsidR="00022F58" w:rsidRPr="00FC64BF" w:rsidRDefault="00022F58" w:rsidP="00D36147">
            <w:pPr>
              <w:rPr>
                <w:rFonts w:cs="Times New Roman"/>
                <w:b/>
                <w:bCs/>
                <w:sz w:val="20"/>
                <w:szCs w:val="20"/>
              </w:rPr>
            </w:pPr>
          </w:p>
        </w:tc>
        <w:tc>
          <w:tcPr>
            <w:tcW w:w="2551" w:type="dxa"/>
            <w:vAlign w:val="center"/>
          </w:tcPr>
          <w:p w14:paraId="5ABF206C" w14:textId="77777777" w:rsidR="0059114B" w:rsidRPr="0059114B" w:rsidRDefault="0059114B" w:rsidP="0059114B">
            <w:pPr>
              <w:jc w:val="center"/>
              <w:rPr>
                <w:rFonts w:cs="Times New Roman"/>
                <w:bCs/>
                <w:sz w:val="20"/>
                <w:szCs w:val="20"/>
              </w:rPr>
            </w:pPr>
            <w:r w:rsidRPr="0059114B">
              <w:rPr>
                <w:rFonts w:cs="Times New Roman"/>
                <w:bCs/>
                <w:sz w:val="20"/>
                <w:szCs w:val="20"/>
              </w:rPr>
              <w:t>A509051, izvor 41</w:t>
            </w:r>
          </w:p>
          <w:p w14:paraId="3FD85135" w14:textId="714BA4F3" w:rsidR="00022F58" w:rsidRPr="00DA2707" w:rsidRDefault="0059114B" w:rsidP="0059114B">
            <w:pPr>
              <w:jc w:val="center"/>
              <w:rPr>
                <w:rFonts w:cs="Times New Roman"/>
                <w:b/>
                <w:bCs/>
                <w:sz w:val="20"/>
                <w:szCs w:val="20"/>
              </w:rPr>
            </w:pPr>
            <w:r w:rsidRPr="00DA2707">
              <w:rPr>
                <w:rFonts w:cs="Times New Roman"/>
                <w:b/>
                <w:bCs/>
                <w:sz w:val="20"/>
                <w:szCs w:val="20"/>
              </w:rPr>
              <w:t>16.558,08</w:t>
            </w:r>
          </w:p>
        </w:tc>
        <w:tc>
          <w:tcPr>
            <w:tcW w:w="1843" w:type="dxa"/>
            <w:vAlign w:val="center"/>
          </w:tcPr>
          <w:p w14:paraId="68B0298E" w14:textId="21FFB65B" w:rsidR="00022F58" w:rsidRPr="00FC64BF" w:rsidRDefault="00022F58" w:rsidP="00D36147">
            <w:pPr>
              <w:jc w:val="center"/>
              <w:rPr>
                <w:rFonts w:cs="Times New Roman"/>
                <w:bCs/>
                <w:sz w:val="20"/>
                <w:szCs w:val="20"/>
              </w:rPr>
            </w:pPr>
            <w:r w:rsidRPr="00FC64BF">
              <w:rPr>
                <w:rFonts w:cs="Times New Roman"/>
                <w:bCs/>
                <w:sz w:val="20"/>
                <w:szCs w:val="20"/>
              </w:rPr>
              <w:t>0,00</w:t>
            </w:r>
          </w:p>
        </w:tc>
        <w:tc>
          <w:tcPr>
            <w:tcW w:w="1701" w:type="dxa"/>
            <w:vAlign w:val="center"/>
          </w:tcPr>
          <w:p w14:paraId="70B59359" w14:textId="6294CB23" w:rsidR="0059114B" w:rsidRPr="00FC64BF" w:rsidRDefault="00FB25C9" w:rsidP="0059114B">
            <w:pPr>
              <w:jc w:val="center"/>
              <w:rPr>
                <w:rFonts w:cs="Times New Roman"/>
                <w:bCs/>
                <w:sz w:val="20"/>
                <w:szCs w:val="20"/>
              </w:rPr>
            </w:pPr>
            <w:r w:rsidRPr="00FB25C9">
              <w:rPr>
                <w:rFonts w:cs="Times New Roman"/>
                <w:sz w:val="20"/>
                <w:szCs w:val="20"/>
              </w:rPr>
              <w:t xml:space="preserve">Aktivnost: </w:t>
            </w:r>
          </w:p>
          <w:p w14:paraId="49371B7B" w14:textId="63E4AA40" w:rsidR="00022F58" w:rsidRPr="00FC64BF" w:rsidRDefault="00022F58" w:rsidP="000F2491">
            <w:pPr>
              <w:jc w:val="center"/>
              <w:rPr>
                <w:rFonts w:cs="Times New Roman"/>
                <w:bCs/>
                <w:sz w:val="20"/>
                <w:szCs w:val="20"/>
              </w:rPr>
            </w:pPr>
          </w:p>
        </w:tc>
      </w:tr>
      <w:tr w:rsidR="00CE622A" w:rsidRPr="0081705D" w14:paraId="0C82CF61" w14:textId="77777777" w:rsidTr="00D36147">
        <w:trPr>
          <w:trHeight w:val="348"/>
          <w:jc w:val="center"/>
        </w:trPr>
        <w:tc>
          <w:tcPr>
            <w:tcW w:w="3114" w:type="dxa"/>
            <w:shd w:val="clear" w:color="auto" w:fill="F2F2F2" w:themeFill="background1" w:themeFillShade="F2"/>
            <w:vAlign w:val="center"/>
          </w:tcPr>
          <w:p w14:paraId="69644CBB" w14:textId="6B21C610" w:rsidR="00022F58" w:rsidRPr="00FC64BF" w:rsidRDefault="00022F58" w:rsidP="00D36147">
            <w:pPr>
              <w:rPr>
                <w:rFonts w:cs="Times New Roman"/>
                <w:sz w:val="20"/>
                <w:szCs w:val="20"/>
              </w:rPr>
            </w:pPr>
            <w:r w:rsidRPr="00FC64BF">
              <w:rPr>
                <w:rFonts w:cs="Times New Roman"/>
                <w:sz w:val="20"/>
                <w:szCs w:val="20"/>
              </w:rPr>
              <w:t xml:space="preserve">ROK PROVEDBE AKTIVNOSTI </w:t>
            </w:r>
          </w:p>
        </w:tc>
        <w:tc>
          <w:tcPr>
            <w:tcW w:w="6095" w:type="dxa"/>
            <w:gridSpan w:val="3"/>
            <w:vAlign w:val="center"/>
          </w:tcPr>
          <w:p w14:paraId="47E08CB5" w14:textId="77777777" w:rsidR="00022F58" w:rsidRPr="00FC64BF" w:rsidRDefault="00022F58" w:rsidP="00D36147">
            <w:pPr>
              <w:rPr>
                <w:rFonts w:cs="Times New Roman"/>
                <w:sz w:val="20"/>
                <w:szCs w:val="20"/>
              </w:rPr>
            </w:pPr>
            <w:r w:rsidRPr="00FC64BF">
              <w:rPr>
                <w:rFonts w:cs="Times New Roman"/>
                <w:sz w:val="20"/>
                <w:szCs w:val="20"/>
              </w:rPr>
              <w:t>IV. kvartal 2025.</w:t>
            </w:r>
          </w:p>
        </w:tc>
      </w:tr>
    </w:tbl>
    <w:p w14:paraId="32F65CBE" w14:textId="05A76136" w:rsidR="00287202" w:rsidRDefault="00287202" w:rsidP="00D36147">
      <w:pPr>
        <w:spacing w:after="0" w:line="276" w:lineRule="auto"/>
        <w:rPr>
          <w:rFonts w:cs="Times New Roman"/>
          <w:b/>
          <w:bCs/>
        </w:rPr>
      </w:pPr>
    </w:p>
    <w:p w14:paraId="0149077F" w14:textId="77777777" w:rsidR="00333558" w:rsidRPr="00FC64BF" w:rsidRDefault="00333558" w:rsidP="00D36147">
      <w:pPr>
        <w:spacing w:after="0" w:line="276" w:lineRule="auto"/>
        <w:rPr>
          <w:rFonts w:cs="Times New Roman"/>
          <w:b/>
          <w:bCs/>
        </w:rPr>
      </w:pPr>
    </w:p>
    <w:p w14:paraId="37047779" w14:textId="60BFA3A8" w:rsidR="0056716C" w:rsidRPr="00FC64BF" w:rsidRDefault="0056716C" w:rsidP="00D36147">
      <w:pPr>
        <w:pStyle w:val="Heading2"/>
        <w:spacing w:line="276" w:lineRule="auto"/>
        <w:rPr>
          <w:rFonts w:cs="Times New Roman"/>
        </w:rPr>
      </w:pPr>
      <w:r w:rsidRPr="00FC64BF">
        <w:rPr>
          <w:rFonts w:cs="Times New Roman"/>
        </w:rPr>
        <w:t>Mjera 2.2. Smanjivanje siromaštva i socijalne isključenosti romske djece</w:t>
      </w:r>
    </w:p>
    <w:p w14:paraId="3B48FC6B" w14:textId="77777777" w:rsidR="00BA1440" w:rsidRPr="00FC64BF" w:rsidRDefault="0056716C" w:rsidP="00D36147">
      <w:pPr>
        <w:spacing w:after="0" w:line="276" w:lineRule="auto"/>
        <w:rPr>
          <w:rFonts w:cs="Times New Roman"/>
        </w:rPr>
      </w:pPr>
      <w:r w:rsidRPr="00FC64BF">
        <w:rPr>
          <w:rFonts w:cs="Times New Roman"/>
        </w:rPr>
        <w:t>Nema planiranih aktivnosti u ovom Akcijskom planu</w:t>
      </w:r>
      <w:r w:rsidR="00BA1440" w:rsidRPr="00FC64BF">
        <w:rPr>
          <w:rFonts w:cs="Times New Roman"/>
        </w:rPr>
        <w:t>.</w:t>
      </w:r>
    </w:p>
    <w:p w14:paraId="2F42C901" w14:textId="77777777" w:rsidR="005A6860" w:rsidRPr="00705600" w:rsidRDefault="005A6860" w:rsidP="00D36147">
      <w:pPr>
        <w:spacing w:after="0" w:line="276" w:lineRule="auto"/>
        <w:rPr>
          <w:rFonts w:cs="Times New Roman"/>
        </w:rPr>
      </w:pPr>
    </w:p>
    <w:p w14:paraId="1D5251C1" w14:textId="6E9224B4" w:rsidR="00FC7E07" w:rsidRPr="00705600" w:rsidRDefault="004F7519" w:rsidP="00AF43CC">
      <w:pPr>
        <w:pStyle w:val="Heading2"/>
        <w:spacing w:before="0" w:line="276" w:lineRule="auto"/>
        <w:rPr>
          <w:rFonts w:cs="Times New Roman"/>
        </w:rPr>
      </w:pPr>
      <w:r w:rsidRPr="00705600">
        <w:rPr>
          <w:rFonts w:cs="Times New Roman"/>
        </w:rPr>
        <w:t>Mjera 2.3. Unapređenje dostupnosti</w:t>
      </w:r>
      <w:r w:rsidR="0055595F" w:rsidRPr="00705600">
        <w:rPr>
          <w:rFonts w:cs="Times New Roman"/>
        </w:rPr>
        <w:t xml:space="preserve"> </w:t>
      </w:r>
      <w:r w:rsidRPr="00705600">
        <w:rPr>
          <w:rFonts w:cs="Times New Roman"/>
        </w:rPr>
        <w:t>kvalitetnih socijalnih usluga pripadnicima romske nacionalne manjine</w:t>
      </w:r>
    </w:p>
    <w:p w14:paraId="4B913FB3" w14:textId="77777777" w:rsidR="001D2A9A" w:rsidRPr="00705600" w:rsidRDefault="001D2A9A" w:rsidP="001D2A9A">
      <w:pPr>
        <w:spacing w:after="0" w:line="276" w:lineRule="auto"/>
        <w:jc w:val="both"/>
        <w:rPr>
          <w:rFonts w:cs="Times New Roman"/>
          <w:bCs/>
          <w:i/>
          <w:szCs w:val="24"/>
        </w:rPr>
      </w:pPr>
    </w:p>
    <w:p w14:paraId="4AD07306" w14:textId="404C5622" w:rsidR="00C144B4" w:rsidRPr="00705600" w:rsidRDefault="00DB2CD2" w:rsidP="001D2A9A">
      <w:pPr>
        <w:spacing w:after="0" w:line="276" w:lineRule="auto"/>
        <w:jc w:val="both"/>
        <w:rPr>
          <w:rFonts w:cs="Times New Roman"/>
          <w:i/>
          <w:sz w:val="18"/>
          <w:szCs w:val="18"/>
        </w:rPr>
      </w:pPr>
      <w:r w:rsidRPr="00705600">
        <w:rPr>
          <w:rFonts w:cs="Times New Roman"/>
          <w:bCs/>
          <w:i/>
          <w:szCs w:val="24"/>
        </w:rPr>
        <w:t>Aktivnost</w:t>
      </w:r>
      <w:r w:rsidR="00C144B4" w:rsidRPr="00705600">
        <w:rPr>
          <w:rFonts w:cs="Times New Roman"/>
          <w:i/>
          <w:szCs w:val="24"/>
        </w:rPr>
        <w:t xml:space="preserve"> 2.3.1. Uspostava centra za pružanje usluga u zajednici</w:t>
      </w:r>
    </w:p>
    <w:p w14:paraId="421A9068" w14:textId="46518637" w:rsidR="00C144B4" w:rsidRPr="00705600" w:rsidRDefault="00DB2CD2" w:rsidP="001D2A9A">
      <w:pPr>
        <w:spacing w:after="0" w:line="276" w:lineRule="auto"/>
        <w:jc w:val="both"/>
        <w:rPr>
          <w:rFonts w:cs="Times New Roman"/>
          <w:i/>
          <w:szCs w:val="24"/>
        </w:rPr>
      </w:pPr>
      <w:r w:rsidRPr="00705600">
        <w:rPr>
          <w:rFonts w:cs="Times New Roman"/>
          <w:i/>
          <w:szCs w:val="24"/>
        </w:rPr>
        <w:t>Nositelj provedbe:</w:t>
      </w:r>
      <w:r w:rsidR="00C144B4" w:rsidRPr="00705600">
        <w:rPr>
          <w:rFonts w:cs="Times New Roman"/>
          <w:i/>
          <w:szCs w:val="24"/>
        </w:rPr>
        <w:t xml:space="preserve"> Ministarstvo rada, mirovinskoga sustava, obitelji i socijalne politike </w:t>
      </w:r>
    </w:p>
    <w:p w14:paraId="7CAB5FC6" w14:textId="052A2D4D" w:rsidR="00C144B4" w:rsidRPr="00705600" w:rsidRDefault="002338B6" w:rsidP="001D2A9A">
      <w:pPr>
        <w:spacing w:after="0" w:line="276" w:lineRule="auto"/>
        <w:jc w:val="both"/>
        <w:rPr>
          <w:rFonts w:cs="Times New Roman"/>
          <w:i/>
          <w:szCs w:val="24"/>
        </w:rPr>
      </w:pPr>
      <w:r w:rsidRPr="00705600">
        <w:rPr>
          <w:rFonts w:cs="Times New Roman"/>
          <w:i/>
          <w:szCs w:val="24"/>
        </w:rPr>
        <w:t xml:space="preserve">Partneri: Pružatelji socijalnih usluga u Međimurskoj županiji, Hrvatski zavod za socijalni rad (pravni sljednik centara za socijalnu skrb), Obiteljski centar u Međimurskoj županiji, Jedinice lokalne samouprave u Međimurskoj županiji, </w:t>
      </w:r>
      <w:r w:rsidR="00FE7B55">
        <w:rPr>
          <w:rFonts w:eastAsia="Droid Sans Fallback"/>
          <w:kern w:val="1"/>
          <w:szCs w:val="24"/>
          <w:lang w:eastAsia="zh-CN" w:bidi="hi-IN"/>
        </w:rPr>
        <w:t>JLP(R)S</w:t>
      </w:r>
    </w:p>
    <w:p w14:paraId="49AC6BAB" w14:textId="77777777" w:rsidR="00B5090F" w:rsidRPr="003462D1" w:rsidRDefault="00B5090F" w:rsidP="00D36147">
      <w:pPr>
        <w:spacing w:after="0" w:line="276" w:lineRule="auto"/>
        <w:jc w:val="both"/>
        <w:rPr>
          <w:rFonts w:cs="Times New Roman"/>
          <w:szCs w:val="24"/>
        </w:rPr>
      </w:pPr>
    </w:p>
    <w:p w14:paraId="37DA2955" w14:textId="3FA450AB" w:rsidR="00B5090F" w:rsidRPr="00705600" w:rsidRDefault="00B5090F" w:rsidP="00705600">
      <w:pPr>
        <w:spacing w:after="0" w:line="276" w:lineRule="auto"/>
        <w:jc w:val="both"/>
      </w:pPr>
      <w:r w:rsidRPr="003462D1">
        <w:t>A</w:t>
      </w:r>
      <w:r w:rsidRPr="00705600">
        <w:t>ktivnost obuhvaća uspostavu Centra za pružanje usluga u zajednici na području Međimurske županije</w:t>
      </w:r>
      <w:r w:rsidR="00A73DF3">
        <w:t xml:space="preserve"> </w:t>
      </w:r>
      <w:r w:rsidRPr="00705600">
        <w:t>radi osiguravanja usluga: boravka, psihosocijalne podrške, socijalnog mentorstva, organiziranog stanovanja.</w:t>
      </w:r>
    </w:p>
    <w:p w14:paraId="2E259246" w14:textId="66CA5669" w:rsidR="00B5090F" w:rsidRPr="00705600" w:rsidRDefault="00B5090F" w:rsidP="00705600">
      <w:pPr>
        <w:spacing w:line="276" w:lineRule="auto"/>
        <w:jc w:val="both"/>
        <w:rPr>
          <w:rFonts w:cs="Times New Roman"/>
          <w:szCs w:val="24"/>
        </w:rPr>
      </w:pPr>
      <w:r w:rsidRPr="00705600">
        <w:rPr>
          <w:rFonts w:cs="Times New Roman"/>
          <w:szCs w:val="24"/>
        </w:rPr>
        <w:t xml:space="preserve">U 2024. </w:t>
      </w:r>
      <w:r w:rsidR="008942A2">
        <w:rPr>
          <w:rFonts w:cs="Times New Roman"/>
          <w:szCs w:val="24"/>
        </w:rPr>
        <w:t xml:space="preserve">godini </w:t>
      </w:r>
      <w:r w:rsidRPr="00705600">
        <w:rPr>
          <w:rFonts w:cs="Times New Roman"/>
          <w:szCs w:val="24"/>
        </w:rPr>
        <w:t xml:space="preserve">je </w:t>
      </w:r>
      <w:r w:rsidR="003462D1" w:rsidRPr="003462D1">
        <w:rPr>
          <w:rFonts w:cs="Times New Roman"/>
          <w:szCs w:val="24"/>
        </w:rPr>
        <w:t>CPUZ Međimurje</w:t>
      </w:r>
      <w:r w:rsidRPr="003462D1">
        <w:rPr>
          <w:rFonts w:cs="Times New Roman"/>
          <w:szCs w:val="24"/>
        </w:rPr>
        <w:t>,</w:t>
      </w:r>
      <w:r w:rsidRPr="00705600">
        <w:rPr>
          <w:rFonts w:cs="Times New Roman"/>
          <w:szCs w:val="24"/>
        </w:rPr>
        <w:t xml:space="preserve"> novoosnovana državna ustanova socijalne skrbi za djecu, počeo s pružanjem socijalnih usluga za djecu bez odgovarajuće roditeljske skrbi, djecu s problemima u ponašanju i obiteljima u riziku. </w:t>
      </w:r>
    </w:p>
    <w:p w14:paraId="57697C72" w14:textId="28686AEB" w:rsidR="00B5090F" w:rsidRPr="00705600" w:rsidRDefault="00B5090F" w:rsidP="0059114B">
      <w:pPr>
        <w:pStyle w:val="ListParagraph"/>
        <w:spacing w:line="276" w:lineRule="auto"/>
        <w:ind w:left="0"/>
        <w:jc w:val="both"/>
      </w:pPr>
      <w:r w:rsidRPr="00705600">
        <w:t xml:space="preserve">U prvoj godini svog djelovanja </w:t>
      </w:r>
      <w:r w:rsidR="003462D1" w:rsidRPr="003462D1">
        <w:t xml:space="preserve">CPUZ Međimurje </w:t>
      </w:r>
      <w:r w:rsidRPr="00705600">
        <w:t>razvio je tri različite socijalne usluge koje dotad nisu postojale na području županije: uslugu boravka u romskim naseljima Parag, Piškorovec, Lončarevo (Podturen) i u Orehovici (u neposrednoj blizini romskog naselja) za djecu bez odgovarajuće roditeljske skrbi i djecu s problemima u ponašanju</w:t>
      </w:r>
      <w:r w:rsidR="00734C8B">
        <w:t xml:space="preserve">; </w:t>
      </w:r>
      <w:r w:rsidRPr="00705600">
        <w:t xml:space="preserve">uslugu organiziranog stanovanja za djecu bez odgovarajuće roditeljske skrbi i uslugu psihosocijalne podrške za obitelji diljem Međimurske županije, a koja se pruža u njihovim domovima. </w:t>
      </w:r>
    </w:p>
    <w:p w14:paraId="3AB40728" w14:textId="02ECBB14" w:rsidR="00B5090F" w:rsidRPr="00705600" w:rsidRDefault="00B5090F" w:rsidP="00705600">
      <w:pPr>
        <w:pStyle w:val="ListParagraph"/>
        <w:spacing w:line="276" w:lineRule="auto"/>
        <w:ind w:left="0"/>
        <w:jc w:val="both"/>
      </w:pPr>
      <w:r w:rsidRPr="00705600">
        <w:t>Najveći broj korisnika svih ovih usluga (više od 80</w:t>
      </w:r>
      <w:r w:rsidR="00BC7ECE">
        <w:t xml:space="preserve"> </w:t>
      </w:r>
      <w:r w:rsidRPr="00705600">
        <w:t xml:space="preserve">%) su djeca i obitelji </w:t>
      </w:r>
      <w:r w:rsidR="004D74B0" w:rsidRPr="00705600">
        <w:t xml:space="preserve">pripadnici </w:t>
      </w:r>
      <w:r w:rsidRPr="00705600">
        <w:t xml:space="preserve">romske nacionalne manjine. Tijekom 2024. </w:t>
      </w:r>
      <w:r w:rsidR="00BC7ECE">
        <w:t xml:space="preserve">godine </w:t>
      </w:r>
      <w:r w:rsidRPr="00705600">
        <w:t xml:space="preserve">u uslugu boravka bilo je uključeno ukupno 55 djece (svi romske nacionalne manjine), u uslugu organiziranog stanovanja četvero djece (od čega je troje djece romske nacionalne manjine), a uslugu psihosocijalne podrške primilo je ukupno 20 obitelji koje imaju ukupno 93 člana, od toga 58 </w:t>
      </w:r>
      <w:r w:rsidR="0072307D">
        <w:t xml:space="preserve">maloljetne </w:t>
      </w:r>
      <w:r w:rsidRPr="00705600">
        <w:t>djece. Od ukupnog broja obitelji koje su primile uslugu, 13 obitelji je romske nacionalne manjine s ukupno 65 članova obitelji, od čega 41 dijete.</w:t>
      </w:r>
    </w:p>
    <w:p w14:paraId="0919BC4E" w14:textId="2BF0839F" w:rsidR="00B5090F" w:rsidRPr="00705600" w:rsidRDefault="00B5090F" w:rsidP="00705600">
      <w:pPr>
        <w:spacing w:after="0" w:line="276" w:lineRule="auto"/>
        <w:jc w:val="both"/>
        <w:rPr>
          <w:rFonts w:cs="Times New Roman"/>
          <w:szCs w:val="24"/>
        </w:rPr>
      </w:pPr>
      <w:r w:rsidRPr="00705600">
        <w:rPr>
          <w:rFonts w:cs="Times New Roman"/>
          <w:szCs w:val="24"/>
        </w:rPr>
        <w:t xml:space="preserve">CPUZ Međimurje aktivno surađuje i s drugim akterima sustava socijalne skrbi, a u cilju povećanja dostupnosti socijalnih usluga pa tako, sukladno mogućnostima organizacije rada, ustupa svoje prostore u romskim naseljima Obiteljskom </w:t>
      </w:r>
      <w:r w:rsidRPr="0059114B">
        <w:rPr>
          <w:rFonts w:cs="Times New Roman"/>
          <w:szCs w:val="24"/>
        </w:rPr>
        <w:t>centru – P</w:t>
      </w:r>
      <w:r w:rsidR="0059114B" w:rsidRPr="0059114B">
        <w:rPr>
          <w:rFonts w:cs="Times New Roman"/>
          <w:szCs w:val="24"/>
        </w:rPr>
        <w:t>odručnoj službi</w:t>
      </w:r>
      <w:r w:rsidRPr="00705600">
        <w:rPr>
          <w:rFonts w:cs="Times New Roman"/>
          <w:szCs w:val="24"/>
        </w:rPr>
        <w:t xml:space="preserve"> Međimurskoj, </w:t>
      </w:r>
      <w:r w:rsidR="003379F1">
        <w:rPr>
          <w:rFonts w:cs="Times New Roman"/>
          <w:szCs w:val="24"/>
        </w:rPr>
        <w:t>Centru za odgoj i obrazovanje</w:t>
      </w:r>
      <w:r w:rsidR="003379F1" w:rsidRPr="00705600">
        <w:rPr>
          <w:rFonts w:cs="Times New Roman"/>
          <w:szCs w:val="24"/>
        </w:rPr>
        <w:t xml:space="preserve"> </w:t>
      </w:r>
      <w:r w:rsidR="003379F1">
        <w:rPr>
          <w:rFonts w:cs="Times New Roman"/>
          <w:szCs w:val="24"/>
        </w:rPr>
        <w:t>„</w:t>
      </w:r>
      <w:r w:rsidRPr="00705600">
        <w:rPr>
          <w:rFonts w:cs="Times New Roman"/>
          <w:szCs w:val="24"/>
        </w:rPr>
        <w:t>Vinko Bek</w:t>
      </w:r>
      <w:r w:rsidR="003379F1">
        <w:rPr>
          <w:rFonts w:cs="Times New Roman"/>
          <w:szCs w:val="24"/>
        </w:rPr>
        <w:t>“</w:t>
      </w:r>
      <w:r w:rsidRPr="00705600">
        <w:rPr>
          <w:rFonts w:cs="Times New Roman"/>
          <w:szCs w:val="24"/>
        </w:rPr>
        <w:t>, Gradskom društvu Crvenog križa Čakovec te Hrvatskom zavodu za socijalni rad</w:t>
      </w:r>
      <w:r w:rsidR="003379F1">
        <w:rPr>
          <w:rFonts w:cs="Times New Roman"/>
          <w:szCs w:val="24"/>
        </w:rPr>
        <w:t>, Područnom uredu</w:t>
      </w:r>
      <w:r w:rsidRPr="00705600">
        <w:rPr>
          <w:rFonts w:cs="Times New Roman"/>
          <w:szCs w:val="24"/>
        </w:rPr>
        <w:t xml:space="preserve"> Čakovec. Sve ovo doprinosi jačanju mreže socijalnih usluga i njihove dostupnosti krajnjim korisnicima.</w:t>
      </w:r>
    </w:p>
    <w:p w14:paraId="513D498E" w14:textId="153125A2" w:rsidR="00B5090F" w:rsidRPr="00705600" w:rsidRDefault="00B5090F" w:rsidP="00D36147">
      <w:pPr>
        <w:spacing w:after="0" w:line="276" w:lineRule="auto"/>
        <w:jc w:val="both"/>
        <w:rPr>
          <w:rFonts w:cs="Times New Roman"/>
          <w:szCs w:val="24"/>
        </w:rPr>
      </w:pPr>
      <w:r w:rsidRPr="00705600">
        <w:rPr>
          <w:rFonts w:cs="Times New Roman"/>
          <w:szCs w:val="24"/>
        </w:rPr>
        <w:lastRenderedPageBreak/>
        <w:t>U 2024. god</w:t>
      </w:r>
      <w:r w:rsidR="003379F1">
        <w:rPr>
          <w:rFonts w:cs="Times New Roman"/>
          <w:szCs w:val="24"/>
        </w:rPr>
        <w:t>ini</w:t>
      </w:r>
      <w:r w:rsidRPr="00705600">
        <w:rPr>
          <w:rFonts w:cs="Times New Roman"/>
          <w:szCs w:val="24"/>
        </w:rPr>
        <w:t xml:space="preserve"> socijalnim uslugama, uslugama savjetodavnog rada i programskim aktivnostima Obiteljskog centra obuhvaćeno je ukupno 2 997 korisnika kojima je pruženo 2 599 usluga.</w:t>
      </w:r>
    </w:p>
    <w:p w14:paraId="5666B91E" w14:textId="54C14C85" w:rsidR="00B5090F" w:rsidRDefault="00B5090F" w:rsidP="00D36147">
      <w:pPr>
        <w:spacing w:after="0" w:line="276" w:lineRule="auto"/>
        <w:jc w:val="both"/>
        <w:rPr>
          <w:rFonts w:cs="Times New Roman"/>
          <w:szCs w:val="24"/>
        </w:rPr>
      </w:pPr>
      <w:r w:rsidRPr="00705600">
        <w:rPr>
          <w:rFonts w:cs="Times New Roman"/>
          <w:szCs w:val="24"/>
        </w:rPr>
        <w:t>U okviru NPOO</w:t>
      </w:r>
      <w:r w:rsidR="00597879">
        <w:rPr>
          <w:rFonts w:cs="Times New Roman"/>
          <w:szCs w:val="24"/>
        </w:rPr>
        <w:t>-a</w:t>
      </w:r>
      <w:r w:rsidRPr="00705600">
        <w:rPr>
          <w:rFonts w:cs="Times New Roman"/>
          <w:szCs w:val="24"/>
        </w:rPr>
        <w:t xml:space="preserve"> provodi se mjera Razvoj usluge socijalnog mentorstva, koju provode educirani socijalni mentori u </w:t>
      </w:r>
      <w:r w:rsidR="003379F1">
        <w:rPr>
          <w:rFonts w:cs="Times New Roman"/>
          <w:szCs w:val="24"/>
        </w:rPr>
        <w:t>Hrvatskom zavodu za socijalni rad</w:t>
      </w:r>
      <w:r w:rsidRPr="00705600">
        <w:rPr>
          <w:rFonts w:cs="Times New Roman"/>
          <w:szCs w:val="24"/>
        </w:rPr>
        <w:t>. Uslugom socijalnog mentorstva obuhvaćeno je ukupno 390 korisnika na području Međimurske županije, od toga 184 osobe romske nacionalnosti.</w:t>
      </w:r>
    </w:p>
    <w:p w14:paraId="0680F46A" w14:textId="77777777" w:rsidR="0029699C" w:rsidRPr="00705600" w:rsidRDefault="0029699C" w:rsidP="00D36147">
      <w:pPr>
        <w:spacing w:after="0" w:line="276" w:lineRule="auto"/>
        <w:jc w:val="both"/>
        <w:rPr>
          <w:rFonts w:cs="Times New Roman"/>
          <w:i/>
          <w:iCs/>
          <w:sz w:val="18"/>
          <w:szCs w:val="18"/>
        </w:rPr>
      </w:pPr>
    </w:p>
    <w:tbl>
      <w:tblPr>
        <w:tblStyle w:val="TableGrid"/>
        <w:tblW w:w="5000" w:type="pct"/>
        <w:tblLook w:val="04A0" w:firstRow="1" w:lastRow="0" w:firstColumn="1" w:lastColumn="0" w:noHBand="0" w:noVBand="1"/>
      </w:tblPr>
      <w:tblGrid>
        <w:gridCol w:w="2829"/>
        <w:gridCol w:w="2269"/>
        <w:gridCol w:w="2119"/>
        <w:gridCol w:w="1845"/>
      </w:tblGrid>
      <w:tr w:rsidR="00705600" w:rsidRPr="00325CD1" w14:paraId="5BFB4FA6" w14:textId="77777777" w:rsidTr="005275C8">
        <w:tc>
          <w:tcPr>
            <w:tcW w:w="1561" w:type="pct"/>
            <w:shd w:val="clear" w:color="auto" w:fill="F2F2F2" w:themeFill="background1" w:themeFillShade="F2"/>
            <w:vAlign w:val="center"/>
          </w:tcPr>
          <w:p w14:paraId="3953E842" w14:textId="2878E1A1" w:rsidR="00D538BF" w:rsidRPr="00A86FA4" w:rsidRDefault="00B510B5" w:rsidP="00D36147">
            <w:pPr>
              <w:rPr>
                <w:rFonts w:cs="Times New Roman"/>
                <w:b/>
                <w:sz w:val="20"/>
                <w:szCs w:val="20"/>
              </w:rPr>
            </w:pPr>
            <w:bookmarkStart w:id="26" w:name="_Hlk164157493"/>
            <w:r w:rsidRPr="00A86FA4">
              <w:rPr>
                <w:rFonts w:cs="Times New Roman"/>
                <w:b/>
                <w:sz w:val="20"/>
                <w:szCs w:val="20"/>
              </w:rPr>
              <w:t>Pokazatelji provedbe i pokazatelji uspješnosti provedbe</w:t>
            </w:r>
          </w:p>
        </w:tc>
        <w:tc>
          <w:tcPr>
            <w:tcW w:w="1252" w:type="pct"/>
            <w:shd w:val="clear" w:color="auto" w:fill="F2F2F2" w:themeFill="background1" w:themeFillShade="F2"/>
            <w:vAlign w:val="center"/>
          </w:tcPr>
          <w:p w14:paraId="7A5D2119" w14:textId="77777777" w:rsidR="00D538BF" w:rsidRPr="00A86FA4" w:rsidRDefault="00D538BF" w:rsidP="00D36147">
            <w:pPr>
              <w:jc w:val="center"/>
              <w:rPr>
                <w:rFonts w:cs="Times New Roman"/>
                <w:b/>
                <w:sz w:val="20"/>
                <w:szCs w:val="20"/>
              </w:rPr>
            </w:pPr>
            <w:r w:rsidRPr="00A86FA4">
              <w:rPr>
                <w:rFonts w:cs="Times New Roman"/>
                <w:b/>
                <w:sz w:val="20"/>
                <w:szCs w:val="20"/>
              </w:rPr>
              <w:t>Broj uspostavljenih</w:t>
            </w:r>
          </w:p>
          <w:p w14:paraId="61CBA73A" w14:textId="77777777" w:rsidR="00D538BF" w:rsidRPr="00A86FA4" w:rsidRDefault="00D538BF" w:rsidP="00D36147">
            <w:pPr>
              <w:jc w:val="center"/>
              <w:rPr>
                <w:rFonts w:cs="Times New Roman"/>
                <w:b/>
                <w:sz w:val="20"/>
                <w:szCs w:val="20"/>
              </w:rPr>
            </w:pPr>
            <w:r w:rsidRPr="00A86FA4">
              <w:rPr>
                <w:rFonts w:cs="Times New Roman"/>
                <w:b/>
                <w:sz w:val="20"/>
                <w:szCs w:val="20"/>
              </w:rPr>
              <w:t>socijalnih usluga i</w:t>
            </w:r>
          </w:p>
          <w:p w14:paraId="5CDB52AE" w14:textId="77777777" w:rsidR="00D538BF" w:rsidRPr="00A86FA4" w:rsidRDefault="00D538BF" w:rsidP="00D36147">
            <w:pPr>
              <w:jc w:val="center"/>
              <w:rPr>
                <w:rFonts w:cs="Times New Roman"/>
                <w:b/>
                <w:sz w:val="20"/>
                <w:szCs w:val="20"/>
              </w:rPr>
            </w:pPr>
            <w:r w:rsidRPr="00A86FA4">
              <w:rPr>
                <w:rFonts w:cs="Times New Roman"/>
                <w:b/>
                <w:sz w:val="20"/>
                <w:szCs w:val="20"/>
              </w:rPr>
              <w:t>programa za djecu i</w:t>
            </w:r>
          </w:p>
          <w:p w14:paraId="6301FF85" w14:textId="339385BB" w:rsidR="00D538BF" w:rsidRPr="00A86FA4" w:rsidRDefault="00D538BF" w:rsidP="00D36147">
            <w:pPr>
              <w:jc w:val="center"/>
              <w:rPr>
                <w:rFonts w:cs="Times New Roman"/>
                <w:b/>
                <w:sz w:val="20"/>
                <w:szCs w:val="20"/>
              </w:rPr>
            </w:pPr>
            <w:r w:rsidRPr="00A86FA4">
              <w:rPr>
                <w:rFonts w:cs="Times New Roman"/>
                <w:b/>
                <w:sz w:val="20"/>
                <w:szCs w:val="20"/>
              </w:rPr>
              <w:t>obitelji</w:t>
            </w:r>
          </w:p>
        </w:tc>
        <w:tc>
          <w:tcPr>
            <w:tcW w:w="1169" w:type="pct"/>
            <w:shd w:val="clear" w:color="auto" w:fill="F2F2F2" w:themeFill="background1" w:themeFillShade="F2"/>
            <w:vAlign w:val="center"/>
          </w:tcPr>
          <w:p w14:paraId="5436A523" w14:textId="77777777" w:rsidR="00D538BF" w:rsidRPr="00A86FA4" w:rsidRDefault="00D538BF" w:rsidP="00D36147">
            <w:pPr>
              <w:jc w:val="center"/>
              <w:rPr>
                <w:rFonts w:cs="Times New Roman"/>
                <w:b/>
                <w:sz w:val="20"/>
                <w:szCs w:val="20"/>
              </w:rPr>
            </w:pPr>
            <w:r w:rsidRPr="00A86FA4">
              <w:rPr>
                <w:rFonts w:cs="Times New Roman"/>
                <w:b/>
                <w:sz w:val="20"/>
                <w:szCs w:val="20"/>
              </w:rPr>
              <w:t>Broj novozaposlenih</w:t>
            </w:r>
          </w:p>
          <w:p w14:paraId="4F6A152B" w14:textId="77777777" w:rsidR="00D538BF" w:rsidRPr="00A86FA4" w:rsidRDefault="00D538BF" w:rsidP="00D36147">
            <w:pPr>
              <w:jc w:val="center"/>
              <w:rPr>
                <w:rFonts w:cs="Times New Roman"/>
                <w:b/>
                <w:sz w:val="20"/>
                <w:szCs w:val="20"/>
              </w:rPr>
            </w:pPr>
            <w:r w:rsidRPr="00A86FA4">
              <w:rPr>
                <w:rFonts w:cs="Times New Roman"/>
                <w:b/>
                <w:sz w:val="20"/>
                <w:szCs w:val="20"/>
              </w:rPr>
              <w:t>radnika za pružanje</w:t>
            </w:r>
          </w:p>
          <w:p w14:paraId="33BAEA37" w14:textId="77777777" w:rsidR="00D538BF" w:rsidRPr="00A86FA4" w:rsidRDefault="00D538BF" w:rsidP="00D36147">
            <w:pPr>
              <w:jc w:val="center"/>
              <w:rPr>
                <w:rFonts w:cs="Times New Roman"/>
                <w:b/>
                <w:sz w:val="20"/>
                <w:szCs w:val="20"/>
              </w:rPr>
            </w:pPr>
            <w:r w:rsidRPr="00A86FA4">
              <w:rPr>
                <w:rFonts w:cs="Times New Roman"/>
                <w:b/>
                <w:sz w:val="20"/>
                <w:szCs w:val="20"/>
              </w:rPr>
              <w:t>socijalnih usluga</w:t>
            </w:r>
          </w:p>
          <w:p w14:paraId="24B8006C" w14:textId="77777777" w:rsidR="00D538BF" w:rsidRPr="00A86FA4" w:rsidRDefault="00D538BF" w:rsidP="00D36147">
            <w:pPr>
              <w:jc w:val="center"/>
              <w:rPr>
                <w:rFonts w:cs="Times New Roman"/>
                <w:b/>
                <w:sz w:val="20"/>
                <w:szCs w:val="20"/>
              </w:rPr>
            </w:pPr>
            <w:r w:rsidRPr="00A86FA4">
              <w:rPr>
                <w:rFonts w:cs="Times New Roman"/>
                <w:b/>
                <w:sz w:val="20"/>
                <w:szCs w:val="20"/>
              </w:rPr>
              <w:t>(odgajatelji, obiteljski</w:t>
            </w:r>
          </w:p>
          <w:p w14:paraId="41F4EACD" w14:textId="77777777" w:rsidR="00D538BF" w:rsidRPr="00A86FA4" w:rsidRDefault="00D538BF" w:rsidP="00D36147">
            <w:pPr>
              <w:jc w:val="center"/>
              <w:rPr>
                <w:rFonts w:cs="Times New Roman"/>
                <w:b/>
                <w:sz w:val="20"/>
                <w:szCs w:val="20"/>
              </w:rPr>
            </w:pPr>
            <w:r w:rsidRPr="00A86FA4">
              <w:rPr>
                <w:rFonts w:cs="Times New Roman"/>
                <w:b/>
                <w:sz w:val="20"/>
                <w:szCs w:val="20"/>
              </w:rPr>
              <w:t>suradnici, voditelji</w:t>
            </w:r>
          </w:p>
          <w:p w14:paraId="6BE0A3D2" w14:textId="77777777" w:rsidR="00D538BF" w:rsidRPr="00A86FA4" w:rsidRDefault="00D538BF" w:rsidP="00D36147">
            <w:pPr>
              <w:jc w:val="center"/>
              <w:rPr>
                <w:rFonts w:cs="Times New Roman"/>
                <w:b/>
                <w:sz w:val="20"/>
                <w:szCs w:val="20"/>
              </w:rPr>
            </w:pPr>
            <w:r w:rsidRPr="00A86FA4">
              <w:rPr>
                <w:rFonts w:cs="Times New Roman"/>
                <w:b/>
                <w:sz w:val="20"/>
                <w:szCs w:val="20"/>
              </w:rPr>
              <w:t>mjera/stručnjaci za</w:t>
            </w:r>
          </w:p>
          <w:p w14:paraId="23F997F7" w14:textId="77777777" w:rsidR="00D538BF" w:rsidRPr="00A86FA4" w:rsidRDefault="00D538BF" w:rsidP="00D36147">
            <w:pPr>
              <w:jc w:val="center"/>
              <w:rPr>
                <w:rFonts w:cs="Times New Roman"/>
                <w:b/>
                <w:sz w:val="20"/>
                <w:szCs w:val="20"/>
              </w:rPr>
            </w:pPr>
            <w:r w:rsidRPr="00A86FA4">
              <w:rPr>
                <w:rFonts w:cs="Times New Roman"/>
                <w:b/>
                <w:sz w:val="20"/>
                <w:szCs w:val="20"/>
              </w:rPr>
              <w:t>uslugu psihosocijalne</w:t>
            </w:r>
          </w:p>
          <w:p w14:paraId="3947AF21" w14:textId="77777777" w:rsidR="00D538BF" w:rsidRPr="00A86FA4" w:rsidRDefault="00D538BF" w:rsidP="00D36147">
            <w:pPr>
              <w:jc w:val="center"/>
              <w:rPr>
                <w:rFonts w:cs="Times New Roman"/>
                <w:b/>
                <w:sz w:val="20"/>
                <w:szCs w:val="20"/>
              </w:rPr>
            </w:pPr>
            <w:r w:rsidRPr="00A86FA4">
              <w:rPr>
                <w:rFonts w:cs="Times New Roman"/>
                <w:b/>
                <w:sz w:val="20"/>
                <w:szCs w:val="20"/>
              </w:rPr>
              <w:t>podrške, socijalni</w:t>
            </w:r>
          </w:p>
          <w:p w14:paraId="0E165B02" w14:textId="77777777" w:rsidR="00D538BF" w:rsidRPr="00A86FA4" w:rsidRDefault="00D538BF" w:rsidP="00D36147">
            <w:pPr>
              <w:jc w:val="center"/>
              <w:rPr>
                <w:rFonts w:cs="Times New Roman"/>
                <w:b/>
                <w:sz w:val="20"/>
                <w:szCs w:val="20"/>
              </w:rPr>
            </w:pPr>
            <w:r w:rsidRPr="00A86FA4">
              <w:rPr>
                <w:rFonts w:cs="Times New Roman"/>
                <w:b/>
                <w:sz w:val="20"/>
                <w:szCs w:val="20"/>
              </w:rPr>
              <w:t>mentori i stručnjaci u</w:t>
            </w:r>
          </w:p>
          <w:p w14:paraId="5EB47F76" w14:textId="0AAE2349" w:rsidR="00D538BF" w:rsidRPr="00A86FA4" w:rsidRDefault="00D538BF" w:rsidP="00D36147">
            <w:pPr>
              <w:jc w:val="center"/>
              <w:rPr>
                <w:rFonts w:cs="Times New Roman"/>
                <w:b/>
                <w:sz w:val="20"/>
                <w:szCs w:val="20"/>
              </w:rPr>
            </w:pPr>
            <w:r w:rsidRPr="00A86FA4">
              <w:rPr>
                <w:rFonts w:cs="Times New Roman"/>
                <w:b/>
                <w:sz w:val="20"/>
                <w:szCs w:val="20"/>
              </w:rPr>
              <w:t>Obiteljskom centru)</w:t>
            </w:r>
          </w:p>
        </w:tc>
        <w:tc>
          <w:tcPr>
            <w:tcW w:w="1018" w:type="pct"/>
            <w:shd w:val="clear" w:color="auto" w:fill="F2F2F2" w:themeFill="background1" w:themeFillShade="F2"/>
            <w:vAlign w:val="center"/>
          </w:tcPr>
          <w:p w14:paraId="41C399A8" w14:textId="77777777" w:rsidR="00D538BF" w:rsidRPr="00A86FA4" w:rsidRDefault="00D538BF" w:rsidP="00D36147">
            <w:pPr>
              <w:jc w:val="center"/>
              <w:rPr>
                <w:rFonts w:cs="Times New Roman"/>
                <w:b/>
                <w:sz w:val="20"/>
                <w:szCs w:val="20"/>
              </w:rPr>
            </w:pPr>
            <w:r w:rsidRPr="00A86FA4">
              <w:rPr>
                <w:rFonts w:cs="Times New Roman"/>
                <w:b/>
                <w:sz w:val="20"/>
                <w:szCs w:val="20"/>
              </w:rPr>
              <w:t>Broj korisnika socijalnih</w:t>
            </w:r>
          </w:p>
          <w:p w14:paraId="07EAA5D7" w14:textId="77777777" w:rsidR="00D538BF" w:rsidRPr="00A86FA4" w:rsidRDefault="00D538BF" w:rsidP="00D36147">
            <w:pPr>
              <w:jc w:val="center"/>
              <w:rPr>
                <w:rFonts w:cs="Times New Roman"/>
                <w:b/>
                <w:sz w:val="20"/>
                <w:szCs w:val="20"/>
              </w:rPr>
            </w:pPr>
            <w:r w:rsidRPr="00A86FA4">
              <w:rPr>
                <w:rFonts w:cs="Times New Roman"/>
                <w:b/>
                <w:sz w:val="20"/>
                <w:szCs w:val="20"/>
              </w:rPr>
              <w:t>usluga i broj korisnika</w:t>
            </w:r>
          </w:p>
          <w:p w14:paraId="4FE8DA7C" w14:textId="77777777" w:rsidR="00D538BF" w:rsidRPr="00A86FA4" w:rsidRDefault="00D538BF" w:rsidP="00D36147">
            <w:pPr>
              <w:jc w:val="center"/>
              <w:rPr>
                <w:rFonts w:cs="Times New Roman"/>
                <w:b/>
                <w:sz w:val="20"/>
                <w:szCs w:val="20"/>
              </w:rPr>
            </w:pPr>
            <w:r w:rsidRPr="00A86FA4">
              <w:rPr>
                <w:rFonts w:cs="Times New Roman"/>
                <w:b/>
                <w:sz w:val="20"/>
                <w:szCs w:val="20"/>
              </w:rPr>
              <w:t>programa Obiteljskog</w:t>
            </w:r>
          </w:p>
          <w:p w14:paraId="4D8AAC28" w14:textId="3D7E235C" w:rsidR="00D538BF" w:rsidRPr="00A86FA4" w:rsidRDefault="00D538BF" w:rsidP="00D36147">
            <w:pPr>
              <w:jc w:val="center"/>
              <w:rPr>
                <w:rFonts w:cs="Times New Roman"/>
                <w:b/>
                <w:sz w:val="20"/>
                <w:szCs w:val="20"/>
              </w:rPr>
            </w:pPr>
            <w:r w:rsidRPr="00A86FA4">
              <w:rPr>
                <w:rFonts w:cs="Times New Roman"/>
                <w:b/>
                <w:sz w:val="20"/>
                <w:szCs w:val="20"/>
              </w:rPr>
              <w:t>centra</w:t>
            </w:r>
          </w:p>
        </w:tc>
      </w:tr>
      <w:tr w:rsidR="00705600" w:rsidRPr="00325CD1" w14:paraId="3D665DD9" w14:textId="77777777" w:rsidTr="00CA40F2">
        <w:tc>
          <w:tcPr>
            <w:tcW w:w="1561" w:type="pct"/>
            <w:shd w:val="clear" w:color="auto" w:fill="F2F2F2" w:themeFill="background1" w:themeFillShade="F2"/>
            <w:vAlign w:val="center"/>
          </w:tcPr>
          <w:p w14:paraId="532B7A55" w14:textId="4F8686DD" w:rsidR="00D538BF" w:rsidRPr="00A86FA4" w:rsidRDefault="00D538BF" w:rsidP="0072307D">
            <w:pPr>
              <w:rPr>
                <w:rFonts w:cs="Times New Roman"/>
                <w:sz w:val="20"/>
                <w:szCs w:val="20"/>
              </w:rPr>
            </w:pPr>
            <w:r w:rsidRPr="00A86FA4">
              <w:rPr>
                <w:rFonts w:cs="Times New Roman"/>
                <w:sz w:val="20"/>
                <w:szCs w:val="20"/>
              </w:rPr>
              <w:t>Planirani ishodi za pokazatelje provedbe u 202</w:t>
            </w:r>
            <w:r w:rsidR="00B5090F" w:rsidRPr="00A86FA4">
              <w:rPr>
                <w:rFonts w:cs="Times New Roman"/>
                <w:sz w:val="20"/>
                <w:szCs w:val="20"/>
              </w:rPr>
              <w:t>4</w:t>
            </w:r>
            <w:r w:rsidRPr="00A86FA4">
              <w:rPr>
                <w:rFonts w:cs="Times New Roman"/>
                <w:sz w:val="20"/>
                <w:szCs w:val="20"/>
              </w:rPr>
              <w:t>.</w:t>
            </w:r>
          </w:p>
        </w:tc>
        <w:tc>
          <w:tcPr>
            <w:tcW w:w="1252" w:type="pct"/>
            <w:vAlign w:val="center"/>
          </w:tcPr>
          <w:p w14:paraId="4600DF5A" w14:textId="34003190" w:rsidR="00D538BF" w:rsidRPr="00A86FA4" w:rsidRDefault="00B5090F" w:rsidP="00B5090F">
            <w:pPr>
              <w:jc w:val="center"/>
              <w:rPr>
                <w:rFonts w:cs="Times New Roman"/>
                <w:sz w:val="20"/>
                <w:szCs w:val="20"/>
              </w:rPr>
            </w:pPr>
            <w:r w:rsidRPr="00A86FA4">
              <w:rPr>
                <w:rFonts w:cs="Times New Roman"/>
                <w:sz w:val="20"/>
                <w:szCs w:val="20"/>
              </w:rPr>
              <w:t>6</w:t>
            </w:r>
          </w:p>
        </w:tc>
        <w:tc>
          <w:tcPr>
            <w:tcW w:w="1169" w:type="pct"/>
            <w:vAlign w:val="center"/>
          </w:tcPr>
          <w:p w14:paraId="2A855CAF" w14:textId="067A3EC0" w:rsidR="00D538BF" w:rsidRPr="00A86FA4" w:rsidRDefault="00D538BF" w:rsidP="00B5090F">
            <w:pPr>
              <w:jc w:val="center"/>
              <w:rPr>
                <w:rFonts w:cs="Times New Roman"/>
                <w:sz w:val="20"/>
                <w:szCs w:val="20"/>
              </w:rPr>
            </w:pPr>
            <w:r w:rsidRPr="00A86FA4">
              <w:rPr>
                <w:rFonts w:cs="Times New Roman"/>
                <w:sz w:val="20"/>
                <w:szCs w:val="20"/>
              </w:rPr>
              <w:t>2</w:t>
            </w:r>
            <w:r w:rsidR="00B5090F" w:rsidRPr="00A86FA4">
              <w:rPr>
                <w:rFonts w:cs="Times New Roman"/>
                <w:sz w:val="20"/>
                <w:szCs w:val="20"/>
              </w:rPr>
              <w:t>5</w:t>
            </w:r>
          </w:p>
        </w:tc>
        <w:tc>
          <w:tcPr>
            <w:tcW w:w="1018" w:type="pct"/>
            <w:vAlign w:val="center"/>
          </w:tcPr>
          <w:p w14:paraId="59416902" w14:textId="1AC612A2" w:rsidR="00D538BF" w:rsidRPr="00A86FA4" w:rsidRDefault="00B5090F" w:rsidP="00B5090F">
            <w:pPr>
              <w:jc w:val="center"/>
              <w:rPr>
                <w:rFonts w:cs="Times New Roman"/>
                <w:sz w:val="20"/>
                <w:szCs w:val="20"/>
              </w:rPr>
            </w:pPr>
            <w:r w:rsidRPr="00A86FA4">
              <w:rPr>
                <w:rFonts w:cs="Times New Roman"/>
                <w:sz w:val="20"/>
                <w:szCs w:val="20"/>
              </w:rPr>
              <w:t>4</w:t>
            </w:r>
            <w:r w:rsidR="00D538BF" w:rsidRPr="00A86FA4">
              <w:rPr>
                <w:rFonts w:cs="Times New Roman"/>
                <w:sz w:val="20"/>
                <w:szCs w:val="20"/>
              </w:rPr>
              <w:t>00</w:t>
            </w:r>
          </w:p>
        </w:tc>
      </w:tr>
      <w:tr w:rsidR="00705600" w:rsidRPr="00325CD1" w14:paraId="03942B6B" w14:textId="77777777" w:rsidTr="006C1E39">
        <w:tc>
          <w:tcPr>
            <w:tcW w:w="1561" w:type="pct"/>
            <w:shd w:val="clear" w:color="auto" w:fill="F2F2F2" w:themeFill="background1" w:themeFillShade="F2"/>
            <w:vAlign w:val="center"/>
          </w:tcPr>
          <w:p w14:paraId="1B2B2BCB" w14:textId="76F0B4E2" w:rsidR="00D538BF" w:rsidRPr="00A86FA4" w:rsidRDefault="00D538BF" w:rsidP="0072307D">
            <w:pPr>
              <w:rPr>
                <w:rFonts w:cs="Times New Roman"/>
                <w:sz w:val="20"/>
                <w:szCs w:val="20"/>
              </w:rPr>
            </w:pPr>
            <w:r w:rsidRPr="00A86FA4">
              <w:rPr>
                <w:rFonts w:cs="Times New Roman"/>
                <w:sz w:val="20"/>
                <w:szCs w:val="20"/>
              </w:rPr>
              <w:t>Ostvareni ishodi za pokazatelje provedbe u 202</w:t>
            </w:r>
            <w:r w:rsidR="00B5090F" w:rsidRPr="00A86FA4">
              <w:rPr>
                <w:rFonts w:cs="Times New Roman"/>
                <w:sz w:val="20"/>
                <w:szCs w:val="20"/>
              </w:rPr>
              <w:t>4</w:t>
            </w:r>
            <w:r w:rsidRPr="00A86FA4">
              <w:rPr>
                <w:rFonts w:cs="Times New Roman"/>
                <w:sz w:val="20"/>
                <w:szCs w:val="20"/>
              </w:rPr>
              <w:t xml:space="preserve">. </w:t>
            </w:r>
          </w:p>
        </w:tc>
        <w:tc>
          <w:tcPr>
            <w:tcW w:w="1252" w:type="pct"/>
            <w:vAlign w:val="center"/>
          </w:tcPr>
          <w:p w14:paraId="49207E58" w14:textId="283AE519" w:rsidR="00B5090F" w:rsidRPr="00A86FA4" w:rsidRDefault="00B5090F" w:rsidP="00B5090F">
            <w:pPr>
              <w:jc w:val="center"/>
              <w:rPr>
                <w:rFonts w:cs="Times New Roman"/>
                <w:i/>
                <w:sz w:val="20"/>
                <w:szCs w:val="20"/>
              </w:rPr>
            </w:pPr>
            <w:r w:rsidRPr="00A86FA4">
              <w:rPr>
                <w:rFonts w:cs="Times New Roman"/>
                <w:i/>
                <w:sz w:val="20"/>
                <w:szCs w:val="20"/>
              </w:rPr>
              <w:t>3 usluge CPUZ Međimurje:</w:t>
            </w:r>
          </w:p>
          <w:p w14:paraId="7E9BDB58" w14:textId="7B298B95" w:rsidR="00B5090F" w:rsidRPr="00A86FA4" w:rsidRDefault="00B5090F" w:rsidP="00B5090F">
            <w:pPr>
              <w:jc w:val="center"/>
              <w:rPr>
                <w:rFonts w:cs="Times New Roman"/>
                <w:i/>
                <w:sz w:val="20"/>
                <w:szCs w:val="20"/>
              </w:rPr>
            </w:pPr>
            <w:r w:rsidRPr="00A86FA4">
              <w:rPr>
                <w:rFonts w:cs="Times New Roman"/>
                <w:i/>
                <w:sz w:val="20"/>
                <w:szCs w:val="20"/>
              </w:rPr>
              <w:t>boravak, organizirano stanovanje i psihosocijalna podrška</w:t>
            </w:r>
            <w:r w:rsidR="002F7831">
              <w:rPr>
                <w:rFonts w:cs="Times New Roman"/>
                <w:i/>
                <w:sz w:val="20"/>
                <w:szCs w:val="20"/>
              </w:rPr>
              <w:t xml:space="preserve"> </w:t>
            </w:r>
          </w:p>
          <w:p w14:paraId="3C3AB5F5" w14:textId="47934D6C" w:rsidR="00B5090F" w:rsidRPr="00A86FA4" w:rsidRDefault="00B5090F" w:rsidP="00B5090F">
            <w:pPr>
              <w:jc w:val="center"/>
              <w:rPr>
                <w:rFonts w:cs="Times New Roman"/>
                <w:i/>
                <w:sz w:val="20"/>
                <w:szCs w:val="20"/>
              </w:rPr>
            </w:pPr>
            <w:r w:rsidRPr="00A86FA4">
              <w:rPr>
                <w:rFonts w:cs="Times New Roman"/>
                <w:i/>
                <w:sz w:val="20"/>
                <w:szCs w:val="20"/>
              </w:rPr>
              <w:t>1 usluga HZSR:</w:t>
            </w:r>
            <w:r w:rsidR="002F7831">
              <w:rPr>
                <w:rFonts w:cs="Times New Roman"/>
                <w:i/>
                <w:sz w:val="20"/>
                <w:szCs w:val="20"/>
              </w:rPr>
              <w:t xml:space="preserve"> </w:t>
            </w:r>
            <w:r w:rsidRPr="00A86FA4">
              <w:rPr>
                <w:rFonts w:cs="Times New Roman"/>
                <w:i/>
                <w:sz w:val="20"/>
                <w:szCs w:val="20"/>
              </w:rPr>
              <w:t>usluga socijalnog mentorstva</w:t>
            </w:r>
            <w:r w:rsidR="002F7831">
              <w:rPr>
                <w:rFonts w:cs="Times New Roman"/>
                <w:i/>
                <w:sz w:val="20"/>
                <w:szCs w:val="20"/>
              </w:rPr>
              <w:t xml:space="preserve"> </w:t>
            </w:r>
          </w:p>
          <w:p w14:paraId="33633C90" w14:textId="77777777" w:rsidR="00B5090F" w:rsidRPr="00A86FA4" w:rsidRDefault="00B5090F" w:rsidP="00B5090F">
            <w:pPr>
              <w:jc w:val="center"/>
              <w:rPr>
                <w:rFonts w:cs="Times New Roman"/>
                <w:i/>
                <w:sz w:val="20"/>
                <w:szCs w:val="20"/>
              </w:rPr>
            </w:pPr>
            <w:r w:rsidRPr="00A86FA4">
              <w:rPr>
                <w:rFonts w:cs="Times New Roman"/>
                <w:i/>
                <w:sz w:val="20"/>
                <w:szCs w:val="20"/>
              </w:rPr>
              <w:t>7 usluga Obiteljski centar: edukacijske i senzibilizacijske aktivnosti, programi, psihosocijalni tretman radi prevencije nasilničkog ponašanja,</w:t>
            </w:r>
          </w:p>
          <w:p w14:paraId="011741E0" w14:textId="77777777" w:rsidR="00B5090F" w:rsidRPr="00A86FA4" w:rsidRDefault="00B5090F" w:rsidP="00B5090F">
            <w:pPr>
              <w:jc w:val="center"/>
              <w:rPr>
                <w:rFonts w:cs="Times New Roman"/>
                <w:i/>
                <w:sz w:val="20"/>
                <w:szCs w:val="20"/>
              </w:rPr>
            </w:pPr>
            <w:r w:rsidRPr="00A86FA4">
              <w:rPr>
                <w:rFonts w:cs="Times New Roman"/>
                <w:i/>
                <w:sz w:val="20"/>
                <w:szCs w:val="20"/>
              </w:rPr>
              <w:t>obiteljska medijacija</w:t>
            </w:r>
          </w:p>
          <w:p w14:paraId="7446CE84" w14:textId="77777777" w:rsidR="00B5090F" w:rsidRPr="00A86FA4" w:rsidRDefault="00B5090F" w:rsidP="00B5090F">
            <w:pPr>
              <w:jc w:val="center"/>
              <w:rPr>
                <w:rFonts w:cs="Times New Roman"/>
                <w:i/>
                <w:sz w:val="20"/>
                <w:szCs w:val="20"/>
              </w:rPr>
            </w:pPr>
            <w:r w:rsidRPr="00A86FA4">
              <w:rPr>
                <w:rFonts w:cs="Times New Roman"/>
                <w:i/>
                <w:sz w:val="20"/>
                <w:szCs w:val="20"/>
              </w:rPr>
              <w:t xml:space="preserve">psihosocijalno savjetovanje, </w:t>
            </w:r>
          </w:p>
          <w:p w14:paraId="5B6D9B3C" w14:textId="0285A319" w:rsidR="00B5090F" w:rsidRPr="00A86FA4" w:rsidRDefault="00B5090F" w:rsidP="00B5090F">
            <w:pPr>
              <w:jc w:val="center"/>
              <w:rPr>
                <w:rFonts w:cs="Times New Roman"/>
                <w:i/>
                <w:sz w:val="20"/>
                <w:szCs w:val="20"/>
              </w:rPr>
            </w:pPr>
            <w:r w:rsidRPr="00A86FA4">
              <w:rPr>
                <w:rFonts w:cs="Times New Roman"/>
                <w:i/>
                <w:sz w:val="20"/>
                <w:szCs w:val="20"/>
              </w:rPr>
              <w:t>savjetovanje, savjetovanje u vezi s brakom, roditeljstvom, obiteljskim i partnerskim odnosima</w:t>
            </w:r>
          </w:p>
          <w:p w14:paraId="623BDC0B" w14:textId="3A354798" w:rsidR="00D538BF" w:rsidRPr="00A86FA4" w:rsidRDefault="00D538BF" w:rsidP="006C1E39">
            <w:pPr>
              <w:jc w:val="right"/>
              <w:rPr>
                <w:rFonts w:cs="Times New Roman"/>
                <w:sz w:val="20"/>
                <w:szCs w:val="20"/>
              </w:rPr>
            </w:pPr>
          </w:p>
        </w:tc>
        <w:tc>
          <w:tcPr>
            <w:tcW w:w="1169" w:type="pct"/>
            <w:vAlign w:val="center"/>
          </w:tcPr>
          <w:p w14:paraId="42211025" w14:textId="77777777" w:rsidR="00B5090F" w:rsidRPr="00A86FA4" w:rsidRDefault="00B5090F" w:rsidP="00B5090F">
            <w:pPr>
              <w:jc w:val="center"/>
              <w:rPr>
                <w:rFonts w:cs="Times New Roman"/>
                <w:i/>
                <w:sz w:val="20"/>
                <w:szCs w:val="20"/>
              </w:rPr>
            </w:pPr>
            <w:r w:rsidRPr="00A86FA4">
              <w:rPr>
                <w:rFonts w:cs="Times New Roman"/>
                <w:i/>
                <w:sz w:val="20"/>
                <w:szCs w:val="20"/>
              </w:rPr>
              <w:t>9 zaposlenih socijalnih mentora u PU HZSR Čakovec i Prelog u Međimurskoj županiji</w:t>
            </w:r>
          </w:p>
          <w:p w14:paraId="09752626" w14:textId="77777777" w:rsidR="00B5090F" w:rsidRPr="00A86FA4" w:rsidRDefault="00B5090F" w:rsidP="00B5090F">
            <w:pPr>
              <w:jc w:val="center"/>
              <w:rPr>
                <w:rFonts w:cs="Times New Roman"/>
                <w:i/>
                <w:sz w:val="20"/>
                <w:szCs w:val="20"/>
              </w:rPr>
            </w:pPr>
            <w:r w:rsidRPr="00A86FA4">
              <w:rPr>
                <w:rFonts w:cs="Times New Roman"/>
                <w:i/>
                <w:sz w:val="20"/>
                <w:szCs w:val="20"/>
              </w:rPr>
              <w:t xml:space="preserve">32 radnika zaposlenih u CPUZ Međimurje </w:t>
            </w:r>
          </w:p>
          <w:p w14:paraId="2D756EE9" w14:textId="7673AC3F" w:rsidR="00D538BF" w:rsidRPr="00A86FA4" w:rsidRDefault="00B5090F" w:rsidP="00B5090F">
            <w:pPr>
              <w:jc w:val="center"/>
              <w:rPr>
                <w:rFonts w:cs="Times New Roman"/>
                <w:sz w:val="20"/>
                <w:szCs w:val="20"/>
              </w:rPr>
            </w:pPr>
            <w:r w:rsidRPr="00A86FA4">
              <w:rPr>
                <w:rFonts w:cs="Times New Roman"/>
                <w:i/>
                <w:sz w:val="20"/>
                <w:szCs w:val="20"/>
              </w:rPr>
              <w:t xml:space="preserve">8 stručnih radnika u Obiteljskom centru </w:t>
            </w:r>
          </w:p>
        </w:tc>
        <w:tc>
          <w:tcPr>
            <w:tcW w:w="1018" w:type="pct"/>
            <w:vAlign w:val="center"/>
          </w:tcPr>
          <w:p w14:paraId="60F3D1E7" w14:textId="5FB53E0F" w:rsidR="00B5090F" w:rsidRPr="00A86FA4" w:rsidRDefault="00B5090F" w:rsidP="00B5090F">
            <w:pPr>
              <w:jc w:val="center"/>
              <w:rPr>
                <w:rFonts w:cs="Times New Roman"/>
                <w:i/>
                <w:sz w:val="20"/>
                <w:szCs w:val="20"/>
              </w:rPr>
            </w:pPr>
            <w:r w:rsidRPr="00A86FA4">
              <w:rPr>
                <w:rFonts w:cs="Times New Roman"/>
                <w:i/>
                <w:sz w:val="20"/>
                <w:szCs w:val="20"/>
              </w:rPr>
              <w:t xml:space="preserve"> U 2024. socijalnim uslugama, uslugama savjetodavnog rada i programskim aktivnostima Obiteljskog centra obuhvaćeno je ukupno 2997 korisnika. Uslugama CPUZ-a Međimurje obuhvaćeno je ukupno 79 korisnika romske nacionalne manjine</w:t>
            </w:r>
          </w:p>
          <w:p w14:paraId="0D2C9D1D" w14:textId="790DFF99" w:rsidR="00D538BF" w:rsidRPr="00A86FA4" w:rsidRDefault="00B5090F" w:rsidP="00B5090F">
            <w:pPr>
              <w:jc w:val="center"/>
              <w:rPr>
                <w:rFonts w:cs="Times New Roman"/>
                <w:sz w:val="20"/>
                <w:szCs w:val="20"/>
              </w:rPr>
            </w:pPr>
            <w:r w:rsidRPr="00A86FA4">
              <w:rPr>
                <w:rFonts w:cs="Times New Roman"/>
                <w:i/>
                <w:sz w:val="20"/>
                <w:szCs w:val="20"/>
              </w:rPr>
              <w:t>Uslugom socijalnog mentorstva obuhvaćeno je ukupno 390 korisnika na području Međimurske županije, od toga 184 osobe romske nacionalne manjine</w:t>
            </w:r>
            <w:r w:rsidR="002F7831">
              <w:rPr>
                <w:rFonts w:cs="Times New Roman"/>
                <w:i/>
                <w:sz w:val="20"/>
                <w:szCs w:val="20"/>
              </w:rPr>
              <w:t xml:space="preserve"> </w:t>
            </w:r>
          </w:p>
        </w:tc>
      </w:tr>
      <w:tr w:rsidR="00705600" w:rsidRPr="00325CD1" w14:paraId="075BCD47" w14:textId="77777777" w:rsidTr="00CA40F2">
        <w:tc>
          <w:tcPr>
            <w:tcW w:w="1561" w:type="pct"/>
            <w:shd w:val="clear" w:color="auto" w:fill="F2F2F2" w:themeFill="background1" w:themeFillShade="F2"/>
            <w:vAlign w:val="center"/>
          </w:tcPr>
          <w:p w14:paraId="66525F17" w14:textId="77777777" w:rsidR="00D538BF" w:rsidRPr="00A86FA4" w:rsidRDefault="00D538BF" w:rsidP="00D36147">
            <w:pPr>
              <w:rPr>
                <w:rFonts w:cs="Times New Roman"/>
                <w:b/>
                <w:sz w:val="20"/>
                <w:szCs w:val="20"/>
              </w:rPr>
            </w:pPr>
            <w:r w:rsidRPr="00A86FA4">
              <w:rPr>
                <w:rFonts w:cs="Times New Roman"/>
                <w:b/>
                <w:sz w:val="20"/>
                <w:szCs w:val="20"/>
              </w:rPr>
              <w:t>IZVORI FINANCIRANJA</w:t>
            </w:r>
          </w:p>
        </w:tc>
        <w:tc>
          <w:tcPr>
            <w:tcW w:w="1252" w:type="pct"/>
            <w:vAlign w:val="center"/>
          </w:tcPr>
          <w:p w14:paraId="0116F08B" w14:textId="77777777" w:rsidR="00D538BF" w:rsidRPr="00A86FA4" w:rsidRDefault="00D538BF" w:rsidP="00D36147">
            <w:pPr>
              <w:jc w:val="center"/>
              <w:rPr>
                <w:rFonts w:cs="Times New Roman"/>
                <w:b/>
                <w:sz w:val="20"/>
                <w:szCs w:val="20"/>
              </w:rPr>
            </w:pPr>
            <w:r w:rsidRPr="00A86FA4">
              <w:rPr>
                <w:rFonts w:cs="Times New Roman"/>
                <w:b/>
                <w:sz w:val="20"/>
                <w:szCs w:val="20"/>
              </w:rPr>
              <w:t>Državni proračun (EUR)</w:t>
            </w:r>
          </w:p>
        </w:tc>
        <w:tc>
          <w:tcPr>
            <w:tcW w:w="1169" w:type="pct"/>
            <w:vAlign w:val="center"/>
          </w:tcPr>
          <w:p w14:paraId="6816A949" w14:textId="63E9F615" w:rsidR="00D538BF" w:rsidRPr="00A86FA4" w:rsidRDefault="00D538BF" w:rsidP="00D36147">
            <w:pPr>
              <w:jc w:val="center"/>
              <w:rPr>
                <w:rFonts w:cs="Times New Roman"/>
                <w:b/>
                <w:sz w:val="20"/>
                <w:szCs w:val="20"/>
              </w:rPr>
            </w:pPr>
            <w:r w:rsidRPr="00A86FA4">
              <w:rPr>
                <w:rFonts w:cs="Times New Roman"/>
                <w:b/>
                <w:sz w:val="20"/>
                <w:szCs w:val="20"/>
              </w:rPr>
              <w:t>EU financiranje (EUR)</w:t>
            </w:r>
          </w:p>
        </w:tc>
        <w:tc>
          <w:tcPr>
            <w:tcW w:w="1018" w:type="pct"/>
            <w:vAlign w:val="center"/>
          </w:tcPr>
          <w:p w14:paraId="4869367A" w14:textId="0B12287D" w:rsidR="00D538BF" w:rsidRPr="00A86FA4" w:rsidRDefault="00D538BF" w:rsidP="00D36147">
            <w:pPr>
              <w:jc w:val="center"/>
              <w:rPr>
                <w:rFonts w:cs="Times New Roman"/>
                <w:b/>
                <w:sz w:val="20"/>
                <w:szCs w:val="20"/>
              </w:rPr>
            </w:pPr>
            <w:r w:rsidRPr="00A86FA4">
              <w:rPr>
                <w:rFonts w:cs="Times New Roman"/>
                <w:b/>
                <w:sz w:val="20"/>
                <w:szCs w:val="20"/>
              </w:rPr>
              <w:t>Drugi izvori (EUR)</w:t>
            </w:r>
          </w:p>
        </w:tc>
      </w:tr>
      <w:tr w:rsidR="00705600" w:rsidRPr="00325CD1" w14:paraId="1130B398" w14:textId="77777777" w:rsidTr="00CA40F2">
        <w:tc>
          <w:tcPr>
            <w:tcW w:w="1561" w:type="pct"/>
            <w:shd w:val="clear" w:color="auto" w:fill="F2F2F2" w:themeFill="background1" w:themeFillShade="F2"/>
            <w:vAlign w:val="center"/>
          </w:tcPr>
          <w:p w14:paraId="67DEBFEF" w14:textId="517C1889" w:rsidR="00D538BF" w:rsidRPr="00A86FA4" w:rsidRDefault="00D538BF" w:rsidP="0072307D">
            <w:pPr>
              <w:rPr>
                <w:rFonts w:cs="Times New Roman"/>
                <w:sz w:val="20"/>
                <w:szCs w:val="20"/>
                <w:highlight w:val="yellow"/>
              </w:rPr>
            </w:pPr>
            <w:r w:rsidRPr="00A86FA4">
              <w:rPr>
                <w:rFonts w:cs="Times New Roman"/>
                <w:sz w:val="20"/>
                <w:szCs w:val="20"/>
              </w:rPr>
              <w:t>Izvori financiranja u 202</w:t>
            </w:r>
            <w:r w:rsidR="00B5090F" w:rsidRPr="00A86FA4">
              <w:rPr>
                <w:rFonts w:cs="Times New Roman"/>
                <w:sz w:val="20"/>
                <w:szCs w:val="20"/>
              </w:rPr>
              <w:t>4</w:t>
            </w:r>
            <w:r w:rsidRPr="00A86FA4">
              <w:rPr>
                <w:rFonts w:cs="Times New Roman"/>
                <w:sz w:val="20"/>
                <w:szCs w:val="20"/>
              </w:rPr>
              <w:t>. (proračunska pozicija i predviđeni iznos sredstava)</w:t>
            </w:r>
          </w:p>
        </w:tc>
        <w:tc>
          <w:tcPr>
            <w:tcW w:w="1252" w:type="pct"/>
            <w:vAlign w:val="center"/>
          </w:tcPr>
          <w:p w14:paraId="2EA0DC9B" w14:textId="77777777" w:rsidR="00D538BF" w:rsidRPr="00A86FA4" w:rsidRDefault="00D538BF" w:rsidP="00D36147">
            <w:pPr>
              <w:jc w:val="center"/>
              <w:rPr>
                <w:rFonts w:cs="Times New Roman"/>
                <w:sz w:val="20"/>
                <w:szCs w:val="20"/>
              </w:rPr>
            </w:pPr>
            <w:r w:rsidRPr="00A86FA4">
              <w:rPr>
                <w:rFonts w:cs="Times New Roman"/>
                <w:sz w:val="20"/>
                <w:szCs w:val="20"/>
              </w:rPr>
              <w:t>A854006 Administracija</w:t>
            </w:r>
          </w:p>
          <w:p w14:paraId="677614EE" w14:textId="6C3BFD39" w:rsidR="00D538BF" w:rsidRPr="00A86FA4" w:rsidRDefault="00D538BF" w:rsidP="00D36147">
            <w:pPr>
              <w:jc w:val="center"/>
              <w:rPr>
                <w:rFonts w:cs="Times New Roman"/>
                <w:sz w:val="20"/>
                <w:szCs w:val="20"/>
                <w:highlight w:val="yellow"/>
              </w:rPr>
            </w:pPr>
            <w:r w:rsidRPr="00A86FA4">
              <w:rPr>
                <w:rFonts w:cs="Times New Roman"/>
                <w:sz w:val="20"/>
                <w:szCs w:val="20"/>
              </w:rPr>
              <w:t>i upravljanje</w:t>
            </w:r>
          </w:p>
        </w:tc>
        <w:tc>
          <w:tcPr>
            <w:tcW w:w="1169" w:type="pct"/>
            <w:vAlign w:val="center"/>
          </w:tcPr>
          <w:p w14:paraId="380DD7E3" w14:textId="5C901F09" w:rsidR="00D538BF" w:rsidRPr="00A86FA4" w:rsidRDefault="00D538BF" w:rsidP="00D36147">
            <w:pPr>
              <w:jc w:val="center"/>
              <w:rPr>
                <w:rFonts w:cs="Times New Roman"/>
                <w:sz w:val="20"/>
                <w:szCs w:val="20"/>
                <w:highlight w:val="yellow"/>
              </w:rPr>
            </w:pPr>
            <w:r w:rsidRPr="00A86FA4">
              <w:rPr>
                <w:rFonts w:cs="Times New Roman"/>
                <w:sz w:val="20"/>
                <w:szCs w:val="20"/>
              </w:rPr>
              <w:t>0,00</w:t>
            </w:r>
          </w:p>
        </w:tc>
        <w:tc>
          <w:tcPr>
            <w:tcW w:w="1018" w:type="pct"/>
            <w:vAlign w:val="center"/>
          </w:tcPr>
          <w:p w14:paraId="061FE8C0" w14:textId="2B1F64C1" w:rsidR="00D538BF" w:rsidRPr="00A86FA4" w:rsidRDefault="00D538BF" w:rsidP="00D36147">
            <w:pPr>
              <w:jc w:val="center"/>
              <w:rPr>
                <w:rFonts w:cs="Times New Roman"/>
                <w:sz w:val="20"/>
                <w:szCs w:val="20"/>
              </w:rPr>
            </w:pPr>
            <w:r w:rsidRPr="00A86FA4">
              <w:rPr>
                <w:rFonts w:cs="Times New Roman"/>
                <w:sz w:val="20"/>
                <w:szCs w:val="20"/>
              </w:rPr>
              <w:t>0,00</w:t>
            </w:r>
          </w:p>
        </w:tc>
      </w:tr>
      <w:tr w:rsidR="00705600" w:rsidRPr="00325CD1" w14:paraId="2C1DDEBB" w14:textId="77777777" w:rsidTr="00CA40F2">
        <w:tc>
          <w:tcPr>
            <w:tcW w:w="1561" w:type="pct"/>
            <w:vMerge w:val="restart"/>
            <w:shd w:val="clear" w:color="auto" w:fill="F2F2F2" w:themeFill="background1" w:themeFillShade="F2"/>
            <w:vAlign w:val="center"/>
          </w:tcPr>
          <w:p w14:paraId="14667748" w14:textId="6E68FBE7" w:rsidR="00D538BF" w:rsidRPr="00A86FA4" w:rsidRDefault="00D538BF" w:rsidP="00D36147">
            <w:pPr>
              <w:rPr>
                <w:rFonts w:cs="Times New Roman"/>
                <w:b/>
                <w:bCs/>
                <w:sz w:val="20"/>
                <w:szCs w:val="20"/>
              </w:rPr>
            </w:pPr>
            <w:r w:rsidRPr="00A86FA4">
              <w:rPr>
                <w:rFonts w:cs="Times New Roman"/>
                <w:b/>
                <w:bCs/>
                <w:sz w:val="20"/>
                <w:szCs w:val="20"/>
              </w:rPr>
              <w:t>UKUPNO UTROŠENA SREDSTVA PO IZVORU</w:t>
            </w:r>
          </w:p>
        </w:tc>
        <w:tc>
          <w:tcPr>
            <w:tcW w:w="1252" w:type="pct"/>
            <w:vAlign w:val="center"/>
          </w:tcPr>
          <w:p w14:paraId="39FACD50" w14:textId="77777777" w:rsidR="00D538BF" w:rsidRPr="00A86FA4" w:rsidRDefault="00D538BF" w:rsidP="00D36147">
            <w:pPr>
              <w:jc w:val="center"/>
              <w:rPr>
                <w:rFonts w:cs="Times New Roman"/>
                <w:b/>
                <w:bCs/>
                <w:sz w:val="20"/>
                <w:szCs w:val="20"/>
              </w:rPr>
            </w:pPr>
            <w:r w:rsidRPr="00A86FA4">
              <w:rPr>
                <w:rFonts w:cs="Times New Roman"/>
                <w:b/>
                <w:bCs/>
                <w:sz w:val="20"/>
                <w:szCs w:val="20"/>
              </w:rPr>
              <w:t>Državni proračun (EUR)</w:t>
            </w:r>
          </w:p>
        </w:tc>
        <w:tc>
          <w:tcPr>
            <w:tcW w:w="1169" w:type="pct"/>
            <w:vAlign w:val="center"/>
          </w:tcPr>
          <w:p w14:paraId="65A34CD4" w14:textId="219277FF" w:rsidR="00D538BF" w:rsidRPr="00A86FA4" w:rsidRDefault="00D538BF" w:rsidP="00D36147">
            <w:pPr>
              <w:jc w:val="center"/>
              <w:rPr>
                <w:rFonts w:cs="Times New Roman"/>
                <w:b/>
                <w:bCs/>
                <w:sz w:val="20"/>
                <w:szCs w:val="20"/>
              </w:rPr>
            </w:pPr>
            <w:r w:rsidRPr="00A86FA4">
              <w:rPr>
                <w:rFonts w:cs="Times New Roman"/>
                <w:b/>
                <w:bCs/>
                <w:sz w:val="20"/>
                <w:szCs w:val="20"/>
              </w:rPr>
              <w:t>EU financiranje (EUR)</w:t>
            </w:r>
          </w:p>
        </w:tc>
        <w:tc>
          <w:tcPr>
            <w:tcW w:w="1018" w:type="pct"/>
            <w:vAlign w:val="center"/>
          </w:tcPr>
          <w:p w14:paraId="44C747E4" w14:textId="77777777" w:rsidR="00D538BF" w:rsidRPr="00A86FA4" w:rsidRDefault="00D538BF" w:rsidP="00D36147">
            <w:pPr>
              <w:jc w:val="center"/>
              <w:rPr>
                <w:rFonts w:cs="Times New Roman"/>
                <w:b/>
                <w:bCs/>
                <w:sz w:val="20"/>
                <w:szCs w:val="20"/>
              </w:rPr>
            </w:pPr>
            <w:r w:rsidRPr="00A86FA4">
              <w:rPr>
                <w:rFonts w:cs="Times New Roman"/>
                <w:b/>
                <w:bCs/>
                <w:sz w:val="20"/>
                <w:szCs w:val="20"/>
              </w:rPr>
              <w:t>Drugi izvori (EUR)</w:t>
            </w:r>
          </w:p>
        </w:tc>
      </w:tr>
      <w:tr w:rsidR="00705600" w:rsidRPr="00325CD1" w14:paraId="02FB5283" w14:textId="77777777" w:rsidTr="00CA40F2">
        <w:tc>
          <w:tcPr>
            <w:tcW w:w="1561" w:type="pct"/>
            <w:vMerge/>
            <w:shd w:val="clear" w:color="auto" w:fill="F2F2F2" w:themeFill="background1" w:themeFillShade="F2"/>
            <w:vAlign w:val="center"/>
          </w:tcPr>
          <w:p w14:paraId="10F66ACD" w14:textId="77777777" w:rsidR="00D538BF" w:rsidRPr="00A86FA4" w:rsidRDefault="00D538BF" w:rsidP="00D36147">
            <w:pPr>
              <w:rPr>
                <w:rFonts w:cs="Times New Roman"/>
                <w:b/>
                <w:bCs/>
                <w:sz w:val="20"/>
                <w:szCs w:val="20"/>
              </w:rPr>
            </w:pPr>
          </w:p>
        </w:tc>
        <w:tc>
          <w:tcPr>
            <w:tcW w:w="1252" w:type="pct"/>
            <w:vAlign w:val="center"/>
          </w:tcPr>
          <w:p w14:paraId="36BF8E31" w14:textId="77777777" w:rsidR="00B5090F" w:rsidRPr="00A86FA4" w:rsidRDefault="00B5090F" w:rsidP="00B5090F">
            <w:pPr>
              <w:rPr>
                <w:rFonts w:cs="Times New Roman"/>
                <w:i/>
                <w:sz w:val="20"/>
                <w:szCs w:val="20"/>
              </w:rPr>
            </w:pPr>
            <w:r w:rsidRPr="00A86FA4">
              <w:rPr>
                <w:rFonts w:cs="Times New Roman"/>
                <w:i/>
                <w:sz w:val="20"/>
                <w:szCs w:val="20"/>
              </w:rPr>
              <w:t>A734192 Skrb za djecu bez odgovarajuće roditeljske skrbi CPUZ Međimurje</w:t>
            </w:r>
          </w:p>
          <w:p w14:paraId="6DBEC7B6" w14:textId="77777777" w:rsidR="00B5090F" w:rsidRPr="00A86FA4" w:rsidRDefault="00B5090F" w:rsidP="00B5090F">
            <w:pPr>
              <w:rPr>
                <w:rFonts w:cs="Times New Roman"/>
                <w:i/>
                <w:sz w:val="20"/>
                <w:szCs w:val="20"/>
              </w:rPr>
            </w:pPr>
            <w:r w:rsidRPr="00A86FA4">
              <w:rPr>
                <w:rFonts w:cs="Times New Roman"/>
                <w:i/>
                <w:sz w:val="20"/>
                <w:szCs w:val="20"/>
              </w:rPr>
              <w:t xml:space="preserve">720.000,00 EUR </w:t>
            </w:r>
          </w:p>
          <w:p w14:paraId="4B00901F" w14:textId="77777777" w:rsidR="00B5090F" w:rsidRPr="00A86FA4" w:rsidRDefault="00B5090F" w:rsidP="00B5090F">
            <w:pPr>
              <w:rPr>
                <w:rFonts w:cs="Times New Roman"/>
                <w:i/>
                <w:sz w:val="20"/>
                <w:szCs w:val="20"/>
              </w:rPr>
            </w:pPr>
          </w:p>
          <w:p w14:paraId="6FA5CA9A" w14:textId="77777777" w:rsidR="00B5090F" w:rsidRPr="00A86FA4" w:rsidRDefault="00B5090F" w:rsidP="00B5090F">
            <w:pPr>
              <w:rPr>
                <w:rFonts w:cs="Times New Roman"/>
                <w:i/>
                <w:sz w:val="20"/>
                <w:szCs w:val="20"/>
              </w:rPr>
            </w:pPr>
            <w:r w:rsidRPr="00A86FA4">
              <w:rPr>
                <w:rFonts w:cs="Times New Roman"/>
                <w:i/>
                <w:sz w:val="20"/>
                <w:szCs w:val="20"/>
              </w:rPr>
              <w:lastRenderedPageBreak/>
              <w:t>A940003 Administracija i upravljanje Obiteljskog centra 265.920,00 EUR</w:t>
            </w:r>
          </w:p>
          <w:p w14:paraId="586BFD28" w14:textId="2BF279B8" w:rsidR="00D538BF" w:rsidRPr="00A86FA4" w:rsidRDefault="00D538BF" w:rsidP="00D36147">
            <w:pPr>
              <w:jc w:val="center"/>
              <w:rPr>
                <w:rFonts w:cs="Times New Roman"/>
                <w:b/>
                <w:bCs/>
                <w:sz w:val="20"/>
                <w:szCs w:val="20"/>
              </w:rPr>
            </w:pPr>
          </w:p>
        </w:tc>
        <w:tc>
          <w:tcPr>
            <w:tcW w:w="1169" w:type="pct"/>
            <w:vAlign w:val="center"/>
          </w:tcPr>
          <w:p w14:paraId="6F704F3D" w14:textId="10346090" w:rsidR="00B5090F" w:rsidRPr="00A86FA4" w:rsidRDefault="00B5090F" w:rsidP="00B5090F">
            <w:pPr>
              <w:rPr>
                <w:rFonts w:cs="Times New Roman"/>
                <w:i/>
                <w:sz w:val="20"/>
                <w:szCs w:val="20"/>
              </w:rPr>
            </w:pPr>
            <w:r w:rsidRPr="00A86FA4">
              <w:rPr>
                <w:rFonts w:cs="Times New Roman"/>
                <w:i/>
                <w:sz w:val="20"/>
                <w:szCs w:val="20"/>
              </w:rPr>
              <w:lastRenderedPageBreak/>
              <w:t xml:space="preserve"> T797014 – Razvoj socijalnih usluga u zajednici – NPOO </w:t>
            </w:r>
          </w:p>
          <w:p w14:paraId="429CC801" w14:textId="77777777" w:rsidR="00B5090F" w:rsidRPr="00A86FA4" w:rsidRDefault="00B5090F" w:rsidP="00B5090F">
            <w:pPr>
              <w:rPr>
                <w:rFonts w:cs="Times New Roman"/>
                <w:i/>
                <w:sz w:val="20"/>
                <w:szCs w:val="20"/>
              </w:rPr>
            </w:pPr>
            <w:r w:rsidRPr="00A86FA4">
              <w:rPr>
                <w:rFonts w:cs="Times New Roman"/>
                <w:i/>
                <w:sz w:val="20"/>
                <w:szCs w:val="20"/>
              </w:rPr>
              <w:t>270.000 EUR za plaće socijalnih mentora</w:t>
            </w:r>
          </w:p>
          <w:p w14:paraId="13B1971F" w14:textId="77777777" w:rsidR="00B5090F" w:rsidRPr="00A86FA4" w:rsidRDefault="00B5090F" w:rsidP="00B5090F">
            <w:pPr>
              <w:rPr>
                <w:rFonts w:cs="Times New Roman"/>
                <w:i/>
                <w:sz w:val="20"/>
                <w:szCs w:val="20"/>
              </w:rPr>
            </w:pPr>
            <w:r w:rsidRPr="00A86FA4">
              <w:rPr>
                <w:rFonts w:cs="Times New Roman"/>
                <w:i/>
                <w:sz w:val="20"/>
                <w:szCs w:val="20"/>
              </w:rPr>
              <w:lastRenderedPageBreak/>
              <w:t xml:space="preserve"> T797014 – Razvoj socijalnih usluga u zajednici – NPOO</w:t>
            </w:r>
          </w:p>
          <w:p w14:paraId="1EFF420D" w14:textId="77777777" w:rsidR="00B5090F" w:rsidRPr="00A86FA4" w:rsidRDefault="00B5090F" w:rsidP="00B5090F">
            <w:pPr>
              <w:rPr>
                <w:rFonts w:cs="Times New Roman"/>
                <w:i/>
                <w:sz w:val="20"/>
                <w:szCs w:val="20"/>
              </w:rPr>
            </w:pPr>
            <w:r w:rsidRPr="00A86FA4">
              <w:rPr>
                <w:rFonts w:cs="Times New Roman"/>
                <w:i/>
                <w:sz w:val="20"/>
                <w:szCs w:val="20"/>
              </w:rPr>
              <w:t xml:space="preserve">117.000 EUR za plaće CPUZ Međimurje (obiteljski suradnici) </w:t>
            </w:r>
          </w:p>
          <w:p w14:paraId="41DBDAB2" w14:textId="603C5134" w:rsidR="00D538BF" w:rsidRPr="00A86FA4" w:rsidRDefault="00D538BF" w:rsidP="00B5090F">
            <w:pPr>
              <w:jc w:val="center"/>
              <w:rPr>
                <w:rFonts w:cs="Times New Roman"/>
                <w:b/>
                <w:bCs/>
                <w:sz w:val="20"/>
                <w:szCs w:val="20"/>
              </w:rPr>
            </w:pPr>
          </w:p>
        </w:tc>
        <w:tc>
          <w:tcPr>
            <w:tcW w:w="1018" w:type="pct"/>
            <w:vAlign w:val="center"/>
          </w:tcPr>
          <w:p w14:paraId="2A61BF79" w14:textId="03433360" w:rsidR="00D538BF" w:rsidRPr="00A86FA4" w:rsidRDefault="00D538BF" w:rsidP="00D36147">
            <w:pPr>
              <w:jc w:val="center"/>
              <w:rPr>
                <w:rFonts w:cs="Times New Roman"/>
                <w:b/>
                <w:bCs/>
                <w:sz w:val="20"/>
                <w:szCs w:val="20"/>
              </w:rPr>
            </w:pPr>
            <w:r w:rsidRPr="00A86FA4">
              <w:rPr>
                <w:rFonts w:cs="Times New Roman"/>
                <w:b/>
                <w:bCs/>
                <w:sz w:val="20"/>
                <w:szCs w:val="20"/>
              </w:rPr>
              <w:lastRenderedPageBreak/>
              <w:t>0,00</w:t>
            </w:r>
          </w:p>
        </w:tc>
      </w:tr>
      <w:tr w:rsidR="00705600" w:rsidRPr="00325CD1" w14:paraId="5C662B55" w14:textId="77777777" w:rsidTr="00CA40F2">
        <w:trPr>
          <w:trHeight w:val="357"/>
        </w:trPr>
        <w:tc>
          <w:tcPr>
            <w:tcW w:w="1561" w:type="pct"/>
            <w:shd w:val="clear" w:color="auto" w:fill="F2F2F2" w:themeFill="background1" w:themeFillShade="F2"/>
            <w:vAlign w:val="center"/>
          </w:tcPr>
          <w:p w14:paraId="7E991EFD" w14:textId="0C1A4E72" w:rsidR="00D538BF" w:rsidRPr="00A86FA4" w:rsidRDefault="00D538BF" w:rsidP="00D36147">
            <w:pPr>
              <w:rPr>
                <w:rFonts w:cs="Times New Roman"/>
                <w:sz w:val="20"/>
                <w:szCs w:val="20"/>
              </w:rPr>
            </w:pPr>
            <w:r w:rsidRPr="00A86FA4">
              <w:rPr>
                <w:rFonts w:cs="Times New Roman"/>
                <w:sz w:val="20"/>
                <w:szCs w:val="20"/>
              </w:rPr>
              <w:t>ROK PROVEDBE AKTIVNOSTI</w:t>
            </w:r>
          </w:p>
        </w:tc>
        <w:tc>
          <w:tcPr>
            <w:tcW w:w="3439" w:type="pct"/>
            <w:gridSpan w:val="3"/>
            <w:vAlign w:val="center"/>
          </w:tcPr>
          <w:p w14:paraId="5346C0FA" w14:textId="77777777" w:rsidR="00D538BF" w:rsidRPr="00A86FA4" w:rsidRDefault="00D538BF" w:rsidP="00D36147">
            <w:pPr>
              <w:rPr>
                <w:rFonts w:cs="Times New Roman"/>
                <w:sz w:val="20"/>
                <w:szCs w:val="20"/>
              </w:rPr>
            </w:pPr>
            <w:r w:rsidRPr="00A86FA4">
              <w:rPr>
                <w:rFonts w:cs="Times New Roman"/>
                <w:sz w:val="20"/>
                <w:szCs w:val="20"/>
              </w:rPr>
              <w:t>IV. kvartal 2025.</w:t>
            </w:r>
          </w:p>
        </w:tc>
      </w:tr>
      <w:bookmarkEnd w:id="26"/>
    </w:tbl>
    <w:p w14:paraId="7154638F" w14:textId="7862CF11" w:rsidR="00B40118" w:rsidRPr="00A86FA4" w:rsidRDefault="00B40118" w:rsidP="004A3B23">
      <w:pPr>
        <w:spacing w:after="0" w:line="276" w:lineRule="auto"/>
        <w:jc w:val="both"/>
        <w:rPr>
          <w:rFonts w:cs="Times New Roman"/>
          <w:i/>
          <w:iCs/>
          <w:sz w:val="20"/>
          <w:szCs w:val="20"/>
        </w:rPr>
      </w:pPr>
    </w:p>
    <w:p w14:paraId="01AEAB27" w14:textId="77777777" w:rsidR="00705600" w:rsidRPr="00550221" w:rsidRDefault="00705600" w:rsidP="004A3B23">
      <w:pPr>
        <w:spacing w:after="0" w:line="276" w:lineRule="auto"/>
        <w:jc w:val="both"/>
        <w:rPr>
          <w:rFonts w:cs="Times New Roman"/>
          <w:i/>
          <w:iCs/>
          <w:szCs w:val="24"/>
        </w:rPr>
      </w:pPr>
    </w:p>
    <w:p w14:paraId="3548EB26" w14:textId="23AAD8F4" w:rsidR="00024EF9" w:rsidRPr="00550221" w:rsidRDefault="004F7519" w:rsidP="00AB12E9">
      <w:pPr>
        <w:spacing w:after="0" w:line="276" w:lineRule="auto"/>
        <w:jc w:val="both"/>
        <w:rPr>
          <w:rFonts w:cs="Times New Roman"/>
          <w:i/>
          <w:iCs/>
          <w:szCs w:val="24"/>
        </w:rPr>
      </w:pPr>
      <w:r w:rsidRPr="00550221">
        <w:rPr>
          <w:rFonts w:cs="Times New Roman"/>
          <w:i/>
          <w:iCs/>
          <w:szCs w:val="24"/>
        </w:rPr>
        <w:t>Aktivnost 2.3.</w:t>
      </w:r>
      <w:r w:rsidR="00B40118" w:rsidRPr="00550221">
        <w:rPr>
          <w:rFonts w:cs="Times New Roman"/>
          <w:i/>
          <w:iCs/>
          <w:szCs w:val="24"/>
        </w:rPr>
        <w:t>2</w:t>
      </w:r>
      <w:r w:rsidRPr="00550221">
        <w:rPr>
          <w:rFonts w:cs="Times New Roman"/>
          <w:i/>
          <w:iCs/>
          <w:szCs w:val="24"/>
        </w:rPr>
        <w:t>. Pilot projekt pružanja usluga u zajednici</w:t>
      </w:r>
      <w:r w:rsidR="00C81485" w:rsidRPr="00550221">
        <w:rPr>
          <w:rFonts w:cs="Times New Roman"/>
          <w:i/>
          <w:iCs/>
          <w:szCs w:val="24"/>
        </w:rPr>
        <w:t xml:space="preserve"> - </w:t>
      </w:r>
      <w:r w:rsidR="00024EF9" w:rsidRPr="00550221">
        <w:rPr>
          <w:rFonts w:cs="Times New Roman"/>
          <w:i/>
          <w:iCs/>
          <w:szCs w:val="24"/>
        </w:rPr>
        <w:t>JUPI PILOT</w:t>
      </w:r>
    </w:p>
    <w:p w14:paraId="462A27B7" w14:textId="4EE207F3" w:rsidR="004F7519" w:rsidRPr="00550221" w:rsidRDefault="00024EF9" w:rsidP="00D36147">
      <w:pPr>
        <w:spacing w:after="0" w:line="276" w:lineRule="auto"/>
        <w:jc w:val="both"/>
        <w:rPr>
          <w:rFonts w:cs="Times New Roman"/>
          <w:i/>
          <w:iCs/>
          <w:szCs w:val="24"/>
        </w:rPr>
      </w:pPr>
      <w:r w:rsidRPr="00550221">
        <w:rPr>
          <w:rFonts w:cs="Times New Roman"/>
          <w:i/>
          <w:iCs/>
          <w:szCs w:val="24"/>
        </w:rPr>
        <w:t xml:space="preserve">Nositelj provedbe: </w:t>
      </w:r>
      <w:r w:rsidR="004F7519" w:rsidRPr="00597879">
        <w:rPr>
          <w:rFonts w:cs="Times New Roman"/>
          <w:i/>
          <w:iCs/>
          <w:szCs w:val="24"/>
        </w:rPr>
        <w:t>Ured</w:t>
      </w:r>
      <w:r w:rsidR="0072307D" w:rsidRPr="00597879">
        <w:rPr>
          <w:rFonts w:cs="Times New Roman"/>
          <w:i/>
          <w:iCs/>
          <w:szCs w:val="24"/>
        </w:rPr>
        <w:t xml:space="preserve"> za ljudska prava i prava nacionalnih manjina</w:t>
      </w:r>
      <w:r w:rsidR="004F7519" w:rsidRPr="00597879">
        <w:rPr>
          <w:rFonts w:cs="Times New Roman"/>
          <w:i/>
          <w:iCs/>
          <w:szCs w:val="24"/>
        </w:rPr>
        <w:t xml:space="preserve"> </w:t>
      </w:r>
    </w:p>
    <w:p w14:paraId="6C943FF3" w14:textId="77777777" w:rsidR="005A6860" w:rsidRPr="00550221" w:rsidRDefault="005A6860" w:rsidP="00D36147">
      <w:pPr>
        <w:spacing w:after="0" w:line="276" w:lineRule="auto"/>
        <w:jc w:val="both"/>
        <w:rPr>
          <w:rFonts w:cs="Times New Roman"/>
          <w:i/>
          <w:iCs/>
          <w:szCs w:val="24"/>
        </w:rPr>
      </w:pPr>
    </w:p>
    <w:bookmarkEnd w:id="25"/>
    <w:p w14:paraId="4ED03FA7" w14:textId="23F8A630" w:rsidR="00BC28C4" w:rsidRPr="00550221" w:rsidRDefault="00FA6F5C" w:rsidP="00D36147">
      <w:pPr>
        <w:spacing w:after="0" w:line="276" w:lineRule="auto"/>
        <w:jc w:val="both"/>
        <w:rPr>
          <w:rFonts w:cs="Times New Roman"/>
          <w:iCs/>
          <w:szCs w:val="24"/>
        </w:rPr>
      </w:pPr>
      <w:r w:rsidRPr="00550221">
        <w:rPr>
          <w:rFonts w:cs="Times New Roman"/>
          <w:iCs/>
          <w:szCs w:val="24"/>
        </w:rPr>
        <w:t>Ured</w:t>
      </w:r>
      <w:r w:rsidR="00D20E8D" w:rsidRPr="00550221">
        <w:rPr>
          <w:rFonts w:cs="Times New Roman"/>
          <w:iCs/>
          <w:szCs w:val="24"/>
        </w:rPr>
        <w:t xml:space="preserve"> </w:t>
      </w:r>
      <w:r w:rsidRPr="00550221">
        <w:rPr>
          <w:rFonts w:cs="Times New Roman"/>
          <w:iCs/>
          <w:szCs w:val="24"/>
        </w:rPr>
        <w:t xml:space="preserve">je provodio pripremne radnje za planiranje i provedbu Pilot projekta pružanja usluga u zajednici na 5 lokaliteta u romskim zajednicama. </w:t>
      </w:r>
      <w:r w:rsidR="00B92FFE" w:rsidRPr="00550221">
        <w:rPr>
          <w:rFonts w:cs="Times New Roman"/>
          <w:iCs/>
          <w:szCs w:val="24"/>
        </w:rPr>
        <w:t>Ova aktivnost odnosi se na Poziv koji će biti objavljen u okviru Europskog socijalnog fonda plus</w:t>
      </w:r>
      <w:r w:rsidR="005412B3">
        <w:rPr>
          <w:rFonts w:cs="Times New Roman"/>
          <w:iCs/>
          <w:szCs w:val="24"/>
        </w:rPr>
        <w:t xml:space="preserve"> koji će se financirati kroz Program „Učinkoviti ljudski potencijali 2021.</w:t>
      </w:r>
      <w:r w:rsidR="00AA0E5E">
        <w:rPr>
          <w:rFonts w:cs="Times New Roman"/>
          <w:iCs/>
          <w:szCs w:val="24"/>
        </w:rPr>
        <w:t xml:space="preserve"> </w:t>
      </w:r>
      <w:r w:rsidR="005412B3">
        <w:rPr>
          <w:rFonts w:cs="Times New Roman"/>
          <w:iCs/>
          <w:szCs w:val="24"/>
        </w:rPr>
        <w:t>-</w:t>
      </w:r>
      <w:r w:rsidR="00AA0E5E">
        <w:rPr>
          <w:rFonts w:cs="Times New Roman"/>
          <w:iCs/>
          <w:szCs w:val="24"/>
        </w:rPr>
        <w:t xml:space="preserve"> </w:t>
      </w:r>
      <w:r w:rsidR="005412B3">
        <w:rPr>
          <w:rFonts w:cs="Times New Roman"/>
          <w:iCs/>
          <w:szCs w:val="24"/>
        </w:rPr>
        <w:t>2027.“</w:t>
      </w:r>
      <w:r w:rsidR="00B92FFE" w:rsidRPr="00550221">
        <w:rPr>
          <w:rFonts w:cs="Times New Roman"/>
          <w:iCs/>
          <w:szCs w:val="24"/>
        </w:rPr>
        <w:t xml:space="preserve"> „Jednakost, uključivanje, participacija i integracija Roma – pilot projekt pružanja usluga u zajednici – JUPI PILOT“. </w:t>
      </w:r>
      <w:r w:rsidRPr="00550221">
        <w:rPr>
          <w:rFonts w:cs="Times New Roman"/>
          <w:iCs/>
          <w:szCs w:val="24"/>
        </w:rPr>
        <w:t>Pripremne su aktivnosti uglavnom uključivale sastanke s Ministarstvom rada, mirovinskog</w:t>
      </w:r>
      <w:r w:rsidR="003379F1" w:rsidRPr="00550221">
        <w:rPr>
          <w:rFonts w:cs="Times New Roman"/>
          <w:iCs/>
          <w:szCs w:val="24"/>
        </w:rPr>
        <w:t>a</w:t>
      </w:r>
      <w:r w:rsidRPr="00550221">
        <w:rPr>
          <w:rFonts w:cs="Times New Roman"/>
          <w:iCs/>
          <w:szCs w:val="24"/>
        </w:rPr>
        <w:t xml:space="preserve"> sustava, obitelji i socijalne politike te UNICEF-om kako bi se osigurala komplementarnost s aktivnostima planiranim u okviru reforme sustava socijalne skrbi te održivost aktivnosti razvijenih u okviru projekta </w:t>
      </w:r>
      <w:r w:rsidRPr="00550221">
        <w:rPr>
          <w:rFonts w:cs="Times New Roman"/>
          <w:i/>
          <w:iCs/>
          <w:szCs w:val="24"/>
        </w:rPr>
        <w:t xml:space="preserve">Testiranje jamstva za svako dijete u </w:t>
      </w:r>
      <w:r w:rsidR="003379F1" w:rsidRPr="00550221">
        <w:rPr>
          <w:rFonts w:cs="Times New Roman"/>
          <w:i/>
          <w:iCs/>
          <w:szCs w:val="24"/>
        </w:rPr>
        <w:t>Republici Hrvatskoj</w:t>
      </w:r>
      <w:r w:rsidRPr="00550221">
        <w:rPr>
          <w:rFonts w:cs="Times New Roman"/>
          <w:iCs/>
          <w:szCs w:val="24"/>
        </w:rPr>
        <w:t xml:space="preserve">, kao i pripremila adekvatna podloga u programskim dokumentima EU fondova. Uz to, provodile su se aktivnosti </w:t>
      </w:r>
      <w:r w:rsidR="009B42D2" w:rsidRPr="00550221">
        <w:rPr>
          <w:rFonts w:cs="Times New Roman"/>
          <w:iCs/>
          <w:szCs w:val="24"/>
        </w:rPr>
        <w:t xml:space="preserve">konzultacija s drugim dionicima, predstavnicima </w:t>
      </w:r>
      <w:r w:rsidR="009B42D2" w:rsidRPr="00550221">
        <w:rPr>
          <w:rFonts w:eastAsia="Times New Roman" w:cs="Times New Roman"/>
          <w:szCs w:val="24"/>
        </w:rPr>
        <w:t>civilnog društva i akademske zajednice</w:t>
      </w:r>
      <w:r w:rsidR="00A07AE7" w:rsidRPr="00550221">
        <w:rPr>
          <w:rFonts w:cs="Times New Roman"/>
          <w:iCs/>
          <w:szCs w:val="24"/>
        </w:rPr>
        <w:t xml:space="preserve">, </w:t>
      </w:r>
      <w:r w:rsidRPr="00550221">
        <w:rPr>
          <w:rFonts w:cs="Times New Roman"/>
          <w:iCs/>
          <w:szCs w:val="24"/>
        </w:rPr>
        <w:t>najave projekta na regionalnoj i lokalnoj razini te provjere zainteresiranosti dionika na lokalnoj i regionalnoj razini za prijav</w:t>
      </w:r>
      <w:r w:rsidR="00DD3AFB" w:rsidRPr="00550221">
        <w:rPr>
          <w:rFonts w:cs="Times New Roman"/>
          <w:iCs/>
          <w:szCs w:val="24"/>
        </w:rPr>
        <w:t>u</w:t>
      </w:r>
      <w:r w:rsidRPr="00550221">
        <w:rPr>
          <w:rFonts w:cs="Times New Roman"/>
          <w:iCs/>
          <w:szCs w:val="24"/>
        </w:rPr>
        <w:t xml:space="preserve"> na predmetni poziv (</w:t>
      </w:r>
      <w:r w:rsidR="009E32C1" w:rsidRPr="00550221">
        <w:rPr>
          <w:rFonts w:cs="Times New Roman"/>
          <w:iCs/>
          <w:szCs w:val="24"/>
        </w:rPr>
        <w:t xml:space="preserve">Slavonski Brod, </w:t>
      </w:r>
      <w:r w:rsidRPr="00550221">
        <w:rPr>
          <w:rFonts w:cs="Times New Roman"/>
          <w:iCs/>
          <w:szCs w:val="24"/>
        </w:rPr>
        <w:t>Beli Manastir</w:t>
      </w:r>
      <w:r w:rsidR="001A5379" w:rsidRPr="00550221">
        <w:rPr>
          <w:rFonts w:cs="Times New Roman"/>
          <w:iCs/>
          <w:szCs w:val="24"/>
        </w:rPr>
        <w:t>, Darda</w:t>
      </w:r>
      <w:r w:rsidRPr="00550221">
        <w:rPr>
          <w:rFonts w:cs="Times New Roman"/>
          <w:iCs/>
          <w:szCs w:val="24"/>
        </w:rPr>
        <w:t xml:space="preserve"> i Jagodnjak </w:t>
      </w:r>
      <w:r w:rsidR="009E32C1" w:rsidRPr="00550221">
        <w:rPr>
          <w:rFonts w:cs="Times New Roman"/>
          <w:iCs/>
          <w:szCs w:val="24"/>
        </w:rPr>
        <w:t>4. siječnja</w:t>
      </w:r>
      <w:r w:rsidRPr="00550221">
        <w:rPr>
          <w:rFonts w:cs="Times New Roman"/>
          <w:iCs/>
          <w:szCs w:val="24"/>
        </w:rPr>
        <w:t>, Parag, Kuršanec</w:t>
      </w:r>
      <w:r w:rsidR="001A5379" w:rsidRPr="00550221">
        <w:rPr>
          <w:rFonts w:cs="Times New Roman"/>
          <w:iCs/>
          <w:szCs w:val="24"/>
        </w:rPr>
        <w:t xml:space="preserve"> i Čakovec 10. siječnja, </w:t>
      </w:r>
      <w:r w:rsidRPr="00550221">
        <w:rPr>
          <w:rFonts w:cs="Times New Roman"/>
          <w:iCs/>
          <w:szCs w:val="24"/>
        </w:rPr>
        <w:t>Orehovica, P</w:t>
      </w:r>
      <w:r w:rsidR="001A5379" w:rsidRPr="00550221">
        <w:rPr>
          <w:rFonts w:cs="Times New Roman"/>
          <w:iCs/>
          <w:szCs w:val="24"/>
        </w:rPr>
        <w:t>ribislavec i Čakovec 18. srpnja, Sitnice 18. listopada te Općini Pribislavec 20. prosinca 2024.</w:t>
      </w:r>
      <w:r w:rsidRPr="00550221">
        <w:rPr>
          <w:rFonts w:cs="Times New Roman"/>
          <w:iCs/>
          <w:szCs w:val="24"/>
        </w:rPr>
        <w:t>).</w:t>
      </w:r>
      <w:r w:rsidR="00B92FFE" w:rsidRPr="00550221">
        <w:rPr>
          <w:rFonts w:cs="Times New Roman"/>
          <w:iCs/>
          <w:szCs w:val="24"/>
        </w:rPr>
        <w:t xml:space="preserve"> </w:t>
      </w:r>
    </w:p>
    <w:p w14:paraId="2DDB254C" w14:textId="77777777" w:rsidR="005A6860" w:rsidRPr="00A86FA4" w:rsidRDefault="005A6860" w:rsidP="00D36147">
      <w:pPr>
        <w:spacing w:after="0" w:line="276" w:lineRule="auto"/>
        <w:jc w:val="both"/>
        <w:rPr>
          <w:rFonts w:cs="Times New Roman"/>
          <w:szCs w:val="24"/>
        </w:rPr>
      </w:pPr>
    </w:p>
    <w:tbl>
      <w:tblPr>
        <w:tblStyle w:val="TableGrid"/>
        <w:tblW w:w="9075" w:type="dxa"/>
        <w:jc w:val="center"/>
        <w:tblLayout w:type="fixed"/>
        <w:tblLook w:val="04A0" w:firstRow="1" w:lastRow="0" w:firstColumn="1" w:lastColumn="0" w:noHBand="0" w:noVBand="1"/>
      </w:tblPr>
      <w:tblGrid>
        <w:gridCol w:w="2830"/>
        <w:gridCol w:w="2268"/>
        <w:gridCol w:w="2127"/>
        <w:gridCol w:w="1850"/>
      </w:tblGrid>
      <w:tr w:rsidR="009E32C1" w:rsidRPr="00325CD1" w14:paraId="4006C659" w14:textId="77777777" w:rsidTr="00CA40F2">
        <w:trPr>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3B0C8B" w14:textId="7F737931" w:rsidR="00C144B4" w:rsidRPr="00A86FA4" w:rsidRDefault="00B510B5" w:rsidP="00D36147">
            <w:pPr>
              <w:rPr>
                <w:rFonts w:cs="Times New Roman"/>
                <w:b/>
                <w:sz w:val="20"/>
                <w:szCs w:val="20"/>
              </w:rPr>
            </w:pPr>
            <w:r w:rsidRPr="00A86FA4">
              <w:rPr>
                <w:rFonts w:cs="Times New Roman"/>
                <w:b/>
                <w:sz w:val="20"/>
                <w:szCs w:val="20"/>
              </w:rPr>
              <w:t>Pokazatelji provedbe i pokazatelji uspješnosti provedbe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D2F0C" w14:textId="77777777" w:rsidR="00C144B4" w:rsidRPr="00A86FA4" w:rsidRDefault="00C144B4" w:rsidP="00D36147">
            <w:pPr>
              <w:jc w:val="center"/>
              <w:rPr>
                <w:rFonts w:cs="Times New Roman"/>
                <w:b/>
                <w:sz w:val="20"/>
                <w:szCs w:val="20"/>
              </w:rPr>
            </w:pPr>
          </w:p>
          <w:p w14:paraId="70E2D78B" w14:textId="77777777" w:rsidR="00C144B4" w:rsidRPr="00A86FA4" w:rsidRDefault="00C144B4" w:rsidP="00D36147">
            <w:pPr>
              <w:rPr>
                <w:rFonts w:cs="Times New Roman"/>
                <w:b/>
                <w:sz w:val="20"/>
                <w:szCs w:val="20"/>
              </w:rPr>
            </w:pPr>
            <w:r w:rsidRPr="00A86FA4">
              <w:rPr>
                <w:rFonts w:cs="Times New Roman"/>
                <w:b/>
                <w:sz w:val="20"/>
                <w:szCs w:val="20"/>
              </w:rPr>
              <w:t>Broj usluga i aktivnosti u resursnim centrima</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D6D2" w14:textId="77777777" w:rsidR="00C144B4" w:rsidRPr="00A86FA4" w:rsidRDefault="00C144B4" w:rsidP="00D36147">
            <w:pPr>
              <w:jc w:val="center"/>
              <w:rPr>
                <w:rFonts w:cs="Times New Roman"/>
                <w:b/>
                <w:sz w:val="20"/>
                <w:szCs w:val="20"/>
              </w:rPr>
            </w:pPr>
          </w:p>
          <w:p w14:paraId="7C0522B5" w14:textId="77777777" w:rsidR="00C144B4" w:rsidRPr="00A86FA4" w:rsidRDefault="00C144B4" w:rsidP="00D36147">
            <w:pPr>
              <w:rPr>
                <w:rFonts w:cs="Times New Roman"/>
                <w:b/>
                <w:sz w:val="20"/>
                <w:szCs w:val="20"/>
              </w:rPr>
            </w:pPr>
            <w:r w:rsidRPr="00A86FA4">
              <w:rPr>
                <w:rFonts w:cs="Times New Roman"/>
                <w:b/>
                <w:sz w:val="20"/>
                <w:szCs w:val="20"/>
              </w:rPr>
              <w:t>Broj romske djece uključene u rad Centara</w:t>
            </w:r>
          </w:p>
        </w:tc>
        <w:tc>
          <w:tcPr>
            <w:tcW w:w="1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7396" w14:textId="77777777" w:rsidR="00C144B4" w:rsidRPr="00A86FA4" w:rsidRDefault="00C144B4" w:rsidP="00D36147">
            <w:pPr>
              <w:jc w:val="center"/>
              <w:rPr>
                <w:rFonts w:cs="Times New Roman"/>
                <w:b/>
                <w:sz w:val="20"/>
                <w:szCs w:val="20"/>
              </w:rPr>
            </w:pPr>
          </w:p>
          <w:p w14:paraId="748C28D1" w14:textId="77777777" w:rsidR="00C144B4" w:rsidRPr="00A86FA4" w:rsidRDefault="00C144B4" w:rsidP="00D36147">
            <w:pPr>
              <w:jc w:val="center"/>
              <w:rPr>
                <w:rFonts w:cs="Times New Roman"/>
                <w:b/>
                <w:sz w:val="20"/>
                <w:szCs w:val="20"/>
              </w:rPr>
            </w:pPr>
            <w:r w:rsidRPr="00A86FA4">
              <w:rPr>
                <w:rFonts w:cs="Times New Roman"/>
                <w:b/>
                <w:sz w:val="20"/>
                <w:szCs w:val="20"/>
              </w:rPr>
              <w:t xml:space="preserve">Broj pripadnika romske nacionalne manjine koristi usluge Centara </w:t>
            </w:r>
          </w:p>
        </w:tc>
      </w:tr>
      <w:tr w:rsidR="009E32C1" w:rsidRPr="009E32C1" w14:paraId="2C7DF9A0" w14:textId="77777777" w:rsidTr="00CA40F2">
        <w:trPr>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F417E0" w14:textId="2D87C14E" w:rsidR="00C144B4" w:rsidRPr="00FC64BF" w:rsidRDefault="00C144B4" w:rsidP="005F4F41">
            <w:pPr>
              <w:rPr>
                <w:rFonts w:cs="Times New Roman"/>
                <w:sz w:val="18"/>
                <w:szCs w:val="18"/>
              </w:rPr>
            </w:pPr>
            <w:r w:rsidRPr="00FC64BF">
              <w:rPr>
                <w:rFonts w:cs="Times New Roman"/>
                <w:sz w:val="18"/>
                <w:szCs w:val="18"/>
              </w:rPr>
              <w:t>Planirani ishodi za pokazatelje provedbe u 202</w:t>
            </w:r>
            <w:r w:rsidR="009E32C1" w:rsidRPr="00FC64BF">
              <w:rPr>
                <w:rFonts w:cs="Times New Roman"/>
                <w:sz w:val="18"/>
                <w:szCs w:val="18"/>
              </w:rPr>
              <w:t>4</w:t>
            </w:r>
            <w:r w:rsidRPr="00FC64BF">
              <w:rPr>
                <w:rFonts w:cs="Times New Roman"/>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544DA85" w14:textId="54B5A025" w:rsidR="00C144B4" w:rsidRPr="00FC64BF" w:rsidRDefault="001A5379" w:rsidP="00D36147">
            <w:pPr>
              <w:jc w:val="center"/>
              <w:rPr>
                <w:rFonts w:cs="Times New Roman"/>
                <w:sz w:val="18"/>
                <w:szCs w:val="18"/>
              </w:rPr>
            </w:pPr>
            <w:r>
              <w:rPr>
                <w:rFonts w:cs="Times New Roman"/>
                <w:sz w:val="18"/>
                <w:szCs w:val="18"/>
              </w:rPr>
              <w:t>0</w:t>
            </w:r>
          </w:p>
        </w:tc>
        <w:tc>
          <w:tcPr>
            <w:tcW w:w="2127" w:type="dxa"/>
            <w:tcBorders>
              <w:top w:val="single" w:sz="4" w:space="0" w:color="auto"/>
              <w:left w:val="single" w:sz="4" w:space="0" w:color="auto"/>
              <w:bottom w:val="single" w:sz="4" w:space="0" w:color="auto"/>
              <w:right w:val="single" w:sz="4" w:space="0" w:color="auto"/>
            </w:tcBorders>
            <w:vAlign w:val="center"/>
          </w:tcPr>
          <w:p w14:paraId="4D7FFA9B" w14:textId="56CD85A7" w:rsidR="00C144B4" w:rsidRPr="00FC64BF" w:rsidRDefault="001A5379" w:rsidP="00D36147">
            <w:pPr>
              <w:jc w:val="center"/>
              <w:rPr>
                <w:rFonts w:cs="Times New Roman"/>
                <w:sz w:val="18"/>
                <w:szCs w:val="18"/>
              </w:rPr>
            </w:pPr>
            <w:r>
              <w:rPr>
                <w:rFonts w:cs="Times New Roman"/>
                <w:sz w:val="18"/>
                <w:szCs w:val="18"/>
              </w:rPr>
              <w:t>0</w:t>
            </w:r>
            <w:r w:rsidR="00C144B4" w:rsidRPr="00FC64BF">
              <w:rPr>
                <w:rFonts w:cs="Times New Roman"/>
                <w:sz w:val="18"/>
                <w:szCs w:val="18"/>
              </w:rPr>
              <w:t>0</w:t>
            </w:r>
          </w:p>
        </w:tc>
        <w:tc>
          <w:tcPr>
            <w:tcW w:w="1850" w:type="dxa"/>
            <w:tcBorders>
              <w:top w:val="single" w:sz="4" w:space="0" w:color="auto"/>
              <w:left w:val="single" w:sz="4" w:space="0" w:color="auto"/>
              <w:bottom w:val="single" w:sz="4" w:space="0" w:color="auto"/>
              <w:right w:val="single" w:sz="4" w:space="0" w:color="auto"/>
            </w:tcBorders>
            <w:vAlign w:val="center"/>
          </w:tcPr>
          <w:p w14:paraId="41BDE16D" w14:textId="258D4C2F" w:rsidR="00C144B4" w:rsidRPr="00FC64BF" w:rsidRDefault="001A5379" w:rsidP="00FC64BF">
            <w:pPr>
              <w:rPr>
                <w:rFonts w:cs="Times New Roman"/>
                <w:sz w:val="18"/>
                <w:szCs w:val="18"/>
              </w:rPr>
            </w:pPr>
            <w:r>
              <w:rPr>
                <w:rFonts w:cs="Times New Roman"/>
                <w:sz w:val="18"/>
                <w:szCs w:val="18"/>
              </w:rPr>
              <w:t>0</w:t>
            </w:r>
          </w:p>
        </w:tc>
      </w:tr>
      <w:tr w:rsidR="00CE622A" w:rsidRPr="009E32C1" w14:paraId="3C620690" w14:textId="77777777" w:rsidTr="00CA40F2">
        <w:trPr>
          <w:trHeight w:val="388"/>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56BBF" w14:textId="4C0F9F62" w:rsidR="00C144B4" w:rsidRPr="00FC64BF" w:rsidRDefault="00461BF9" w:rsidP="005F4F41">
            <w:pPr>
              <w:rPr>
                <w:rFonts w:cs="Times New Roman"/>
                <w:sz w:val="18"/>
                <w:szCs w:val="18"/>
              </w:rPr>
            </w:pPr>
            <w:r w:rsidRPr="00FC64BF">
              <w:rPr>
                <w:rFonts w:cs="Times New Roman"/>
                <w:sz w:val="18"/>
                <w:szCs w:val="18"/>
              </w:rPr>
              <w:t>Ostvareni ishodi za pokazatelje provedbe u 202</w:t>
            </w:r>
            <w:r w:rsidR="009E32C1" w:rsidRPr="00FC64BF">
              <w:rPr>
                <w:rFonts w:cs="Times New Roman"/>
                <w:sz w:val="18"/>
                <w:szCs w:val="18"/>
              </w:rPr>
              <w:t>4</w:t>
            </w:r>
            <w:r w:rsidRPr="00FC64BF">
              <w:rPr>
                <w:rFonts w:cs="Times New Roman"/>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09E36A96" w14:textId="6079697A" w:rsidR="00C144B4" w:rsidRPr="00FC64BF" w:rsidRDefault="00392784" w:rsidP="00D36147">
            <w:pPr>
              <w:jc w:val="center"/>
              <w:rPr>
                <w:rFonts w:cs="Times New Roman"/>
                <w:sz w:val="18"/>
                <w:szCs w:val="18"/>
              </w:rPr>
            </w:pPr>
            <w:r w:rsidRPr="00FC64BF">
              <w:rPr>
                <w:rFonts w:cs="Times New Roman"/>
                <w:sz w:val="18"/>
                <w:szCs w:val="18"/>
              </w:rPr>
              <w:t>0</w:t>
            </w:r>
          </w:p>
        </w:tc>
        <w:tc>
          <w:tcPr>
            <w:tcW w:w="2127" w:type="dxa"/>
            <w:tcBorders>
              <w:top w:val="single" w:sz="4" w:space="0" w:color="auto"/>
              <w:left w:val="single" w:sz="4" w:space="0" w:color="auto"/>
              <w:bottom w:val="single" w:sz="4" w:space="0" w:color="auto"/>
              <w:right w:val="single" w:sz="4" w:space="0" w:color="auto"/>
            </w:tcBorders>
            <w:vAlign w:val="center"/>
          </w:tcPr>
          <w:p w14:paraId="747CBB0E" w14:textId="74328910" w:rsidR="00C144B4" w:rsidRPr="00FC64BF" w:rsidRDefault="00392784" w:rsidP="00D36147">
            <w:pPr>
              <w:jc w:val="center"/>
              <w:rPr>
                <w:rFonts w:cs="Times New Roman"/>
                <w:sz w:val="18"/>
                <w:szCs w:val="18"/>
              </w:rPr>
            </w:pPr>
            <w:r w:rsidRPr="00FC64BF">
              <w:rPr>
                <w:rFonts w:cs="Times New Roman"/>
                <w:sz w:val="18"/>
                <w:szCs w:val="18"/>
              </w:rPr>
              <w:t>0</w:t>
            </w:r>
          </w:p>
        </w:tc>
        <w:tc>
          <w:tcPr>
            <w:tcW w:w="1850" w:type="dxa"/>
            <w:tcBorders>
              <w:top w:val="single" w:sz="4" w:space="0" w:color="auto"/>
              <w:left w:val="single" w:sz="4" w:space="0" w:color="auto"/>
              <w:bottom w:val="single" w:sz="4" w:space="0" w:color="auto"/>
              <w:right w:val="single" w:sz="4" w:space="0" w:color="auto"/>
            </w:tcBorders>
            <w:vAlign w:val="center"/>
          </w:tcPr>
          <w:p w14:paraId="7020FB9F" w14:textId="3C4A1D74" w:rsidR="00C144B4" w:rsidRPr="00FC64BF" w:rsidRDefault="00392784" w:rsidP="00D36147">
            <w:pPr>
              <w:jc w:val="center"/>
              <w:rPr>
                <w:rFonts w:cs="Times New Roman"/>
                <w:sz w:val="18"/>
                <w:szCs w:val="18"/>
              </w:rPr>
            </w:pPr>
            <w:r w:rsidRPr="00FC64BF">
              <w:rPr>
                <w:rFonts w:cs="Times New Roman"/>
                <w:sz w:val="18"/>
                <w:szCs w:val="18"/>
              </w:rPr>
              <w:t>0</w:t>
            </w:r>
          </w:p>
        </w:tc>
      </w:tr>
      <w:tr w:rsidR="009E32C1" w:rsidRPr="009E32C1" w14:paraId="095E4C29" w14:textId="77777777" w:rsidTr="00CA40F2">
        <w:trPr>
          <w:trHeight w:val="466"/>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6A6015" w14:textId="66442E37" w:rsidR="00C144B4" w:rsidRPr="00FC64BF" w:rsidRDefault="00C144B4" w:rsidP="00D36147">
            <w:pPr>
              <w:rPr>
                <w:rFonts w:cs="Times New Roman"/>
                <w:b/>
                <w:sz w:val="18"/>
                <w:szCs w:val="18"/>
              </w:rPr>
            </w:pPr>
            <w:r w:rsidRPr="00FC64BF">
              <w:rPr>
                <w:rFonts w:cs="Times New Roman"/>
                <w:b/>
                <w:sz w:val="18"/>
                <w:szCs w:val="18"/>
              </w:rPr>
              <w:t>IZVORI FINANCIRANJA</w:t>
            </w:r>
          </w:p>
        </w:tc>
        <w:tc>
          <w:tcPr>
            <w:tcW w:w="2268" w:type="dxa"/>
            <w:tcBorders>
              <w:top w:val="single" w:sz="4" w:space="0" w:color="auto"/>
              <w:left w:val="single" w:sz="4" w:space="0" w:color="auto"/>
              <w:bottom w:val="single" w:sz="4" w:space="0" w:color="auto"/>
              <w:right w:val="single" w:sz="4" w:space="0" w:color="auto"/>
            </w:tcBorders>
            <w:vAlign w:val="center"/>
          </w:tcPr>
          <w:p w14:paraId="21A99637" w14:textId="555E1ED9" w:rsidR="00C144B4" w:rsidRPr="00FC64BF" w:rsidRDefault="00C144B4" w:rsidP="00D36147">
            <w:pPr>
              <w:rPr>
                <w:rFonts w:cs="Times New Roman"/>
                <w:b/>
                <w:sz w:val="18"/>
                <w:szCs w:val="18"/>
              </w:rPr>
            </w:pPr>
            <w:r w:rsidRPr="00FC64BF">
              <w:rPr>
                <w:rFonts w:cs="Times New Roman"/>
                <w:b/>
                <w:sz w:val="18"/>
                <w:szCs w:val="18"/>
              </w:rPr>
              <w:t>Državni proračun</w:t>
            </w:r>
            <w:r w:rsidR="005275C8" w:rsidRPr="00FC64BF">
              <w:rPr>
                <w:rFonts w:cs="Times New Roman"/>
                <w:b/>
                <w:sz w:val="18"/>
                <w:szCs w:val="18"/>
              </w:rPr>
              <w:t xml:space="preserve"> </w:t>
            </w:r>
            <w:r w:rsidRPr="00FC64BF">
              <w:rPr>
                <w:rFonts w:cs="Times New Roman"/>
                <w:b/>
                <w:sz w:val="18"/>
                <w:szCs w:val="18"/>
              </w:rPr>
              <w:t>(EUR)</w:t>
            </w:r>
          </w:p>
        </w:tc>
        <w:tc>
          <w:tcPr>
            <w:tcW w:w="2127" w:type="dxa"/>
            <w:tcBorders>
              <w:top w:val="single" w:sz="4" w:space="0" w:color="auto"/>
              <w:left w:val="single" w:sz="4" w:space="0" w:color="auto"/>
              <w:bottom w:val="single" w:sz="4" w:space="0" w:color="auto"/>
              <w:right w:val="single" w:sz="4" w:space="0" w:color="auto"/>
            </w:tcBorders>
            <w:vAlign w:val="center"/>
          </w:tcPr>
          <w:p w14:paraId="1EBCEF9E" w14:textId="233489FC" w:rsidR="00C144B4" w:rsidRPr="00FC64BF" w:rsidRDefault="00C144B4" w:rsidP="00D36147">
            <w:pPr>
              <w:rPr>
                <w:rFonts w:cs="Times New Roman"/>
                <w:b/>
                <w:sz w:val="18"/>
                <w:szCs w:val="18"/>
              </w:rPr>
            </w:pPr>
            <w:r w:rsidRPr="00FC64BF">
              <w:rPr>
                <w:rFonts w:cs="Times New Roman"/>
                <w:b/>
                <w:sz w:val="18"/>
                <w:szCs w:val="18"/>
              </w:rPr>
              <w:t>EU financiranje</w:t>
            </w:r>
            <w:r w:rsidR="005275C8" w:rsidRPr="00FC64BF">
              <w:rPr>
                <w:rFonts w:cs="Times New Roman"/>
                <w:b/>
                <w:sz w:val="18"/>
                <w:szCs w:val="18"/>
              </w:rPr>
              <w:t xml:space="preserve"> </w:t>
            </w:r>
            <w:r w:rsidRPr="00FC64BF">
              <w:rPr>
                <w:rFonts w:cs="Times New Roman"/>
                <w:b/>
                <w:sz w:val="18"/>
                <w:szCs w:val="18"/>
              </w:rPr>
              <w:t>(EUR)</w:t>
            </w:r>
          </w:p>
        </w:tc>
        <w:tc>
          <w:tcPr>
            <w:tcW w:w="1850" w:type="dxa"/>
            <w:tcBorders>
              <w:top w:val="single" w:sz="4" w:space="0" w:color="auto"/>
              <w:left w:val="single" w:sz="4" w:space="0" w:color="auto"/>
              <w:bottom w:val="single" w:sz="4" w:space="0" w:color="auto"/>
              <w:right w:val="single" w:sz="4" w:space="0" w:color="auto"/>
            </w:tcBorders>
            <w:vAlign w:val="center"/>
          </w:tcPr>
          <w:p w14:paraId="525B0868" w14:textId="60DFF8F5" w:rsidR="00C144B4" w:rsidRPr="00FC64BF" w:rsidRDefault="00C144B4" w:rsidP="00D36147">
            <w:pPr>
              <w:rPr>
                <w:rFonts w:cs="Times New Roman"/>
                <w:b/>
                <w:sz w:val="18"/>
                <w:szCs w:val="18"/>
              </w:rPr>
            </w:pPr>
            <w:r w:rsidRPr="00FC64BF">
              <w:rPr>
                <w:rFonts w:cs="Times New Roman"/>
                <w:b/>
                <w:sz w:val="18"/>
                <w:szCs w:val="18"/>
              </w:rPr>
              <w:t>Drugi izvori</w:t>
            </w:r>
            <w:r w:rsidR="005275C8" w:rsidRPr="00FC64BF">
              <w:rPr>
                <w:rFonts w:cs="Times New Roman"/>
                <w:b/>
                <w:sz w:val="18"/>
                <w:szCs w:val="18"/>
              </w:rPr>
              <w:t xml:space="preserve"> </w:t>
            </w:r>
            <w:r w:rsidRPr="00FC64BF">
              <w:rPr>
                <w:rFonts w:cs="Times New Roman"/>
                <w:b/>
                <w:sz w:val="18"/>
                <w:szCs w:val="18"/>
              </w:rPr>
              <w:t>(EUR)</w:t>
            </w:r>
          </w:p>
        </w:tc>
      </w:tr>
      <w:tr w:rsidR="00CE622A" w:rsidRPr="009E32C1" w14:paraId="7BB7A6CE" w14:textId="77777777" w:rsidTr="00CA40F2">
        <w:trPr>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C7439" w14:textId="0E624879" w:rsidR="00C144B4" w:rsidRPr="00FC64BF" w:rsidRDefault="00C144B4" w:rsidP="005F4F41">
            <w:pPr>
              <w:rPr>
                <w:rFonts w:cs="Times New Roman"/>
                <w:sz w:val="18"/>
                <w:szCs w:val="18"/>
              </w:rPr>
            </w:pPr>
            <w:r w:rsidRPr="00FC64BF">
              <w:rPr>
                <w:rFonts w:cs="Times New Roman"/>
                <w:sz w:val="18"/>
                <w:szCs w:val="18"/>
              </w:rPr>
              <w:t>Izvori financiranja u 202</w:t>
            </w:r>
            <w:r w:rsidR="009E32C1" w:rsidRPr="00FC64BF">
              <w:rPr>
                <w:rFonts w:cs="Times New Roman"/>
                <w:sz w:val="18"/>
                <w:szCs w:val="18"/>
              </w:rPr>
              <w:t>4</w:t>
            </w:r>
            <w:r w:rsidRPr="00FC64BF">
              <w:rPr>
                <w:rFonts w:cs="Times New Roman"/>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9E2D62A" w14:textId="77777777" w:rsidR="009E32C1" w:rsidRPr="00FC64BF" w:rsidRDefault="009E32C1" w:rsidP="009E32C1">
            <w:pPr>
              <w:jc w:val="center"/>
              <w:rPr>
                <w:rFonts w:cs="Times New Roman"/>
                <w:bCs/>
                <w:sz w:val="18"/>
                <w:szCs w:val="18"/>
              </w:rPr>
            </w:pPr>
            <w:r w:rsidRPr="00FC64BF">
              <w:rPr>
                <w:rFonts w:cs="Times New Roman"/>
                <w:bCs/>
                <w:sz w:val="18"/>
                <w:szCs w:val="18"/>
              </w:rPr>
              <w:t>A681000 - Administracija i upravljanje</w:t>
            </w:r>
          </w:p>
          <w:p w14:paraId="6A237271" w14:textId="27FF4D0D" w:rsidR="00C144B4" w:rsidRPr="00FC64BF" w:rsidRDefault="009E32C1" w:rsidP="009E32C1">
            <w:pPr>
              <w:jc w:val="center"/>
              <w:rPr>
                <w:rFonts w:cs="Times New Roman"/>
                <w:sz w:val="18"/>
                <w:szCs w:val="18"/>
              </w:rPr>
            </w:pPr>
            <w:r w:rsidRPr="00FC64BF">
              <w:rPr>
                <w:rFonts w:cs="Times New Roman"/>
                <w:b/>
                <w:bCs/>
                <w:sz w:val="18"/>
                <w:szCs w:val="18"/>
              </w:rPr>
              <w:t>0,00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6701564" w14:textId="77777777" w:rsidR="009E32C1" w:rsidRPr="00FC64BF" w:rsidRDefault="009E32C1" w:rsidP="009E32C1">
            <w:pPr>
              <w:jc w:val="center"/>
              <w:rPr>
                <w:rFonts w:cs="Times New Roman"/>
                <w:bCs/>
                <w:sz w:val="18"/>
                <w:szCs w:val="18"/>
              </w:rPr>
            </w:pPr>
            <w:r w:rsidRPr="00FC64BF">
              <w:rPr>
                <w:rFonts w:cs="Times New Roman"/>
                <w:bCs/>
                <w:sz w:val="18"/>
                <w:szCs w:val="18"/>
              </w:rPr>
              <w:t>A681000 - Administracija i upravljanje</w:t>
            </w:r>
          </w:p>
          <w:p w14:paraId="6CEA3AAE" w14:textId="083BB515" w:rsidR="00C144B4" w:rsidRPr="00FC64BF" w:rsidRDefault="009E32C1" w:rsidP="009E32C1">
            <w:pPr>
              <w:jc w:val="center"/>
              <w:rPr>
                <w:rFonts w:cs="Times New Roman"/>
                <w:sz w:val="18"/>
                <w:szCs w:val="18"/>
              </w:rPr>
            </w:pPr>
            <w:r w:rsidRPr="00FC64BF">
              <w:rPr>
                <w:rFonts w:cs="Times New Roman"/>
                <w:b/>
                <w:bCs/>
                <w:sz w:val="18"/>
                <w:szCs w:val="18"/>
              </w:rPr>
              <w:t>0,00</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0DA2483" w14:textId="77777777" w:rsidR="00C144B4" w:rsidRPr="00FC64BF" w:rsidRDefault="00C144B4" w:rsidP="00D36147">
            <w:pPr>
              <w:jc w:val="center"/>
              <w:rPr>
                <w:rFonts w:cs="Times New Roman"/>
                <w:sz w:val="18"/>
                <w:szCs w:val="18"/>
              </w:rPr>
            </w:pPr>
            <w:r w:rsidRPr="00FC64BF">
              <w:rPr>
                <w:rFonts w:cs="Times New Roman"/>
                <w:sz w:val="18"/>
                <w:szCs w:val="18"/>
              </w:rPr>
              <w:t>0,00</w:t>
            </w:r>
          </w:p>
        </w:tc>
      </w:tr>
      <w:tr w:rsidR="00CE622A" w:rsidRPr="009E32C1" w14:paraId="07EDD2C7" w14:textId="77777777" w:rsidTr="00AF43CC">
        <w:trPr>
          <w:trHeight w:val="443"/>
          <w:jc w:val="center"/>
        </w:trPr>
        <w:tc>
          <w:tcPr>
            <w:tcW w:w="2830" w:type="dxa"/>
            <w:vMerge w:val="restart"/>
            <w:shd w:val="clear" w:color="auto" w:fill="F2F2F2" w:themeFill="background1" w:themeFillShade="F2"/>
            <w:vAlign w:val="center"/>
            <w:hideMark/>
          </w:tcPr>
          <w:p w14:paraId="25B05A44" w14:textId="1D5D8B2C" w:rsidR="00C144B4" w:rsidRPr="00FC64BF" w:rsidRDefault="00AC1886" w:rsidP="00D36147">
            <w:pPr>
              <w:rPr>
                <w:rFonts w:cs="Times New Roman"/>
                <w:b/>
                <w:bCs/>
                <w:sz w:val="18"/>
                <w:szCs w:val="18"/>
              </w:rPr>
            </w:pPr>
            <w:r w:rsidRPr="00FC64BF">
              <w:rPr>
                <w:rFonts w:cs="Times New Roman"/>
                <w:b/>
                <w:bCs/>
                <w:sz w:val="18"/>
                <w:szCs w:val="18"/>
              </w:rPr>
              <w:t>UKUPNO UTROŠENA SREDSTVA PO IZVORU</w:t>
            </w:r>
          </w:p>
        </w:tc>
        <w:tc>
          <w:tcPr>
            <w:tcW w:w="2268" w:type="dxa"/>
            <w:vAlign w:val="center"/>
            <w:hideMark/>
          </w:tcPr>
          <w:p w14:paraId="496725E6" w14:textId="209A134B" w:rsidR="00C144B4" w:rsidRPr="00FC64BF" w:rsidRDefault="00C144B4" w:rsidP="00A75D55">
            <w:pPr>
              <w:jc w:val="center"/>
              <w:rPr>
                <w:rFonts w:cs="Times New Roman"/>
                <w:b/>
                <w:bCs/>
                <w:sz w:val="18"/>
                <w:szCs w:val="18"/>
              </w:rPr>
            </w:pPr>
            <w:r w:rsidRPr="00FC64BF">
              <w:rPr>
                <w:rFonts w:cs="Times New Roman"/>
                <w:b/>
                <w:bCs/>
                <w:sz w:val="18"/>
                <w:szCs w:val="18"/>
              </w:rPr>
              <w:t>Državni proračun</w:t>
            </w:r>
            <w:r w:rsidR="005275C8" w:rsidRPr="00FC64BF">
              <w:rPr>
                <w:rFonts w:cs="Times New Roman"/>
                <w:b/>
                <w:bCs/>
                <w:sz w:val="18"/>
                <w:szCs w:val="18"/>
              </w:rPr>
              <w:t xml:space="preserve"> </w:t>
            </w:r>
            <w:r w:rsidRPr="00FC64BF">
              <w:rPr>
                <w:rFonts w:cs="Times New Roman"/>
                <w:b/>
                <w:bCs/>
                <w:sz w:val="18"/>
                <w:szCs w:val="18"/>
              </w:rPr>
              <w:t>(EUR)</w:t>
            </w:r>
          </w:p>
        </w:tc>
        <w:tc>
          <w:tcPr>
            <w:tcW w:w="2127" w:type="dxa"/>
            <w:vAlign w:val="center"/>
            <w:hideMark/>
          </w:tcPr>
          <w:p w14:paraId="6465F0F3" w14:textId="24631BCD" w:rsidR="00C144B4" w:rsidRPr="00FC64BF" w:rsidRDefault="00C144B4" w:rsidP="00A75D55">
            <w:pPr>
              <w:jc w:val="center"/>
              <w:rPr>
                <w:rFonts w:cs="Times New Roman"/>
                <w:b/>
                <w:bCs/>
                <w:sz w:val="18"/>
                <w:szCs w:val="18"/>
              </w:rPr>
            </w:pPr>
            <w:r w:rsidRPr="00FC64BF">
              <w:rPr>
                <w:rFonts w:cs="Times New Roman"/>
                <w:b/>
                <w:bCs/>
                <w:sz w:val="18"/>
                <w:szCs w:val="18"/>
              </w:rPr>
              <w:t>EU financiranje</w:t>
            </w:r>
            <w:r w:rsidR="005275C8" w:rsidRPr="00FC64BF">
              <w:rPr>
                <w:rFonts w:cs="Times New Roman"/>
                <w:b/>
                <w:bCs/>
                <w:sz w:val="18"/>
                <w:szCs w:val="18"/>
              </w:rPr>
              <w:t xml:space="preserve"> </w:t>
            </w:r>
            <w:r w:rsidRPr="00FC64BF">
              <w:rPr>
                <w:rFonts w:cs="Times New Roman"/>
                <w:b/>
                <w:bCs/>
                <w:sz w:val="18"/>
                <w:szCs w:val="18"/>
              </w:rPr>
              <w:t>(EUR)</w:t>
            </w:r>
          </w:p>
        </w:tc>
        <w:tc>
          <w:tcPr>
            <w:tcW w:w="1850" w:type="dxa"/>
            <w:vAlign w:val="center"/>
            <w:hideMark/>
          </w:tcPr>
          <w:p w14:paraId="7311AB84" w14:textId="092E4AB0" w:rsidR="00C144B4" w:rsidRPr="00FC64BF" w:rsidRDefault="00C144B4" w:rsidP="00A75D55">
            <w:pPr>
              <w:jc w:val="center"/>
              <w:rPr>
                <w:rFonts w:cs="Times New Roman"/>
                <w:b/>
                <w:bCs/>
                <w:sz w:val="18"/>
                <w:szCs w:val="18"/>
              </w:rPr>
            </w:pPr>
            <w:r w:rsidRPr="00FC64BF">
              <w:rPr>
                <w:rFonts w:cs="Times New Roman"/>
                <w:b/>
                <w:bCs/>
                <w:sz w:val="18"/>
                <w:szCs w:val="18"/>
              </w:rPr>
              <w:t>Drugi izvori</w:t>
            </w:r>
            <w:r w:rsidR="005275C8" w:rsidRPr="00FC64BF">
              <w:rPr>
                <w:rFonts w:cs="Times New Roman"/>
                <w:b/>
                <w:bCs/>
                <w:sz w:val="18"/>
                <w:szCs w:val="18"/>
              </w:rPr>
              <w:t xml:space="preserve"> </w:t>
            </w:r>
            <w:r w:rsidRPr="00FC64BF">
              <w:rPr>
                <w:rFonts w:cs="Times New Roman"/>
                <w:b/>
                <w:bCs/>
                <w:sz w:val="18"/>
                <w:szCs w:val="18"/>
              </w:rPr>
              <w:t>(EUR)</w:t>
            </w:r>
          </w:p>
        </w:tc>
      </w:tr>
      <w:tr w:rsidR="00CE622A" w:rsidRPr="009E32C1" w14:paraId="498615DA" w14:textId="77777777" w:rsidTr="00CA40F2">
        <w:trPr>
          <w:trHeight w:val="70"/>
          <w:jc w:val="center"/>
        </w:trPr>
        <w:tc>
          <w:tcPr>
            <w:tcW w:w="2830" w:type="dxa"/>
            <w:vMerge/>
            <w:shd w:val="clear" w:color="auto" w:fill="F2F2F2" w:themeFill="background1" w:themeFillShade="F2"/>
            <w:vAlign w:val="center"/>
            <w:hideMark/>
          </w:tcPr>
          <w:p w14:paraId="49BBDE74" w14:textId="77777777" w:rsidR="00C144B4" w:rsidRPr="00FC64BF" w:rsidRDefault="00C144B4" w:rsidP="00D36147">
            <w:pPr>
              <w:rPr>
                <w:rFonts w:cs="Times New Roman"/>
                <w:b/>
                <w:bCs/>
                <w:sz w:val="18"/>
                <w:szCs w:val="18"/>
              </w:rPr>
            </w:pPr>
          </w:p>
        </w:tc>
        <w:tc>
          <w:tcPr>
            <w:tcW w:w="2268" w:type="dxa"/>
            <w:vAlign w:val="center"/>
            <w:hideMark/>
          </w:tcPr>
          <w:p w14:paraId="2684CAB9" w14:textId="7A1B7546" w:rsidR="00EA6A5A" w:rsidRPr="00FC64BF" w:rsidRDefault="00EA6A5A" w:rsidP="00D36147">
            <w:pPr>
              <w:jc w:val="center"/>
              <w:rPr>
                <w:rFonts w:cs="Times New Roman"/>
                <w:bCs/>
                <w:sz w:val="18"/>
                <w:szCs w:val="18"/>
              </w:rPr>
            </w:pPr>
            <w:r w:rsidRPr="00FC64BF">
              <w:rPr>
                <w:rFonts w:cs="Times New Roman"/>
                <w:bCs/>
                <w:sz w:val="18"/>
                <w:szCs w:val="18"/>
              </w:rPr>
              <w:t>A681000</w:t>
            </w:r>
            <w:r w:rsidR="00CD78EF" w:rsidRPr="00FC64BF">
              <w:rPr>
                <w:rFonts w:cs="Times New Roman"/>
                <w:bCs/>
                <w:sz w:val="18"/>
                <w:szCs w:val="18"/>
              </w:rPr>
              <w:t xml:space="preserve"> -</w:t>
            </w:r>
            <w:r w:rsidRPr="00FC64BF">
              <w:rPr>
                <w:rFonts w:cs="Times New Roman"/>
                <w:bCs/>
                <w:sz w:val="18"/>
                <w:szCs w:val="18"/>
              </w:rPr>
              <w:t xml:space="preserve"> Administracija i upravljanje</w:t>
            </w:r>
          </w:p>
          <w:p w14:paraId="4751F0E4" w14:textId="2F0382A7" w:rsidR="00C144B4" w:rsidRPr="00FC64BF" w:rsidRDefault="00392784" w:rsidP="00D36147">
            <w:pPr>
              <w:jc w:val="center"/>
              <w:rPr>
                <w:rFonts w:cs="Times New Roman"/>
                <w:b/>
                <w:bCs/>
                <w:sz w:val="18"/>
                <w:szCs w:val="18"/>
              </w:rPr>
            </w:pPr>
            <w:r w:rsidRPr="00FC64BF">
              <w:rPr>
                <w:rFonts w:cs="Times New Roman"/>
                <w:b/>
                <w:bCs/>
                <w:sz w:val="18"/>
                <w:szCs w:val="18"/>
              </w:rPr>
              <w:t>0,00</w:t>
            </w:r>
          </w:p>
        </w:tc>
        <w:tc>
          <w:tcPr>
            <w:tcW w:w="2127" w:type="dxa"/>
            <w:vAlign w:val="center"/>
            <w:hideMark/>
          </w:tcPr>
          <w:p w14:paraId="2D93321F" w14:textId="34B80DEC" w:rsidR="00C144B4" w:rsidRPr="00FC64BF" w:rsidRDefault="00392784" w:rsidP="00D36147">
            <w:pPr>
              <w:jc w:val="center"/>
              <w:rPr>
                <w:rFonts w:cs="Times New Roman"/>
                <w:bCs/>
                <w:sz w:val="18"/>
                <w:szCs w:val="18"/>
              </w:rPr>
            </w:pPr>
            <w:r w:rsidRPr="00FC64BF">
              <w:rPr>
                <w:rFonts w:cs="Times New Roman"/>
                <w:bCs/>
                <w:sz w:val="18"/>
                <w:szCs w:val="18"/>
              </w:rPr>
              <w:t>0,00</w:t>
            </w:r>
          </w:p>
        </w:tc>
        <w:tc>
          <w:tcPr>
            <w:tcW w:w="1850" w:type="dxa"/>
            <w:vAlign w:val="center"/>
            <w:hideMark/>
          </w:tcPr>
          <w:p w14:paraId="02F69A32" w14:textId="77777777" w:rsidR="00C144B4" w:rsidRPr="00FC64BF" w:rsidRDefault="00C144B4" w:rsidP="00D36147">
            <w:pPr>
              <w:jc w:val="center"/>
              <w:rPr>
                <w:rFonts w:cs="Times New Roman"/>
                <w:bCs/>
                <w:sz w:val="18"/>
                <w:szCs w:val="18"/>
              </w:rPr>
            </w:pPr>
            <w:r w:rsidRPr="00FC64BF">
              <w:rPr>
                <w:rFonts w:cs="Times New Roman"/>
                <w:bCs/>
                <w:sz w:val="18"/>
                <w:szCs w:val="18"/>
              </w:rPr>
              <w:t>0,00</w:t>
            </w:r>
          </w:p>
        </w:tc>
      </w:tr>
      <w:tr w:rsidR="00CE622A" w:rsidRPr="009E32C1" w14:paraId="58ECCFFD" w14:textId="77777777" w:rsidTr="00CA40F2">
        <w:trPr>
          <w:trHeight w:val="362"/>
          <w:jc w:val="center"/>
        </w:trPr>
        <w:tc>
          <w:tcPr>
            <w:tcW w:w="2830" w:type="dxa"/>
            <w:shd w:val="clear" w:color="auto" w:fill="F2F2F2" w:themeFill="background1" w:themeFillShade="F2"/>
            <w:vAlign w:val="center"/>
          </w:tcPr>
          <w:p w14:paraId="26AB0BD0" w14:textId="3D7872F9" w:rsidR="00146B4C" w:rsidRPr="00FC64BF" w:rsidRDefault="00146B4C" w:rsidP="00D36147">
            <w:pPr>
              <w:rPr>
                <w:rFonts w:cs="Times New Roman"/>
                <w:sz w:val="18"/>
                <w:szCs w:val="18"/>
              </w:rPr>
            </w:pPr>
            <w:r w:rsidRPr="00FC64BF">
              <w:rPr>
                <w:rFonts w:cs="Times New Roman"/>
                <w:sz w:val="18"/>
                <w:szCs w:val="18"/>
              </w:rPr>
              <w:t>ROK PROVEDBE AKTIVNOSTI</w:t>
            </w:r>
          </w:p>
        </w:tc>
        <w:tc>
          <w:tcPr>
            <w:tcW w:w="6245" w:type="dxa"/>
            <w:gridSpan w:val="3"/>
            <w:vAlign w:val="center"/>
          </w:tcPr>
          <w:p w14:paraId="0AF0F4D2" w14:textId="7BBC2D00" w:rsidR="00146B4C" w:rsidRPr="00FC64BF" w:rsidRDefault="00146B4C" w:rsidP="00E6590A">
            <w:pPr>
              <w:rPr>
                <w:rFonts w:cs="Times New Roman"/>
                <w:sz w:val="18"/>
                <w:szCs w:val="18"/>
              </w:rPr>
            </w:pPr>
            <w:r w:rsidRPr="00FC64BF">
              <w:rPr>
                <w:rFonts w:cs="Times New Roman"/>
                <w:sz w:val="18"/>
                <w:szCs w:val="18"/>
              </w:rPr>
              <w:t>I. kvartal 202</w:t>
            </w:r>
            <w:r w:rsidR="00E6590A">
              <w:rPr>
                <w:rFonts w:cs="Times New Roman"/>
                <w:sz w:val="18"/>
                <w:szCs w:val="18"/>
              </w:rPr>
              <w:t>6</w:t>
            </w:r>
            <w:r w:rsidRPr="00FC64BF">
              <w:rPr>
                <w:rFonts w:cs="Times New Roman"/>
                <w:sz w:val="18"/>
                <w:szCs w:val="18"/>
              </w:rPr>
              <w:t>.</w:t>
            </w:r>
          </w:p>
        </w:tc>
      </w:tr>
    </w:tbl>
    <w:p w14:paraId="2958B692" w14:textId="4D9560EF" w:rsidR="00B91E9B" w:rsidRPr="00FC64BF" w:rsidRDefault="003C5FC2" w:rsidP="00AF43CC">
      <w:pPr>
        <w:pStyle w:val="Heading1"/>
        <w:spacing w:before="0"/>
        <w:rPr>
          <w:rFonts w:cs="Times New Roman"/>
        </w:rPr>
      </w:pPr>
      <w:bookmarkStart w:id="27" w:name="_Toc65931781"/>
      <w:bookmarkStart w:id="28" w:name="_Toc65931782"/>
      <w:bookmarkStart w:id="29" w:name="_Toc132988317"/>
      <w:bookmarkStart w:id="30" w:name="_Hlk66118394"/>
      <w:bookmarkEnd w:id="27"/>
      <w:bookmarkEnd w:id="28"/>
      <w:r w:rsidRPr="00FC64BF">
        <w:rPr>
          <w:rFonts w:cs="Times New Roman"/>
        </w:rPr>
        <w:lastRenderedPageBreak/>
        <w:t>MJER</w:t>
      </w:r>
      <w:r w:rsidR="00803DE7" w:rsidRPr="00FC64BF">
        <w:rPr>
          <w:rFonts w:cs="Times New Roman"/>
        </w:rPr>
        <w:t>E</w:t>
      </w:r>
      <w:r w:rsidRPr="00FC64BF">
        <w:rPr>
          <w:rFonts w:cs="Times New Roman"/>
        </w:rPr>
        <w:t xml:space="preserve"> I </w:t>
      </w:r>
      <w:r w:rsidR="00CB102E" w:rsidRPr="00FC64BF">
        <w:rPr>
          <w:rFonts w:cs="Times New Roman"/>
        </w:rPr>
        <w:t>AKTIVNOSTI</w:t>
      </w:r>
      <w:r w:rsidR="00385628" w:rsidRPr="00FC64BF">
        <w:rPr>
          <w:rFonts w:cs="Times New Roman"/>
        </w:rPr>
        <w:t xml:space="preserve"> U HORIZONTALNOM CILJU </w:t>
      </w:r>
      <w:r w:rsidR="00AA6531" w:rsidRPr="00FC64BF">
        <w:rPr>
          <w:rFonts w:cs="Times New Roman"/>
        </w:rPr>
        <w:t xml:space="preserve">POTICATI </w:t>
      </w:r>
      <w:r w:rsidR="00385628" w:rsidRPr="00FC64BF">
        <w:rPr>
          <w:rFonts w:cs="Times New Roman"/>
        </w:rPr>
        <w:t>PARTICIPACIJ</w:t>
      </w:r>
      <w:r w:rsidR="00AA6531" w:rsidRPr="00FC64BF">
        <w:rPr>
          <w:rFonts w:cs="Times New Roman"/>
        </w:rPr>
        <w:t>U ROMA</w:t>
      </w:r>
      <w:r w:rsidR="00385628" w:rsidRPr="00FC64BF">
        <w:rPr>
          <w:rFonts w:cs="Times New Roman"/>
        </w:rPr>
        <w:t xml:space="preserve"> KROZ OSNAŽIVANJE, SURADNJU I POVJERENJE</w:t>
      </w:r>
      <w:r w:rsidR="00AA6531" w:rsidRPr="00FC64BF">
        <w:rPr>
          <w:rFonts w:cs="Times New Roman"/>
        </w:rPr>
        <w:t xml:space="preserve"> ROMA</w:t>
      </w:r>
      <w:r w:rsidR="00385628" w:rsidRPr="00FC64BF">
        <w:rPr>
          <w:rFonts w:cs="Times New Roman"/>
        </w:rPr>
        <w:t xml:space="preserve"> U JAVNE INSTITUCIJE</w:t>
      </w:r>
      <w:bookmarkEnd w:id="29"/>
    </w:p>
    <w:p w14:paraId="47F06809" w14:textId="77777777" w:rsidR="001D2A9A" w:rsidRPr="00FC64BF" w:rsidRDefault="001D2A9A" w:rsidP="001D2A9A">
      <w:pPr>
        <w:spacing w:after="0" w:line="276" w:lineRule="auto"/>
        <w:jc w:val="both"/>
      </w:pPr>
    </w:p>
    <w:p w14:paraId="3C0C7BEE" w14:textId="5BC9E40C" w:rsidR="004C6C5E" w:rsidRPr="00FC64BF" w:rsidRDefault="004C6C5E" w:rsidP="001D2A9A">
      <w:pPr>
        <w:spacing w:after="0" w:line="276" w:lineRule="auto"/>
        <w:jc w:val="both"/>
        <w:rPr>
          <w:rFonts w:cs="Times New Roman"/>
          <w:szCs w:val="24"/>
        </w:rPr>
      </w:pPr>
      <w:r w:rsidRPr="00FC64BF">
        <w:rPr>
          <w:rFonts w:cs="Times New Roman"/>
          <w:szCs w:val="24"/>
        </w:rPr>
        <w:t xml:space="preserve">Svrha provedbe mjera i aktivnosti </w:t>
      </w:r>
      <w:r w:rsidR="001D1FA4" w:rsidRPr="00FC64BF">
        <w:rPr>
          <w:rFonts w:cs="Times New Roman"/>
          <w:szCs w:val="24"/>
        </w:rPr>
        <w:t>je</w:t>
      </w:r>
      <w:r w:rsidRPr="00FC64BF">
        <w:rPr>
          <w:rFonts w:cs="Times New Roman"/>
          <w:szCs w:val="24"/>
        </w:rPr>
        <w:t xml:space="preserve">: </w:t>
      </w:r>
    </w:p>
    <w:p w14:paraId="71B7F33A" w14:textId="66ED7680" w:rsidR="00F06E81" w:rsidRPr="00FC64BF" w:rsidRDefault="00FD7FA0" w:rsidP="004A3B23">
      <w:pPr>
        <w:pStyle w:val="ListParagraph"/>
        <w:numPr>
          <w:ilvl w:val="0"/>
          <w:numId w:val="3"/>
        </w:numPr>
        <w:spacing w:line="276" w:lineRule="auto"/>
        <w:jc w:val="both"/>
      </w:pPr>
      <w:r w:rsidRPr="00FC64BF">
        <w:rPr>
          <w:szCs w:val="28"/>
        </w:rPr>
        <w:t xml:space="preserve">izgradnja kapaciteta organizacija civilnog društva i sposobnosti vođenja u romskom civilnom društvu kako bi se </w:t>
      </w:r>
      <w:r w:rsidR="00F1631F" w:rsidRPr="00FC64BF">
        <w:rPr>
          <w:szCs w:val="28"/>
        </w:rPr>
        <w:t>romskom stanovništvu omogućilo sudjelovanje u procesima donošenja odluka</w:t>
      </w:r>
      <w:r w:rsidR="00F06E81" w:rsidRPr="00FC64BF">
        <w:rPr>
          <w:szCs w:val="28"/>
        </w:rPr>
        <w:t>;</w:t>
      </w:r>
    </w:p>
    <w:p w14:paraId="4BD6F7E7" w14:textId="4758B838" w:rsidR="001D1FA4" w:rsidRPr="00FC64BF" w:rsidRDefault="00F1631F" w:rsidP="00AB12E9">
      <w:pPr>
        <w:pStyle w:val="ListParagraph"/>
        <w:numPr>
          <w:ilvl w:val="0"/>
          <w:numId w:val="3"/>
        </w:numPr>
        <w:spacing w:line="276" w:lineRule="auto"/>
        <w:jc w:val="both"/>
      </w:pPr>
      <w:r w:rsidRPr="00FC64BF">
        <w:rPr>
          <w:szCs w:val="28"/>
        </w:rPr>
        <w:t>educiranje Roma o zakonodavnom i institucionalnom okviru zaštite od diskriminacije te podizanje svijesti članova marginaliziranih romskih zajednica o pravima i odgovornostima građana</w:t>
      </w:r>
      <w:r w:rsidR="00597879">
        <w:rPr>
          <w:szCs w:val="28"/>
        </w:rPr>
        <w:t>;</w:t>
      </w:r>
      <w:r w:rsidR="00F06E81" w:rsidRPr="00FC64BF">
        <w:rPr>
          <w:szCs w:val="28"/>
        </w:rPr>
        <w:t xml:space="preserve"> </w:t>
      </w:r>
    </w:p>
    <w:p w14:paraId="00B40250" w14:textId="31A02458" w:rsidR="004C6C5E" w:rsidRPr="00FC64BF" w:rsidRDefault="00F1631F" w:rsidP="00D36147">
      <w:pPr>
        <w:pStyle w:val="ListParagraph"/>
        <w:numPr>
          <w:ilvl w:val="0"/>
          <w:numId w:val="3"/>
        </w:numPr>
        <w:spacing w:line="276" w:lineRule="auto"/>
        <w:jc w:val="both"/>
        <w:rPr>
          <w:sz w:val="22"/>
        </w:rPr>
      </w:pPr>
      <w:r w:rsidRPr="00FC64BF">
        <w:rPr>
          <w:szCs w:val="28"/>
        </w:rPr>
        <w:t>poticanje razvoja romskih organizacija mladih i žena kao i njihovih sposobnosti vođenja i upravljanja lokalnim poslovima putem vijeća i predstavnika nacionalnih manjina te poticanje programa posvećenih izvornoj romskoj kulturi, jeziku, tradicijskim običajima i umjetničkom stvaralaštvu</w:t>
      </w:r>
      <w:r w:rsidR="00597879">
        <w:rPr>
          <w:szCs w:val="28"/>
        </w:rPr>
        <w:t>.</w:t>
      </w:r>
    </w:p>
    <w:p w14:paraId="4BBBC5E8" w14:textId="7CABD9D1" w:rsidR="00287202" w:rsidRPr="00FC64BF" w:rsidRDefault="00287202" w:rsidP="001D2A9A">
      <w:pPr>
        <w:pStyle w:val="ListParagraph"/>
        <w:spacing w:line="276" w:lineRule="auto"/>
        <w:jc w:val="both"/>
        <w:rPr>
          <w:sz w:val="22"/>
        </w:rPr>
      </w:pPr>
    </w:p>
    <w:p w14:paraId="7CBED9C8" w14:textId="6910B958" w:rsidR="00056BCB" w:rsidRPr="00FC64BF" w:rsidRDefault="00056BCB" w:rsidP="00597879">
      <w:pPr>
        <w:pStyle w:val="Heading2"/>
        <w:spacing w:before="0" w:line="276" w:lineRule="auto"/>
        <w:jc w:val="both"/>
        <w:rPr>
          <w:rFonts w:cs="Times New Roman"/>
        </w:rPr>
      </w:pPr>
      <w:r w:rsidRPr="00FC64BF">
        <w:rPr>
          <w:rFonts w:cs="Times New Roman"/>
        </w:rPr>
        <w:t>Mjera 3.1.</w:t>
      </w:r>
      <w:r w:rsidR="0055595F" w:rsidRPr="00FC64BF">
        <w:rPr>
          <w:rFonts w:cs="Times New Roman"/>
        </w:rPr>
        <w:t xml:space="preserve"> </w:t>
      </w:r>
      <w:r w:rsidRPr="00FC64BF">
        <w:rPr>
          <w:rFonts w:cs="Times New Roman"/>
        </w:rPr>
        <w:t>Osiguravanje preduvjeta za sudjelovanje romskih udruga kao punopravnih članova u nacionalnim odborima za praćenje</w:t>
      </w:r>
      <w:r w:rsidRPr="00FC64BF">
        <w:rPr>
          <w:rFonts w:cs="Times New Roman"/>
        </w:rPr>
        <w:tab/>
      </w:r>
    </w:p>
    <w:p w14:paraId="40409A52" w14:textId="77777777" w:rsidR="00664C9A" w:rsidRPr="00FC64BF" w:rsidRDefault="00664C9A" w:rsidP="001D2A9A">
      <w:pPr>
        <w:spacing w:after="0" w:line="276" w:lineRule="auto"/>
        <w:jc w:val="both"/>
        <w:rPr>
          <w:rFonts w:cs="Times New Roman"/>
          <w:bCs/>
          <w:i/>
          <w:iCs/>
          <w:szCs w:val="24"/>
        </w:rPr>
      </w:pPr>
    </w:p>
    <w:p w14:paraId="60D58823" w14:textId="4DEE0B9E" w:rsidR="00397DD3" w:rsidRPr="00FC64BF" w:rsidRDefault="00F575CE" w:rsidP="001D2A9A">
      <w:pPr>
        <w:spacing w:after="0" w:line="276" w:lineRule="auto"/>
        <w:jc w:val="both"/>
        <w:rPr>
          <w:rFonts w:cs="Times New Roman"/>
          <w:bCs/>
          <w:i/>
          <w:iCs/>
          <w:szCs w:val="24"/>
        </w:rPr>
      </w:pPr>
      <w:r w:rsidRPr="00FC64BF">
        <w:rPr>
          <w:rFonts w:cs="Times New Roman"/>
          <w:bCs/>
          <w:i/>
          <w:iCs/>
          <w:szCs w:val="24"/>
        </w:rPr>
        <w:t xml:space="preserve">Aktivnost: </w:t>
      </w:r>
      <w:r w:rsidR="00397DD3" w:rsidRPr="00FC64BF">
        <w:rPr>
          <w:rFonts w:cs="Times New Roman"/>
          <w:bCs/>
          <w:i/>
          <w:iCs/>
          <w:szCs w:val="24"/>
        </w:rPr>
        <w:t>3.1.1. Poboljšati dostupnost i transparentnost podataka o rezultatima projekata i programa financiranih iz javnih izvora koje provode organizacije civilnoga društva s izdvojenim podacima o financiranju projekata i programa u području potpore romskoj nacionalnoj manjini</w:t>
      </w:r>
    </w:p>
    <w:p w14:paraId="265C65B1" w14:textId="5E319635" w:rsidR="00397DD3" w:rsidRPr="00FC64BF" w:rsidRDefault="003A2799" w:rsidP="001D2A9A">
      <w:pPr>
        <w:spacing w:after="0" w:line="276" w:lineRule="auto"/>
        <w:jc w:val="both"/>
        <w:rPr>
          <w:rFonts w:cs="Times New Roman"/>
          <w:bCs/>
          <w:i/>
          <w:iCs/>
          <w:szCs w:val="24"/>
        </w:rPr>
      </w:pPr>
      <w:r w:rsidRPr="00FC64BF">
        <w:rPr>
          <w:rFonts w:cs="Times New Roman"/>
          <w:bCs/>
          <w:i/>
          <w:iCs/>
          <w:szCs w:val="24"/>
        </w:rPr>
        <w:t xml:space="preserve">Nositelj provedbe: Ured za udruge </w:t>
      </w:r>
    </w:p>
    <w:p w14:paraId="08E041A9" w14:textId="6112F29D" w:rsidR="00203F99" w:rsidRPr="00FC64BF" w:rsidRDefault="004B63FC" w:rsidP="00D36147">
      <w:pPr>
        <w:spacing w:after="0" w:line="276" w:lineRule="auto"/>
        <w:jc w:val="both"/>
        <w:rPr>
          <w:rFonts w:cs="Times New Roman"/>
          <w:b/>
          <w:bCs/>
          <w:i/>
          <w:iCs/>
          <w:szCs w:val="24"/>
        </w:rPr>
      </w:pPr>
      <w:r w:rsidRPr="00FC64BF">
        <w:rPr>
          <w:rFonts w:cs="Times New Roman"/>
          <w:i/>
          <w:szCs w:val="24"/>
        </w:rPr>
        <w:t>Partneri</w:t>
      </w:r>
      <w:r w:rsidR="00203F99" w:rsidRPr="00FC64BF">
        <w:rPr>
          <w:rFonts w:cs="Times New Roman"/>
          <w:i/>
          <w:szCs w:val="24"/>
        </w:rPr>
        <w:t>: TDU, JLP(R)S i drugi davatelji financijskih sredstava iz javnih izvora</w:t>
      </w:r>
    </w:p>
    <w:p w14:paraId="784F316B" w14:textId="6D56648D" w:rsidR="00F575CE" w:rsidRPr="00FC64BF" w:rsidRDefault="00F575CE" w:rsidP="00D36147">
      <w:pPr>
        <w:spacing w:after="0" w:line="276" w:lineRule="auto"/>
        <w:jc w:val="both"/>
        <w:rPr>
          <w:rFonts w:cs="Times New Roman"/>
          <w:bCs/>
          <w:iCs/>
          <w:szCs w:val="24"/>
        </w:rPr>
      </w:pPr>
    </w:p>
    <w:p w14:paraId="402BE0D3" w14:textId="5F8AFAFD" w:rsidR="00807154" w:rsidRPr="003462D1" w:rsidRDefault="000F2491" w:rsidP="00D36147">
      <w:pPr>
        <w:spacing w:after="0" w:line="276" w:lineRule="auto"/>
        <w:jc w:val="both"/>
        <w:rPr>
          <w:rFonts w:cs="Times New Roman"/>
          <w:bCs/>
          <w:iCs/>
          <w:szCs w:val="24"/>
        </w:rPr>
      </w:pPr>
      <w:r w:rsidRPr="00FC64BF">
        <w:rPr>
          <w:rFonts w:cs="Times New Roman"/>
          <w:szCs w:val="24"/>
        </w:rPr>
        <w:t xml:space="preserve">U sklopu aktivnosti Ured za udruge u fazi je prikupljanja izvješća o financiranju projekata i programa organizacija civilnog društva iz javnih izvora za 2024. godinu s izdvojenim podacima o </w:t>
      </w:r>
      <w:r w:rsidRPr="003462D1">
        <w:rPr>
          <w:rFonts w:cs="Times New Roman"/>
          <w:szCs w:val="24"/>
        </w:rPr>
        <w:t>financiranju projekata i programa u području potpore romskoj nacionalnoj manjini.</w:t>
      </w:r>
    </w:p>
    <w:p w14:paraId="475FB5D4" w14:textId="18BBD951" w:rsidR="005B4B7C" w:rsidRPr="003462D1" w:rsidRDefault="005B4B7C" w:rsidP="00D36147">
      <w:pPr>
        <w:spacing w:after="0" w:line="276" w:lineRule="auto"/>
        <w:jc w:val="both"/>
        <w:rPr>
          <w:rFonts w:cs="Times New Roman"/>
          <w:bCs/>
          <w:iCs/>
          <w:szCs w:val="24"/>
        </w:rPr>
      </w:pPr>
    </w:p>
    <w:tbl>
      <w:tblPr>
        <w:tblStyle w:val="TableGrid"/>
        <w:tblW w:w="5003" w:type="pct"/>
        <w:jc w:val="center"/>
        <w:tblLayout w:type="fixed"/>
        <w:tblLook w:val="04A0" w:firstRow="1" w:lastRow="0" w:firstColumn="1" w:lastColumn="0" w:noHBand="0" w:noVBand="1"/>
      </w:tblPr>
      <w:tblGrid>
        <w:gridCol w:w="2972"/>
        <w:gridCol w:w="2269"/>
        <w:gridCol w:w="2125"/>
        <w:gridCol w:w="1701"/>
      </w:tblGrid>
      <w:tr w:rsidR="00CE622A" w:rsidRPr="001A5379" w14:paraId="7AB36B4E" w14:textId="77777777" w:rsidTr="00D36147">
        <w:trPr>
          <w:jc w:val="center"/>
        </w:trPr>
        <w:tc>
          <w:tcPr>
            <w:tcW w:w="1639" w:type="pct"/>
            <w:shd w:val="clear" w:color="auto" w:fill="F2F2F2" w:themeFill="background1" w:themeFillShade="F2"/>
            <w:vAlign w:val="center"/>
          </w:tcPr>
          <w:p w14:paraId="29F2B39B" w14:textId="797E32AC" w:rsidR="00146B4C" w:rsidRPr="00A86FA4" w:rsidRDefault="00B510B5" w:rsidP="00D36147">
            <w:pPr>
              <w:spacing w:line="276" w:lineRule="auto"/>
              <w:rPr>
                <w:rFonts w:cs="Times New Roman"/>
                <w:b/>
                <w:sz w:val="20"/>
                <w:szCs w:val="20"/>
              </w:rPr>
            </w:pPr>
            <w:r w:rsidRPr="00A86FA4">
              <w:rPr>
                <w:rFonts w:cs="Times New Roman"/>
                <w:b/>
                <w:sz w:val="20"/>
                <w:szCs w:val="20"/>
              </w:rPr>
              <w:t>Pokazatelji provedbe i pokazatelji uspješnosti provedbe</w:t>
            </w:r>
          </w:p>
        </w:tc>
        <w:tc>
          <w:tcPr>
            <w:tcW w:w="3361" w:type="pct"/>
            <w:gridSpan w:val="3"/>
            <w:shd w:val="clear" w:color="auto" w:fill="F2F2F2" w:themeFill="background1" w:themeFillShade="F2"/>
            <w:vAlign w:val="center"/>
          </w:tcPr>
          <w:p w14:paraId="5EE10CC3" w14:textId="3C028E62" w:rsidR="00146B4C" w:rsidRPr="00A86FA4" w:rsidRDefault="00146B4C" w:rsidP="00D36147">
            <w:pPr>
              <w:spacing w:line="276" w:lineRule="auto"/>
              <w:jc w:val="center"/>
              <w:rPr>
                <w:rFonts w:cs="Times New Roman"/>
                <w:b/>
                <w:sz w:val="20"/>
                <w:szCs w:val="20"/>
              </w:rPr>
            </w:pPr>
            <w:r w:rsidRPr="00A86FA4">
              <w:rPr>
                <w:rFonts w:cs="Times New Roman"/>
                <w:b/>
                <w:sz w:val="20"/>
                <w:szCs w:val="20"/>
              </w:rPr>
              <w:t>Broj izrađenih i usvojenih godišnjih Izvješća o financiranju projekata i programa organizacija civilnog društva iz javnih izvora</w:t>
            </w:r>
          </w:p>
        </w:tc>
      </w:tr>
      <w:tr w:rsidR="00CE622A" w:rsidRPr="001A5379" w14:paraId="3F1A3B0A" w14:textId="77777777" w:rsidTr="00D36147">
        <w:trPr>
          <w:jc w:val="center"/>
        </w:trPr>
        <w:tc>
          <w:tcPr>
            <w:tcW w:w="1639" w:type="pct"/>
            <w:shd w:val="clear" w:color="auto" w:fill="F2F2F2" w:themeFill="background1" w:themeFillShade="F2"/>
            <w:vAlign w:val="center"/>
          </w:tcPr>
          <w:p w14:paraId="502880B4" w14:textId="6B830393" w:rsidR="00146B4C" w:rsidRPr="00A86FA4" w:rsidRDefault="00146B4C" w:rsidP="005F4F41">
            <w:pPr>
              <w:spacing w:line="276" w:lineRule="auto"/>
              <w:rPr>
                <w:rFonts w:cs="Times New Roman"/>
                <w:sz w:val="20"/>
                <w:szCs w:val="20"/>
              </w:rPr>
            </w:pPr>
            <w:r w:rsidRPr="00A86FA4">
              <w:rPr>
                <w:rFonts w:cs="Times New Roman"/>
                <w:sz w:val="20"/>
                <w:szCs w:val="20"/>
              </w:rPr>
              <w:t>Planirani ishodi za pokazatelje provedbe u 202</w:t>
            </w:r>
            <w:r w:rsidR="00200363" w:rsidRPr="00A86FA4">
              <w:rPr>
                <w:rFonts w:cs="Times New Roman"/>
                <w:sz w:val="20"/>
                <w:szCs w:val="20"/>
              </w:rPr>
              <w:t>4</w:t>
            </w:r>
            <w:r w:rsidRPr="00A86FA4">
              <w:rPr>
                <w:rFonts w:cs="Times New Roman"/>
                <w:sz w:val="20"/>
                <w:szCs w:val="20"/>
              </w:rPr>
              <w:t xml:space="preserve">. </w:t>
            </w:r>
          </w:p>
        </w:tc>
        <w:tc>
          <w:tcPr>
            <w:tcW w:w="3361" w:type="pct"/>
            <w:gridSpan w:val="3"/>
          </w:tcPr>
          <w:p w14:paraId="3CDE4C7D" w14:textId="77777777" w:rsidR="00146B4C" w:rsidRPr="00A86FA4" w:rsidRDefault="00146B4C" w:rsidP="00D36147">
            <w:pPr>
              <w:spacing w:line="276" w:lineRule="auto"/>
              <w:jc w:val="center"/>
              <w:rPr>
                <w:rFonts w:cs="Times New Roman"/>
                <w:sz w:val="20"/>
                <w:szCs w:val="20"/>
              </w:rPr>
            </w:pPr>
          </w:p>
          <w:p w14:paraId="37291BBF" w14:textId="17339F51" w:rsidR="00146B4C" w:rsidRPr="00A86FA4" w:rsidRDefault="00146B4C" w:rsidP="00D36147">
            <w:pPr>
              <w:spacing w:line="276" w:lineRule="auto"/>
              <w:jc w:val="center"/>
              <w:rPr>
                <w:rFonts w:cs="Times New Roman"/>
                <w:sz w:val="20"/>
                <w:szCs w:val="20"/>
              </w:rPr>
            </w:pPr>
            <w:r w:rsidRPr="00A86FA4">
              <w:rPr>
                <w:rFonts w:cs="Times New Roman"/>
                <w:sz w:val="20"/>
                <w:szCs w:val="20"/>
              </w:rPr>
              <w:t>1</w:t>
            </w:r>
          </w:p>
        </w:tc>
      </w:tr>
      <w:tr w:rsidR="00CE622A" w:rsidRPr="001A5379" w14:paraId="1574D120" w14:textId="77777777" w:rsidTr="00D36147">
        <w:trPr>
          <w:jc w:val="center"/>
        </w:trPr>
        <w:tc>
          <w:tcPr>
            <w:tcW w:w="1639" w:type="pct"/>
            <w:shd w:val="clear" w:color="auto" w:fill="F2F2F2" w:themeFill="background1" w:themeFillShade="F2"/>
            <w:vAlign w:val="center"/>
          </w:tcPr>
          <w:p w14:paraId="6C57C180" w14:textId="1C2D1265" w:rsidR="00146B4C" w:rsidRPr="00A86FA4" w:rsidRDefault="00146B4C" w:rsidP="005F4F41">
            <w:pPr>
              <w:spacing w:line="276" w:lineRule="auto"/>
              <w:rPr>
                <w:rFonts w:cs="Times New Roman"/>
                <w:sz w:val="20"/>
                <w:szCs w:val="20"/>
              </w:rPr>
            </w:pPr>
            <w:r w:rsidRPr="00A86FA4">
              <w:rPr>
                <w:rFonts w:cs="Times New Roman"/>
                <w:sz w:val="20"/>
                <w:szCs w:val="20"/>
              </w:rPr>
              <w:t>Ostvareni ishodi za pokazatelje provedbe u 202</w:t>
            </w:r>
            <w:r w:rsidR="00200363" w:rsidRPr="00A86FA4">
              <w:rPr>
                <w:rFonts w:cs="Times New Roman"/>
                <w:sz w:val="20"/>
                <w:szCs w:val="20"/>
              </w:rPr>
              <w:t>4</w:t>
            </w:r>
            <w:r w:rsidRPr="00A86FA4">
              <w:rPr>
                <w:rFonts w:cs="Times New Roman"/>
                <w:sz w:val="20"/>
                <w:szCs w:val="20"/>
              </w:rPr>
              <w:t>.</w:t>
            </w:r>
          </w:p>
        </w:tc>
        <w:tc>
          <w:tcPr>
            <w:tcW w:w="3361" w:type="pct"/>
            <w:gridSpan w:val="3"/>
            <w:vAlign w:val="center"/>
          </w:tcPr>
          <w:p w14:paraId="7DA747A7" w14:textId="77777777" w:rsidR="00146B4C" w:rsidRPr="00A86FA4" w:rsidRDefault="00146B4C" w:rsidP="00D36147">
            <w:pPr>
              <w:spacing w:line="276" w:lineRule="auto"/>
              <w:jc w:val="center"/>
              <w:rPr>
                <w:rFonts w:cs="Times New Roman"/>
                <w:sz w:val="20"/>
                <w:szCs w:val="20"/>
              </w:rPr>
            </w:pPr>
            <w:r w:rsidRPr="00A86FA4">
              <w:rPr>
                <w:rFonts w:cs="Times New Roman"/>
                <w:sz w:val="20"/>
                <w:szCs w:val="20"/>
              </w:rPr>
              <w:t>0</w:t>
            </w:r>
          </w:p>
        </w:tc>
      </w:tr>
      <w:tr w:rsidR="00CE622A" w:rsidRPr="001A5379" w14:paraId="7BD63EC1" w14:textId="77777777" w:rsidTr="00D36147">
        <w:trPr>
          <w:jc w:val="center"/>
        </w:trPr>
        <w:tc>
          <w:tcPr>
            <w:tcW w:w="1639" w:type="pct"/>
            <w:shd w:val="clear" w:color="auto" w:fill="F2F2F2" w:themeFill="background1" w:themeFillShade="F2"/>
            <w:vAlign w:val="center"/>
          </w:tcPr>
          <w:p w14:paraId="3D876B0D" w14:textId="77777777" w:rsidR="00146B4C" w:rsidRPr="00A86FA4" w:rsidRDefault="00146B4C" w:rsidP="00D36147">
            <w:pPr>
              <w:spacing w:line="276" w:lineRule="auto"/>
              <w:rPr>
                <w:rFonts w:cs="Times New Roman"/>
                <w:b/>
                <w:sz w:val="20"/>
                <w:szCs w:val="20"/>
              </w:rPr>
            </w:pPr>
            <w:r w:rsidRPr="00A86FA4">
              <w:rPr>
                <w:rFonts w:cs="Times New Roman"/>
                <w:b/>
                <w:sz w:val="20"/>
                <w:szCs w:val="20"/>
              </w:rPr>
              <w:t>IZVORI FINANCIRANJA</w:t>
            </w:r>
          </w:p>
        </w:tc>
        <w:tc>
          <w:tcPr>
            <w:tcW w:w="1251" w:type="pct"/>
            <w:vAlign w:val="center"/>
          </w:tcPr>
          <w:p w14:paraId="0F22B4EE" w14:textId="77777777" w:rsidR="00146B4C" w:rsidRPr="00A86FA4" w:rsidRDefault="00146B4C" w:rsidP="00D36147">
            <w:pPr>
              <w:spacing w:line="276" w:lineRule="auto"/>
              <w:jc w:val="center"/>
              <w:rPr>
                <w:rFonts w:cs="Times New Roman"/>
                <w:b/>
                <w:sz w:val="20"/>
                <w:szCs w:val="20"/>
              </w:rPr>
            </w:pPr>
            <w:r w:rsidRPr="00A86FA4">
              <w:rPr>
                <w:rFonts w:cs="Times New Roman"/>
                <w:b/>
                <w:sz w:val="20"/>
                <w:szCs w:val="20"/>
              </w:rPr>
              <w:t>Državni proračun (EUR)</w:t>
            </w:r>
          </w:p>
        </w:tc>
        <w:tc>
          <w:tcPr>
            <w:tcW w:w="1172" w:type="pct"/>
            <w:vAlign w:val="center"/>
          </w:tcPr>
          <w:p w14:paraId="4183D4D2" w14:textId="77777777" w:rsidR="00146B4C" w:rsidRPr="00A86FA4" w:rsidRDefault="00146B4C" w:rsidP="00D36147">
            <w:pPr>
              <w:spacing w:line="276" w:lineRule="auto"/>
              <w:jc w:val="center"/>
              <w:rPr>
                <w:rFonts w:cs="Times New Roman"/>
                <w:b/>
                <w:sz w:val="20"/>
                <w:szCs w:val="20"/>
              </w:rPr>
            </w:pPr>
            <w:r w:rsidRPr="00A86FA4">
              <w:rPr>
                <w:rFonts w:cs="Times New Roman"/>
                <w:b/>
                <w:sz w:val="20"/>
                <w:szCs w:val="20"/>
              </w:rPr>
              <w:t>EU financiranje (EUR)</w:t>
            </w:r>
          </w:p>
        </w:tc>
        <w:tc>
          <w:tcPr>
            <w:tcW w:w="938" w:type="pct"/>
            <w:vAlign w:val="center"/>
          </w:tcPr>
          <w:p w14:paraId="79884544" w14:textId="42104AA5" w:rsidR="00146B4C" w:rsidRPr="00A86FA4" w:rsidRDefault="00146B4C" w:rsidP="00D36147">
            <w:pPr>
              <w:spacing w:line="276" w:lineRule="auto"/>
              <w:jc w:val="center"/>
              <w:rPr>
                <w:rFonts w:cs="Times New Roman"/>
                <w:b/>
                <w:sz w:val="20"/>
                <w:szCs w:val="20"/>
              </w:rPr>
            </w:pPr>
            <w:r w:rsidRPr="00A86FA4">
              <w:rPr>
                <w:rFonts w:cs="Times New Roman"/>
                <w:b/>
                <w:sz w:val="20"/>
                <w:szCs w:val="20"/>
              </w:rPr>
              <w:t>Drugi izvori</w:t>
            </w:r>
            <w:r w:rsidR="00807154" w:rsidRPr="00A86FA4">
              <w:rPr>
                <w:rFonts w:cs="Times New Roman"/>
                <w:b/>
                <w:sz w:val="20"/>
                <w:szCs w:val="20"/>
              </w:rPr>
              <w:t xml:space="preserve"> </w:t>
            </w:r>
            <w:r w:rsidRPr="00A86FA4">
              <w:rPr>
                <w:rFonts w:cs="Times New Roman"/>
                <w:b/>
                <w:sz w:val="20"/>
                <w:szCs w:val="20"/>
              </w:rPr>
              <w:t>(EUR)</w:t>
            </w:r>
          </w:p>
        </w:tc>
      </w:tr>
      <w:tr w:rsidR="00CE622A" w:rsidRPr="001A5379" w14:paraId="37F3864A" w14:textId="77777777" w:rsidTr="00D36147">
        <w:trPr>
          <w:jc w:val="center"/>
        </w:trPr>
        <w:tc>
          <w:tcPr>
            <w:tcW w:w="1639" w:type="pct"/>
            <w:shd w:val="clear" w:color="auto" w:fill="F2F2F2" w:themeFill="background1" w:themeFillShade="F2"/>
            <w:vAlign w:val="center"/>
          </w:tcPr>
          <w:p w14:paraId="65327875" w14:textId="08276710" w:rsidR="00146B4C" w:rsidRPr="00A86FA4" w:rsidRDefault="00146B4C" w:rsidP="005F4F41">
            <w:pPr>
              <w:spacing w:line="276" w:lineRule="auto"/>
              <w:rPr>
                <w:rFonts w:cs="Times New Roman"/>
                <w:sz w:val="20"/>
                <w:szCs w:val="20"/>
              </w:rPr>
            </w:pPr>
            <w:r w:rsidRPr="00A86FA4">
              <w:rPr>
                <w:rFonts w:cs="Times New Roman"/>
                <w:sz w:val="20"/>
                <w:szCs w:val="20"/>
              </w:rPr>
              <w:t>Izvori financiranja u 202</w:t>
            </w:r>
            <w:r w:rsidR="00200363" w:rsidRPr="00A86FA4">
              <w:rPr>
                <w:rFonts w:cs="Times New Roman"/>
                <w:sz w:val="20"/>
                <w:szCs w:val="20"/>
              </w:rPr>
              <w:t>4</w:t>
            </w:r>
            <w:r w:rsidRPr="00A86FA4">
              <w:rPr>
                <w:rFonts w:cs="Times New Roman"/>
                <w:sz w:val="20"/>
                <w:szCs w:val="20"/>
              </w:rPr>
              <w:t>. (proračunska pozicija i predviđeni iznos sredstava)</w:t>
            </w:r>
          </w:p>
        </w:tc>
        <w:tc>
          <w:tcPr>
            <w:tcW w:w="1251" w:type="pct"/>
            <w:vAlign w:val="center"/>
          </w:tcPr>
          <w:p w14:paraId="5C441491" w14:textId="16CB83AD" w:rsidR="00146B4C" w:rsidRPr="00A86FA4" w:rsidRDefault="00146B4C" w:rsidP="0059114B">
            <w:pPr>
              <w:spacing w:line="276" w:lineRule="auto"/>
              <w:jc w:val="center"/>
              <w:rPr>
                <w:rFonts w:cs="Times New Roman"/>
                <w:sz w:val="20"/>
                <w:szCs w:val="20"/>
              </w:rPr>
            </w:pPr>
            <w:r w:rsidRPr="00A86FA4">
              <w:rPr>
                <w:rFonts w:cs="Times New Roman"/>
                <w:sz w:val="20"/>
                <w:szCs w:val="20"/>
              </w:rPr>
              <w:t>A509000</w:t>
            </w:r>
            <w:r w:rsidR="00410784" w:rsidRPr="00A86FA4">
              <w:rPr>
                <w:rFonts w:cs="Times New Roman"/>
                <w:sz w:val="20"/>
                <w:szCs w:val="20"/>
              </w:rPr>
              <w:t xml:space="preserve"> </w:t>
            </w:r>
            <w:r w:rsidR="00CD78EF" w:rsidRPr="00A86FA4">
              <w:rPr>
                <w:rFonts w:cs="Times New Roman"/>
                <w:sz w:val="20"/>
                <w:szCs w:val="20"/>
              </w:rPr>
              <w:t xml:space="preserve">- </w:t>
            </w:r>
            <w:r w:rsidRPr="00A86FA4">
              <w:rPr>
                <w:rFonts w:cs="Times New Roman"/>
                <w:sz w:val="20"/>
                <w:szCs w:val="20"/>
              </w:rPr>
              <w:t>Administracija i</w:t>
            </w:r>
            <w:r w:rsidR="0059114B">
              <w:rPr>
                <w:rFonts w:cs="Times New Roman"/>
                <w:sz w:val="20"/>
                <w:szCs w:val="20"/>
              </w:rPr>
              <w:t xml:space="preserve"> </w:t>
            </w:r>
            <w:r w:rsidR="003F4918" w:rsidRPr="00A86FA4">
              <w:rPr>
                <w:rFonts w:cs="Times New Roman"/>
                <w:sz w:val="20"/>
                <w:szCs w:val="20"/>
              </w:rPr>
              <w:t>u</w:t>
            </w:r>
            <w:r w:rsidRPr="00A86FA4">
              <w:rPr>
                <w:rFonts w:cs="Times New Roman"/>
                <w:sz w:val="20"/>
                <w:szCs w:val="20"/>
              </w:rPr>
              <w:t>pravljanje</w:t>
            </w:r>
          </w:p>
        </w:tc>
        <w:tc>
          <w:tcPr>
            <w:tcW w:w="1172" w:type="pct"/>
            <w:vAlign w:val="center"/>
          </w:tcPr>
          <w:p w14:paraId="3AD5E661" w14:textId="77777777" w:rsidR="00146B4C" w:rsidRPr="00A86FA4" w:rsidRDefault="00146B4C" w:rsidP="00D36147">
            <w:pPr>
              <w:spacing w:line="276" w:lineRule="auto"/>
              <w:jc w:val="center"/>
              <w:rPr>
                <w:rFonts w:cs="Times New Roman"/>
                <w:sz w:val="20"/>
                <w:szCs w:val="20"/>
              </w:rPr>
            </w:pPr>
            <w:r w:rsidRPr="00A86FA4">
              <w:rPr>
                <w:rFonts w:cs="Times New Roman"/>
                <w:sz w:val="20"/>
                <w:szCs w:val="20"/>
              </w:rPr>
              <w:t>0,00</w:t>
            </w:r>
          </w:p>
        </w:tc>
        <w:tc>
          <w:tcPr>
            <w:tcW w:w="938" w:type="pct"/>
            <w:vAlign w:val="center"/>
          </w:tcPr>
          <w:p w14:paraId="3AF3D9B3" w14:textId="77777777" w:rsidR="00146B4C" w:rsidRPr="00A86FA4" w:rsidRDefault="00146B4C" w:rsidP="00D36147">
            <w:pPr>
              <w:spacing w:line="276" w:lineRule="auto"/>
              <w:jc w:val="center"/>
              <w:rPr>
                <w:rFonts w:cs="Times New Roman"/>
                <w:sz w:val="20"/>
                <w:szCs w:val="20"/>
              </w:rPr>
            </w:pPr>
            <w:r w:rsidRPr="00A86FA4">
              <w:rPr>
                <w:rFonts w:cs="Times New Roman"/>
                <w:sz w:val="20"/>
                <w:szCs w:val="20"/>
              </w:rPr>
              <w:t>0,00</w:t>
            </w:r>
          </w:p>
        </w:tc>
      </w:tr>
      <w:tr w:rsidR="00CE622A" w:rsidRPr="001A5379" w14:paraId="4F9FA302" w14:textId="77777777" w:rsidTr="00D36147">
        <w:trPr>
          <w:jc w:val="center"/>
        </w:trPr>
        <w:tc>
          <w:tcPr>
            <w:tcW w:w="1639" w:type="pct"/>
            <w:vMerge w:val="restart"/>
            <w:shd w:val="clear" w:color="auto" w:fill="F2F2F2" w:themeFill="background1" w:themeFillShade="F2"/>
            <w:vAlign w:val="center"/>
          </w:tcPr>
          <w:p w14:paraId="14738BB1" w14:textId="77777777" w:rsidR="00146B4C" w:rsidRPr="00A86FA4" w:rsidRDefault="00146B4C" w:rsidP="00D36147">
            <w:pPr>
              <w:spacing w:line="276" w:lineRule="auto"/>
              <w:rPr>
                <w:rFonts w:cs="Times New Roman"/>
                <w:b/>
                <w:bCs/>
                <w:sz w:val="20"/>
                <w:szCs w:val="20"/>
              </w:rPr>
            </w:pPr>
            <w:r w:rsidRPr="00A86FA4">
              <w:rPr>
                <w:rFonts w:cs="Times New Roman"/>
                <w:b/>
                <w:bCs/>
                <w:sz w:val="20"/>
                <w:szCs w:val="20"/>
              </w:rPr>
              <w:t xml:space="preserve">UKUPNO UTROŠENA SREDSTVA PO IZVORU </w:t>
            </w:r>
          </w:p>
        </w:tc>
        <w:tc>
          <w:tcPr>
            <w:tcW w:w="1251" w:type="pct"/>
            <w:vAlign w:val="center"/>
          </w:tcPr>
          <w:p w14:paraId="2FC2D1BB" w14:textId="77777777" w:rsidR="00146B4C" w:rsidRPr="00A86FA4" w:rsidRDefault="00146B4C" w:rsidP="00D36147">
            <w:pPr>
              <w:spacing w:line="276" w:lineRule="auto"/>
              <w:jc w:val="center"/>
              <w:rPr>
                <w:rFonts w:cs="Times New Roman"/>
                <w:b/>
                <w:bCs/>
                <w:sz w:val="20"/>
                <w:szCs w:val="20"/>
              </w:rPr>
            </w:pPr>
            <w:r w:rsidRPr="00A86FA4">
              <w:rPr>
                <w:rFonts w:cs="Times New Roman"/>
                <w:b/>
                <w:bCs/>
                <w:sz w:val="20"/>
                <w:szCs w:val="20"/>
              </w:rPr>
              <w:t>Državni proračun (EUR)</w:t>
            </w:r>
          </w:p>
        </w:tc>
        <w:tc>
          <w:tcPr>
            <w:tcW w:w="1172" w:type="pct"/>
            <w:vAlign w:val="center"/>
          </w:tcPr>
          <w:p w14:paraId="5FF4B0E6" w14:textId="77777777" w:rsidR="00146B4C" w:rsidRPr="00A86FA4" w:rsidRDefault="00146B4C" w:rsidP="00D36147">
            <w:pPr>
              <w:spacing w:line="276" w:lineRule="auto"/>
              <w:jc w:val="center"/>
              <w:rPr>
                <w:rFonts w:cs="Times New Roman"/>
                <w:b/>
                <w:bCs/>
                <w:sz w:val="20"/>
                <w:szCs w:val="20"/>
              </w:rPr>
            </w:pPr>
            <w:r w:rsidRPr="00A86FA4">
              <w:rPr>
                <w:rFonts w:cs="Times New Roman"/>
                <w:b/>
                <w:bCs/>
                <w:sz w:val="20"/>
                <w:szCs w:val="20"/>
              </w:rPr>
              <w:t>EU financiranje (EUR)</w:t>
            </w:r>
          </w:p>
        </w:tc>
        <w:tc>
          <w:tcPr>
            <w:tcW w:w="938" w:type="pct"/>
            <w:vAlign w:val="center"/>
          </w:tcPr>
          <w:p w14:paraId="493349B6" w14:textId="060C65C0" w:rsidR="00146B4C" w:rsidRPr="00A86FA4" w:rsidRDefault="00146B4C" w:rsidP="00D36147">
            <w:pPr>
              <w:spacing w:line="276" w:lineRule="auto"/>
              <w:jc w:val="center"/>
              <w:rPr>
                <w:rFonts w:cs="Times New Roman"/>
                <w:b/>
                <w:bCs/>
                <w:sz w:val="20"/>
                <w:szCs w:val="20"/>
              </w:rPr>
            </w:pPr>
            <w:r w:rsidRPr="00A86FA4">
              <w:rPr>
                <w:rFonts w:cs="Times New Roman"/>
                <w:b/>
                <w:bCs/>
                <w:sz w:val="20"/>
                <w:szCs w:val="20"/>
              </w:rPr>
              <w:t>Drugi izvori</w:t>
            </w:r>
            <w:r w:rsidR="00807154" w:rsidRPr="00A86FA4">
              <w:rPr>
                <w:rFonts w:cs="Times New Roman"/>
                <w:b/>
                <w:bCs/>
                <w:sz w:val="20"/>
                <w:szCs w:val="20"/>
              </w:rPr>
              <w:t xml:space="preserve"> </w:t>
            </w:r>
            <w:r w:rsidRPr="00A86FA4">
              <w:rPr>
                <w:rFonts w:cs="Times New Roman"/>
                <w:b/>
                <w:bCs/>
                <w:sz w:val="20"/>
                <w:szCs w:val="20"/>
              </w:rPr>
              <w:t>(EUR)</w:t>
            </w:r>
          </w:p>
        </w:tc>
      </w:tr>
      <w:tr w:rsidR="00CE622A" w:rsidRPr="001A5379" w14:paraId="3DD8C081" w14:textId="77777777" w:rsidTr="00D36147">
        <w:trPr>
          <w:jc w:val="center"/>
        </w:trPr>
        <w:tc>
          <w:tcPr>
            <w:tcW w:w="1639" w:type="pct"/>
            <w:vMerge/>
            <w:shd w:val="clear" w:color="auto" w:fill="F2F2F2" w:themeFill="background1" w:themeFillShade="F2"/>
            <w:vAlign w:val="center"/>
          </w:tcPr>
          <w:p w14:paraId="3A3D600A" w14:textId="77777777" w:rsidR="00146B4C" w:rsidRPr="00A86FA4" w:rsidRDefault="00146B4C" w:rsidP="00D36147">
            <w:pPr>
              <w:spacing w:line="276" w:lineRule="auto"/>
              <w:rPr>
                <w:rFonts w:cs="Times New Roman"/>
                <w:b/>
                <w:bCs/>
                <w:sz w:val="20"/>
                <w:szCs w:val="20"/>
              </w:rPr>
            </w:pPr>
          </w:p>
        </w:tc>
        <w:tc>
          <w:tcPr>
            <w:tcW w:w="1251" w:type="pct"/>
            <w:vAlign w:val="center"/>
          </w:tcPr>
          <w:p w14:paraId="7945C92B" w14:textId="6DB254FC" w:rsidR="00FB51D3" w:rsidRPr="00A86FA4" w:rsidRDefault="00FB51D3" w:rsidP="00D36147">
            <w:pPr>
              <w:spacing w:line="276" w:lineRule="auto"/>
              <w:jc w:val="center"/>
              <w:rPr>
                <w:rFonts w:cs="Times New Roman"/>
                <w:bCs/>
                <w:sz w:val="20"/>
                <w:szCs w:val="20"/>
              </w:rPr>
            </w:pPr>
            <w:r w:rsidRPr="00A86FA4">
              <w:rPr>
                <w:rFonts w:cs="Times New Roman"/>
                <w:bCs/>
                <w:sz w:val="20"/>
                <w:szCs w:val="20"/>
              </w:rPr>
              <w:t>A509000</w:t>
            </w:r>
            <w:r w:rsidR="00CD78EF" w:rsidRPr="00A86FA4">
              <w:rPr>
                <w:rFonts w:cs="Times New Roman"/>
                <w:bCs/>
                <w:sz w:val="20"/>
                <w:szCs w:val="20"/>
              </w:rPr>
              <w:t xml:space="preserve"> - </w:t>
            </w:r>
            <w:r w:rsidRPr="00A86FA4">
              <w:rPr>
                <w:rFonts w:cs="Times New Roman"/>
                <w:bCs/>
                <w:sz w:val="20"/>
                <w:szCs w:val="20"/>
              </w:rPr>
              <w:t>Administracija i</w:t>
            </w:r>
          </w:p>
          <w:p w14:paraId="36395205" w14:textId="24FEEAD7" w:rsidR="00FB51D3" w:rsidRPr="00A86FA4" w:rsidRDefault="00FB51D3" w:rsidP="00D36147">
            <w:pPr>
              <w:spacing w:line="276" w:lineRule="auto"/>
              <w:jc w:val="center"/>
              <w:rPr>
                <w:rFonts w:cs="Times New Roman"/>
                <w:bCs/>
                <w:sz w:val="20"/>
                <w:szCs w:val="20"/>
              </w:rPr>
            </w:pPr>
            <w:r w:rsidRPr="00A86FA4">
              <w:rPr>
                <w:rFonts w:cs="Times New Roman"/>
                <w:bCs/>
                <w:sz w:val="20"/>
                <w:szCs w:val="20"/>
              </w:rPr>
              <w:lastRenderedPageBreak/>
              <w:t>upravljanje</w:t>
            </w:r>
            <w:r w:rsidRPr="00A86FA4" w:rsidDel="00FB51D3">
              <w:rPr>
                <w:rFonts w:cs="Times New Roman"/>
                <w:bCs/>
                <w:sz w:val="20"/>
                <w:szCs w:val="20"/>
              </w:rPr>
              <w:t xml:space="preserve"> </w:t>
            </w:r>
          </w:p>
          <w:p w14:paraId="41D2AE20" w14:textId="77777777" w:rsidR="00146B4C" w:rsidRPr="00A86FA4" w:rsidRDefault="00146B4C" w:rsidP="00D36147">
            <w:pPr>
              <w:spacing w:line="276" w:lineRule="auto"/>
              <w:jc w:val="center"/>
              <w:rPr>
                <w:rFonts w:cs="Times New Roman"/>
                <w:b/>
                <w:bCs/>
                <w:sz w:val="20"/>
                <w:szCs w:val="20"/>
              </w:rPr>
            </w:pPr>
            <w:r w:rsidRPr="00A86FA4">
              <w:rPr>
                <w:rFonts w:cs="Times New Roman"/>
                <w:b/>
                <w:bCs/>
                <w:sz w:val="20"/>
                <w:szCs w:val="20"/>
              </w:rPr>
              <w:t>0,00</w:t>
            </w:r>
          </w:p>
        </w:tc>
        <w:tc>
          <w:tcPr>
            <w:tcW w:w="1172" w:type="pct"/>
            <w:vAlign w:val="center"/>
          </w:tcPr>
          <w:p w14:paraId="4A6ECC41" w14:textId="77777777" w:rsidR="00146B4C" w:rsidRPr="00A86FA4" w:rsidRDefault="00146B4C" w:rsidP="00D36147">
            <w:pPr>
              <w:spacing w:line="276" w:lineRule="auto"/>
              <w:jc w:val="center"/>
              <w:rPr>
                <w:rFonts w:cs="Times New Roman"/>
                <w:bCs/>
                <w:sz w:val="20"/>
                <w:szCs w:val="20"/>
              </w:rPr>
            </w:pPr>
            <w:r w:rsidRPr="00A86FA4">
              <w:rPr>
                <w:rFonts w:cs="Times New Roman"/>
                <w:bCs/>
                <w:sz w:val="20"/>
                <w:szCs w:val="20"/>
              </w:rPr>
              <w:lastRenderedPageBreak/>
              <w:t xml:space="preserve">0,00 </w:t>
            </w:r>
          </w:p>
        </w:tc>
        <w:tc>
          <w:tcPr>
            <w:tcW w:w="938" w:type="pct"/>
            <w:vAlign w:val="center"/>
          </w:tcPr>
          <w:p w14:paraId="179EB029" w14:textId="77777777" w:rsidR="00146B4C" w:rsidRPr="00A86FA4" w:rsidRDefault="00146B4C" w:rsidP="00D36147">
            <w:pPr>
              <w:spacing w:line="276" w:lineRule="auto"/>
              <w:jc w:val="center"/>
              <w:rPr>
                <w:rFonts w:cs="Times New Roman"/>
                <w:bCs/>
                <w:sz w:val="20"/>
                <w:szCs w:val="20"/>
              </w:rPr>
            </w:pPr>
            <w:r w:rsidRPr="00A86FA4">
              <w:rPr>
                <w:rFonts w:cs="Times New Roman"/>
                <w:bCs/>
                <w:sz w:val="20"/>
                <w:szCs w:val="20"/>
              </w:rPr>
              <w:t xml:space="preserve">0,00 </w:t>
            </w:r>
          </w:p>
        </w:tc>
      </w:tr>
      <w:tr w:rsidR="00CE622A" w:rsidRPr="001A5379" w14:paraId="27F3782B" w14:textId="77777777" w:rsidTr="00D36147">
        <w:trPr>
          <w:trHeight w:val="316"/>
          <w:jc w:val="center"/>
        </w:trPr>
        <w:tc>
          <w:tcPr>
            <w:tcW w:w="1639" w:type="pct"/>
            <w:shd w:val="clear" w:color="auto" w:fill="F2F2F2" w:themeFill="background1" w:themeFillShade="F2"/>
            <w:vAlign w:val="center"/>
          </w:tcPr>
          <w:p w14:paraId="3F5DE3C3" w14:textId="2152FDED" w:rsidR="00146B4C" w:rsidRPr="00A86FA4" w:rsidRDefault="00146B4C" w:rsidP="00D36147">
            <w:pPr>
              <w:spacing w:line="276" w:lineRule="auto"/>
              <w:rPr>
                <w:rFonts w:cs="Times New Roman"/>
                <w:sz w:val="20"/>
                <w:szCs w:val="20"/>
              </w:rPr>
            </w:pPr>
            <w:r w:rsidRPr="00A86FA4">
              <w:rPr>
                <w:rFonts w:cs="Times New Roman"/>
                <w:sz w:val="20"/>
                <w:szCs w:val="20"/>
              </w:rPr>
              <w:t>ROK PROVEDBE AKTIVNOSTI</w:t>
            </w:r>
          </w:p>
        </w:tc>
        <w:tc>
          <w:tcPr>
            <w:tcW w:w="3361" w:type="pct"/>
            <w:gridSpan w:val="3"/>
            <w:vAlign w:val="center"/>
          </w:tcPr>
          <w:p w14:paraId="0FF793F3" w14:textId="74A2F531" w:rsidR="00146B4C" w:rsidRPr="00597879" w:rsidRDefault="00146B4C" w:rsidP="00597879">
            <w:pPr>
              <w:spacing w:line="276" w:lineRule="auto"/>
              <w:rPr>
                <w:sz w:val="20"/>
                <w:szCs w:val="20"/>
              </w:rPr>
            </w:pPr>
            <w:r w:rsidRPr="00597879">
              <w:rPr>
                <w:sz w:val="20"/>
                <w:szCs w:val="20"/>
              </w:rPr>
              <w:t>IV. kvartal 2025.</w:t>
            </w:r>
          </w:p>
        </w:tc>
      </w:tr>
    </w:tbl>
    <w:p w14:paraId="7CA63F2D" w14:textId="77777777" w:rsidR="00807154" w:rsidRPr="00705600" w:rsidRDefault="00807154" w:rsidP="004A3B23">
      <w:pPr>
        <w:spacing w:after="0" w:line="276" w:lineRule="auto"/>
        <w:jc w:val="both"/>
        <w:rPr>
          <w:rFonts w:cs="Times New Roman"/>
          <w:i/>
          <w:iCs/>
          <w:szCs w:val="24"/>
        </w:rPr>
      </w:pPr>
    </w:p>
    <w:p w14:paraId="442CA730" w14:textId="494BA482" w:rsidR="00E5482D" w:rsidRPr="00705600" w:rsidRDefault="00E5482D">
      <w:pPr>
        <w:rPr>
          <w:rFonts w:cs="Times New Roman"/>
          <w:i/>
          <w:iCs/>
          <w:szCs w:val="24"/>
        </w:rPr>
      </w:pPr>
    </w:p>
    <w:p w14:paraId="11A8BE14" w14:textId="0F6C2DFB" w:rsidR="00024EF9" w:rsidRPr="00705600" w:rsidRDefault="00056BCB" w:rsidP="00AB12E9">
      <w:pPr>
        <w:spacing w:after="0" w:line="276" w:lineRule="auto"/>
        <w:jc w:val="both"/>
        <w:rPr>
          <w:rFonts w:cs="Times New Roman"/>
          <w:i/>
          <w:iCs/>
          <w:szCs w:val="24"/>
        </w:rPr>
      </w:pPr>
      <w:r w:rsidRPr="00705600">
        <w:rPr>
          <w:rFonts w:cs="Times New Roman"/>
          <w:i/>
          <w:iCs/>
          <w:szCs w:val="24"/>
        </w:rPr>
        <w:t>Aktivnost 3.1.</w:t>
      </w:r>
      <w:r w:rsidR="00B40118" w:rsidRPr="00705600">
        <w:rPr>
          <w:rFonts w:cs="Times New Roman"/>
          <w:i/>
          <w:iCs/>
          <w:szCs w:val="24"/>
        </w:rPr>
        <w:t>2</w:t>
      </w:r>
      <w:r w:rsidRPr="00705600">
        <w:rPr>
          <w:rFonts w:cs="Times New Roman"/>
          <w:i/>
          <w:iCs/>
          <w:szCs w:val="24"/>
        </w:rPr>
        <w:t>. Financijska pomoć za romsku nacionalnu manjinu</w:t>
      </w:r>
    </w:p>
    <w:p w14:paraId="14F1167A" w14:textId="216FA0C0" w:rsidR="004C6C5E" w:rsidRPr="00705600" w:rsidRDefault="00024EF9" w:rsidP="00D36147">
      <w:pPr>
        <w:spacing w:after="0" w:line="276" w:lineRule="auto"/>
        <w:jc w:val="both"/>
        <w:rPr>
          <w:rFonts w:cs="Times New Roman"/>
          <w:i/>
          <w:iCs/>
          <w:szCs w:val="24"/>
        </w:rPr>
      </w:pPr>
      <w:r w:rsidRPr="00705600">
        <w:rPr>
          <w:rFonts w:cs="Times New Roman"/>
          <w:i/>
          <w:iCs/>
          <w:szCs w:val="24"/>
        </w:rPr>
        <w:t xml:space="preserve">Nositelj provedbe: </w:t>
      </w:r>
      <w:r w:rsidR="00AE0BB0" w:rsidRPr="00705600">
        <w:rPr>
          <w:rFonts w:cs="Times New Roman"/>
          <w:i/>
          <w:iCs/>
          <w:szCs w:val="24"/>
        </w:rPr>
        <w:t xml:space="preserve">Ured </w:t>
      </w:r>
      <w:r w:rsidR="005F4F41" w:rsidRPr="00597879">
        <w:rPr>
          <w:rFonts w:cs="Times New Roman"/>
          <w:i/>
          <w:iCs/>
          <w:szCs w:val="24"/>
        </w:rPr>
        <w:t>za ljudska prava i prava nacionalnih manjina</w:t>
      </w:r>
    </w:p>
    <w:p w14:paraId="7161C133" w14:textId="77777777" w:rsidR="005A6860" w:rsidRPr="00CE622A" w:rsidRDefault="005A6860" w:rsidP="00D36147">
      <w:pPr>
        <w:spacing w:after="0" w:line="276" w:lineRule="auto"/>
        <w:jc w:val="both"/>
        <w:rPr>
          <w:rFonts w:cs="Times New Roman"/>
          <w:i/>
          <w:iCs/>
          <w:color w:val="FF0000"/>
          <w:szCs w:val="24"/>
        </w:rPr>
      </w:pPr>
    </w:p>
    <w:p w14:paraId="32E1F582" w14:textId="78CFF570" w:rsidR="003F4CFA" w:rsidRPr="004B0DEA" w:rsidRDefault="003F4CFA" w:rsidP="003F4CFA">
      <w:pPr>
        <w:jc w:val="both"/>
        <w:rPr>
          <w:rFonts w:cs="Times New Roman"/>
          <w:szCs w:val="24"/>
        </w:rPr>
      </w:pPr>
      <w:r w:rsidRPr="004B0DEA">
        <w:rPr>
          <w:rFonts w:cs="Times New Roman"/>
          <w:szCs w:val="24"/>
        </w:rPr>
        <w:t xml:space="preserve">U skladu s novim Kriterijima, a s ciljem jačanja javnosti i transparentnosti rada Povjerenstva, Ured je priredio i objavio Javni poziv za su/financiranje pripreme i provedbe projekata/pojedinačnih aktivnosti udruga povezanih s ostvarivanjem ciljeva Nacionalnog plana. Zaprimljeno je ukupno 15 prijava, od kojih 8 prijava nije zadovoljilo administrativne uvjete. </w:t>
      </w:r>
    </w:p>
    <w:p w14:paraId="21945A57" w14:textId="1FFDFC66" w:rsidR="003F4CFA" w:rsidRDefault="003F4CFA" w:rsidP="003F4CFA">
      <w:pPr>
        <w:jc w:val="both"/>
        <w:rPr>
          <w:rFonts w:cs="Times New Roman"/>
          <w:szCs w:val="24"/>
        </w:rPr>
      </w:pPr>
      <w:r w:rsidRPr="004B0DEA">
        <w:rPr>
          <w:rFonts w:cs="Times New Roman"/>
          <w:szCs w:val="24"/>
        </w:rPr>
        <w:t>Nakon sadržajne provjere, Povjerenstvo je dalo suglasnost na preliminarnu</w:t>
      </w:r>
      <w:r w:rsidR="003379F1">
        <w:rPr>
          <w:rFonts w:cs="Times New Roman"/>
          <w:szCs w:val="24"/>
        </w:rPr>
        <w:t xml:space="preserve"> listu</w:t>
      </w:r>
      <w:r w:rsidRPr="004B0DEA">
        <w:rPr>
          <w:rFonts w:cs="Times New Roman"/>
          <w:szCs w:val="24"/>
        </w:rPr>
        <w:t xml:space="preserve"> (6 projekata) i pričuvnu listu projekata (1 projekt) te je potpisano 6 ugovora ukupne vrijednosti 271.841,44 EUR, od čega je u 2024. </w:t>
      </w:r>
      <w:r w:rsidRPr="003462D1">
        <w:rPr>
          <w:rFonts w:cs="Times New Roman"/>
          <w:szCs w:val="24"/>
        </w:rPr>
        <w:t>godini isplaćeno 217.473,15 EUR.</w:t>
      </w:r>
    </w:p>
    <w:p w14:paraId="6DC89D0F" w14:textId="77777777" w:rsidR="0059114B" w:rsidRDefault="0059114B" w:rsidP="003F4CFA">
      <w:pPr>
        <w:jc w:val="both"/>
        <w:rPr>
          <w:rFonts w:cs="Times New Roman"/>
          <w:szCs w:val="24"/>
        </w:rPr>
      </w:pPr>
    </w:p>
    <w:tbl>
      <w:tblPr>
        <w:tblStyle w:val="TableGrid"/>
        <w:tblW w:w="9209" w:type="dxa"/>
        <w:tblLayout w:type="fixed"/>
        <w:tblLook w:val="04A0" w:firstRow="1" w:lastRow="0" w:firstColumn="1" w:lastColumn="0" w:noHBand="0" w:noVBand="1"/>
      </w:tblPr>
      <w:tblGrid>
        <w:gridCol w:w="988"/>
        <w:gridCol w:w="1842"/>
        <w:gridCol w:w="1560"/>
        <w:gridCol w:w="4819"/>
      </w:tblGrid>
      <w:tr w:rsidR="00EE112F" w:rsidRPr="00B1656A" w14:paraId="334FB441" w14:textId="77777777" w:rsidTr="00FC64BF">
        <w:trPr>
          <w:trHeight w:val="1116"/>
        </w:trPr>
        <w:tc>
          <w:tcPr>
            <w:tcW w:w="988" w:type="dxa"/>
            <w:shd w:val="clear" w:color="auto" w:fill="DEEAF6" w:themeFill="accent1" w:themeFillTint="33"/>
            <w:vAlign w:val="center"/>
          </w:tcPr>
          <w:p w14:paraId="497BAD03" w14:textId="77777777" w:rsidR="00EE112F" w:rsidRPr="00B1656A" w:rsidRDefault="00EE112F" w:rsidP="00F7623F">
            <w:pPr>
              <w:jc w:val="both"/>
              <w:rPr>
                <w:rFonts w:cs="Times New Roman"/>
                <w:b/>
                <w:sz w:val="20"/>
                <w:szCs w:val="20"/>
              </w:rPr>
            </w:pPr>
            <w:r w:rsidRPr="00B1656A">
              <w:rPr>
                <w:rFonts w:cs="Times New Roman"/>
                <w:b/>
                <w:sz w:val="20"/>
                <w:szCs w:val="20"/>
              </w:rPr>
              <w:t>REDNI BROJ</w:t>
            </w:r>
          </w:p>
        </w:tc>
        <w:tc>
          <w:tcPr>
            <w:tcW w:w="1842" w:type="dxa"/>
            <w:shd w:val="clear" w:color="auto" w:fill="DEEAF6" w:themeFill="accent1" w:themeFillTint="33"/>
            <w:vAlign w:val="center"/>
          </w:tcPr>
          <w:p w14:paraId="28A938F6" w14:textId="77777777" w:rsidR="00EE112F" w:rsidRPr="00B1656A" w:rsidRDefault="00EE112F" w:rsidP="00F7623F">
            <w:pPr>
              <w:jc w:val="both"/>
              <w:rPr>
                <w:rFonts w:cs="Times New Roman"/>
                <w:b/>
                <w:sz w:val="20"/>
                <w:szCs w:val="20"/>
              </w:rPr>
            </w:pPr>
            <w:r w:rsidRPr="00B1656A">
              <w:rPr>
                <w:rFonts w:cs="Times New Roman"/>
                <w:b/>
                <w:sz w:val="20"/>
                <w:szCs w:val="20"/>
              </w:rPr>
              <w:t>NAZIV UDRUGE</w:t>
            </w:r>
          </w:p>
        </w:tc>
        <w:tc>
          <w:tcPr>
            <w:tcW w:w="1560" w:type="dxa"/>
            <w:shd w:val="clear" w:color="auto" w:fill="DEEAF6" w:themeFill="accent1" w:themeFillTint="33"/>
          </w:tcPr>
          <w:p w14:paraId="7EFB0C48" w14:textId="77777777" w:rsidR="00EE112F" w:rsidRPr="00B1656A" w:rsidRDefault="00EE112F" w:rsidP="00F7623F">
            <w:pPr>
              <w:jc w:val="both"/>
              <w:rPr>
                <w:rFonts w:cs="Times New Roman"/>
                <w:b/>
                <w:sz w:val="20"/>
                <w:szCs w:val="20"/>
              </w:rPr>
            </w:pPr>
          </w:p>
          <w:p w14:paraId="00131AF9" w14:textId="77777777" w:rsidR="00EE112F" w:rsidRPr="00B1656A" w:rsidRDefault="00EE112F" w:rsidP="00F7623F">
            <w:pPr>
              <w:jc w:val="both"/>
              <w:rPr>
                <w:rFonts w:cs="Times New Roman"/>
                <w:b/>
                <w:sz w:val="20"/>
                <w:szCs w:val="20"/>
              </w:rPr>
            </w:pPr>
            <w:r w:rsidRPr="00B1656A">
              <w:rPr>
                <w:rFonts w:cs="Times New Roman"/>
                <w:b/>
                <w:sz w:val="20"/>
                <w:szCs w:val="20"/>
              </w:rPr>
              <w:t xml:space="preserve"> IZNOS SREDSTAVA</w:t>
            </w:r>
          </w:p>
        </w:tc>
        <w:tc>
          <w:tcPr>
            <w:tcW w:w="4819" w:type="dxa"/>
            <w:shd w:val="clear" w:color="auto" w:fill="DEEAF6" w:themeFill="accent1" w:themeFillTint="33"/>
          </w:tcPr>
          <w:p w14:paraId="77FE7CD3" w14:textId="77777777" w:rsidR="00EE112F" w:rsidRPr="00B1656A" w:rsidRDefault="00EE112F" w:rsidP="00F7623F">
            <w:pPr>
              <w:jc w:val="both"/>
              <w:rPr>
                <w:rFonts w:cs="Times New Roman"/>
                <w:b/>
                <w:sz w:val="20"/>
                <w:szCs w:val="20"/>
              </w:rPr>
            </w:pPr>
          </w:p>
          <w:p w14:paraId="79079799" w14:textId="77777777" w:rsidR="00EE112F" w:rsidRPr="00B1656A" w:rsidRDefault="00EE112F" w:rsidP="00F7623F">
            <w:pPr>
              <w:jc w:val="both"/>
              <w:rPr>
                <w:rFonts w:cs="Times New Roman"/>
                <w:b/>
                <w:sz w:val="20"/>
                <w:szCs w:val="20"/>
              </w:rPr>
            </w:pPr>
            <w:r w:rsidRPr="00B1656A">
              <w:rPr>
                <w:rFonts w:cs="Times New Roman"/>
                <w:b/>
                <w:sz w:val="20"/>
                <w:szCs w:val="20"/>
              </w:rPr>
              <w:t>SAŽETAK PROJEKTNIH AKTIVNOSTI</w:t>
            </w:r>
          </w:p>
        </w:tc>
      </w:tr>
      <w:tr w:rsidR="00EE112F" w:rsidRPr="00B1656A" w14:paraId="0077AE3F" w14:textId="77777777" w:rsidTr="00FC64BF">
        <w:trPr>
          <w:trHeight w:val="454"/>
        </w:trPr>
        <w:tc>
          <w:tcPr>
            <w:tcW w:w="988" w:type="dxa"/>
            <w:vAlign w:val="center"/>
          </w:tcPr>
          <w:p w14:paraId="13C2FC34" w14:textId="77777777" w:rsidR="00EE112F" w:rsidRPr="00B1656A" w:rsidRDefault="00EE112F" w:rsidP="00F7623F">
            <w:pPr>
              <w:jc w:val="center"/>
              <w:rPr>
                <w:rFonts w:cs="Times New Roman"/>
                <w:sz w:val="20"/>
                <w:szCs w:val="20"/>
              </w:rPr>
            </w:pPr>
            <w:r w:rsidRPr="00B1656A">
              <w:rPr>
                <w:rFonts w:cs="Times New Roman"/>
                <w:sz w:val="20"/>
                <w:szCs w:val="20"/>
              </w:rPr>
              <w:t>1.</w:t>
            </w:r>
          </w:p>
        </w:tc>
        <w:tc>
          <w:tcPr>
            <w:tcW w:w="1842" w:type="dxa"/>
            <w:vAlign w:val="center"/>
          </w:tcPr>
          <w:p w14:paraId="3A522185" w14:textId="77777777" w:rsidR="00EE112F" w:rsidRPr="00B1656A" w:rsidRDefault="00EE112F" w:rsidP="00F7623F">
            <w:pPr>
              <w:rPr>
                <w:rFonts w:cs="Times New Roman"/>
                <w:sz w:val="20"/>
                <w:szCs w:val="20"/>
              </w:rPr>
            </w:pPr>
            <w:r w:rsidRPr="00B1656A">
              <w:rPr>
                <w:rFonts w:cs="Times New Roman"/>
                <w:sz w:val="20"/>
                <w:szCs w:val="20"/>
              </w:rPr>
              <w:t>MEDECINS DU MONDE ASBL - DOKTTERS VAN DE WERELD VZW</w:t>
            </w:r>
          </w:p>
        </w:tc>
        <w:tc>
          <w:tcPr>
            <w:tcW w:w="1560" w:type="dxa"/>
          </w:tcPr>
          <w:p w14:paraId="7BDCC1DB" w14:textId="77777777" w:rsidR="00EE112F" w:rsidRPr="00B1656A" w:rsidRDefault="00EE112F" w:rsidP="00F7623F">
            <w:pPr>
              <w:jc w:val="right"/>
              <w:rPr>
                <w:rFonts w:cs="Times New Roman"/>
                <w:sz w:val="20"/>
                <w:szCs w:val="20"/>
              </w:rPr>
            </w:pPr>
            <w:r w:rsidRPr="00B1656A">
              <w:rPr>
                <w:rFonts w:cs="Times New Roman"/>
                <w:sz w:val="20"/>
                <w:szCs w:val="20"/>
              </w:rPr>
              <w:t>48.960,00</w:t>
            </w:r>
          </w:p>
        </w:tc>
        <w:tc>
          <w:tcPr>
            <w:tcW w:w="4819" w:type="dxa"/>
          </w:tcPr>
          <w:p w14:paraId="5F05E6E4" w14:textId="77777777" w:rsidR="00EE112F" w:rsidRPr="00B1656A" w:rsidRDefault="00EE112F" w:rsidP="00F7623F">
            <w:pPr>
              <w:jc w:val="both"/>
              <w:rPr>
                <w:rFonts w:cs="Times New Roman"/>
                <w:sz w:val="20"/>
                <w:szCs w:val="20"/>
              </w:rPr>
            </w:pPr>
            <w:r w:rsidRPr="00B1656A">
              <w:rPr>
                <w:rFonts w:cs="Times New Roman"/>
                <w:sz w:val="20"/>
                <w:szCs w:val="20"/>
              </w:rPr>
              <w:t>Projekt „Pravo na zdravlje“ obuhvaća aktivnosti usmjerene na jednak pristup zdravstvenim uslugama u Međimurskoj županiji te poboljšanje informiranosti o zaštiti zdravlja i prevenciji bolesti, s posebnim naglaskom na reproduktivno zdravlje žena i djevojaka tijekom 6 mjeseci.</w:t>
            </w:r>
          </w:p>
        </w:tc>
      </w:tr>
      <w:tr w:rsidR="00EE112F" w:rsidRPr="00B1656A" w14:paraId="69358D2A" w14:textId="77777777" w:rsidTr="00FC64BF">
        <w:trPr>
          <w:trHeight w:val="454"/>
        </w:trPr>
        <w:tc>
          <w:tcPr>
            <w:tcW w:w="988" w:type="dxa"/>
            <w:vAlign w:val="center"/>
          </w:tcPr>
          <w:p w14:paraId="0A644C34" w14:textId="77777777" w:rsidR="00EE112F" w:rsidRPr="00B1656A" w:rsidRDefault="00EE112F" w:rsidP="00F7623F">
            <w:pPr>
              <w:jc w:val="center"/>
              <w:rPr>
                <w:rFonts w:cs="Times New Roman"/>
                <w:sz w:val="20"/>
                <w:szCs w:val="20"/>
              </w:rPr>
            </w:pPr>
            <w:r w:rsidRPr="00B1656A">
              <w:rPr>
                <w:rFonts w:cs="Times New Roman"/>
                <w:sz w:val="20"/>
                <w:szCs w:val="20"/>
              </w:rPr>
              <w:t>2.</w:t>
            </w:r>
          </w:p>
        </w:tc>
        <w:tc>
          <w:tcPr>
            <w:tcW w:w="1842" w:type="dxa"/>
            <w:vAlign w:val="center"/>
          </w:tcPr>
          <w:p w14:paraId="44CC2BE7" w14:textId="77777777" w:rsidR="00EE112F" w:rsidRPr="00B1656A" w:rsidRDefault="00EE112F" w:rsidP="00F7623F">
            <w:pPr>
              <w:rPr>
                <w:rFonts w:cs="Times New Roman"/>
                <w:sz w:val="20"/>
                <w:szCs w:val="20"/>
              </w:rPr>
            </w:pPr>
            <w:r w:rsidRPr="00B1656A">
              <w:rPr>
                <w:rFonts w:cs="Times New Roman"/>
                <w:sz w:val="20"/>
                <w:szCs w:val="20"/>
              </w:rPr>
              <w:t>HRVATSKI CRVENI KRIŽ GRADSKO DRUŠTVO CRVENOG KRIŽA VALPOVO</w:t>
            </w:r>
          </w:p>
        </w:tc>
        <w:tc>
          <w:tcPr>
            <w:tcW w:w="1560" w:type="dxa"/>
          </w:tcPr>
          <w:p w14:paraId="67BD070F" w14:textId="77777777" w:rsidR="00EE112F" w:rsidRPr="00B1656A" w:rsidRDefault="00EE112F" w:rsidP="00F7623F">
            <w:pPr>
              <w:jc w:val="right"/>
              <w:rPr>
                <w:rFonts w:cs="Times New Roman"/>
                <w:sz w:val="20"/>
                <w:szCs w:val="20"/>
              </w:rPr>
            </w:pPr>
            <w:r w:rsidRPr="00B1656A">
              <w:rPr>
                <w:rFonts w:cs="Times New Roman"/>
                <w:sz w:val="20"/>
                <w:szCs w:val="20"/>
              </w:rPr>
              <w:t>49.895,66</w:t>
            </w:r>
          </w:p>
        </w:tc>
        <w:tc>
          <w:tcPr>
            <w:tcW w:w="4819" w:type="dxa"/>
          </w:tcPr>
          <w:p w14:paraId="59C4AD34" w14:textId="77777777" w:rsidR="00EE112F" w:rsidRPr="00B1656A" w:rsidRDefault="00EE112F" w:rsidP="00F7623F">
            <w:pPr>
              <w:jc w:val="both"/>
              <w:rPr>
                <w:rFonts w:cs="Times New Roman"/>
                <w:sz w:val="20"/>
                <w:szCs w:val="20"/>
              </w:rPr>
            </w:pPr>
            <w:r w:rsidRPr="00B1656A">
              <w:rPr>
                <w:rFonts w:cs="Times New Roman"/>
                <w:sz w:val="20"/>
                <w:szCs w:val="20"/>
              </w:rPr>
              <w:t>Projekt „Snažni i jednaki“ će na području Valpovštine tijekom 12 mjeseci za povećanje obrazovnih mogućnosti i društvene uključenosti žena i djece pripadnika romske nacionalne manjine organizirati partnerske sastanke dionika, edukativne radionice za žene i djecu, uključujući radionice za osposobljavanje odraslih, podršku i savjetovanje za žene te raditi na osvješćivanju javnosti putem društvenih mreža o štetnosti govora mržnje.</w:t>
            </w:r>
          </w:p>
        </w:tc>
      </w:tr>
      <w:tr w:rsidR="00EE112F" w:rsidRPr="00B1656A" w14:paraId="3E9A85DA" w14:textId="77777777" w:rsidTr="00FC64BF">
        <w:trPr>
          <w:trHeight w:val="454"/>
        </w:trPr>
        <w:tc>
          <w:tcPr>
            <w:tcW w:w="988" w:type="dxa"/>
            <w:vAlign w:val="center"/>
          </w:tcPr>
          <w:p w14:paraId="467565F7" w14:textId="77777777" w:rsidR="00EE112F" w:rsidRPr="00B1656A" w:rsidRDefault="00EE112F" w:rsidP="00F7623F">
            <w:pPr>
              <w:jc w:val="center"/>
              <w:rPr>
                <w:rFonts w:cs="Times New Roman"/>
                <w:sz w:val="20"/>
                <w:szCs w:val="20"/>
              </w:rPr>
            </w:pPr>
            <w:r w:rsidRPr="00B1656A">
              <w:rPr>
                <w:rFonts w:cs="Times New Roman"/>
                <w:sz w:val="20"/>
                <w:szCs w:val="20"/>
              </w:rPr>
              <w:t>3.</w:t>
            </w:r>
          </w:p>
        </w:tc>
        <w:tc>
          <w:tcPr>
            <w:tcW w:w="1842" w:type="dxa"/>
            <w:vAlign w:val="center"/>
          </w:tcPr>
          <w:p w14:paraId="20D5892D" w14:textId="77777777" w:rsidR="00EE112F" w:rsidRPr="00B1656A" w:rsidRDefault="00EE112F" w:rsidP="00F7623F">
            <w:pPr>
              <w:rPr>
                <w:rFonts w:cs="Times New Roman"/>
                <w:sz w:val="20"/>
                <w:szCs w:val="20"/>
              </w:rPr>
            </w:pPr>
            <w:r w:rsidRPr="00B1656A">
              <w:rPr>
                <w:rFonts w:cs="Times New Roman"/>
                <w:sz w:val="20"/>
                <w:szCs w:val="20"/>
              </w:rPr>
              <w:t>UDRUGA KULTURA NOVA</w:t>
            </w:r>
          </w:p>
        </w:tc>
        <w:tc>
          <w:tcPr>
            <w:tcW w:w="1560" w:type="dxa"/>
          </w:tcPr>
          <w:p w14:paraId="3AFC5206" w14:textId="77777777" w:rsidR="00EE112F" w:rsidRPr="00B1656A" w:rsidRDefault="00EE112F" w:rsidP="00F7623F">
            <w:pPr>
              <w:jc w:val="right"/>
              <w:rPr>
                <w:rFonts w:cs="Times New Roman"/>
                <w:color w:val="000000" w:themeColor="text1"/>
                <w:sz w:val="20"/>
                <w:szCs w:val="20"/>
              </w:rPr>
            </w:pPr>
            <w:r w:rsidRPr="00B1656A">
              <w:rPr>
                <w:rFonts w:cs="Times New Roman"/>
                <w:color w:val="000000" w:themeColor="text1"/>
                <w:sz w:val="20"/>
                <w:szCs w:val="20"/>
              </w:rPr>
              <w:t>49.655,00</w:t>
            </w:r>
          </w:p>
        </w:tc>
        <w:tc>
          <w:tcPr>
            <w:tcW w:w="4819" w:type="dxa"/>
          </w:tcPr>
          <w:p w14:paraId="7CE37F60" w14:textId="32875BB6" w:rsidR="00EE112F" w:rsidRPr="00B1656A" w:rsidRDefault="00EE112F" w:rsidP="00F7623F">
            <w:pPr>
              <w:jc w:val="both"/>
              <w:rPr>
                <w:rFonts w:cs="Times New Roman"/>
                <w:color w:val="000000" w:themeColor="text1"/>
                <w:sz w:val="20"/>
                <w:szCs w:val="20"/>
              </w:rPr>
            </w:pPr>
            <w:r w:rsidRPr="00B1656A">
              <w:rPr>
                <w:rFonts w:cs="Times New Roman"/>
                <w:color w:val="000000" w:themeColor="text1"/>
                <w:sz w:val="20"/>
                <w:szCs w:val="20"/>
              </w:rPr>
              <w:t>Projekt „Kulturom protiv predrasuda i diskriminacije</w:t>
            </w:r>
            <w:r w:rsidR="001B326B">
              <w:rPr>
                <w:rFonts w:cs="Times New Roman"/>
                <w:color w:val="000000" w:themeColor="text1"/>
                <w:sz w:val="20"/>
                <w:szCs w:val="20"/>
              </w:rPr>
              <w:t>“</w:t>
            </w:r>
            <w:r w:rsidRPr="00B1656A">
              <w:rPr>
                <w:rFonts w:cs="Times New Roman"/>
                <w:color w:val="000000" w:themeColor="text1"/>
                <w:sz w:val="20"/>
                <w:szCs w:val="20"/>
              </w:rPr>
              <w:t xml:space="preserve"> će tijekom 12 mjeseci, postavljanjem kazališne predstave s pripadnicima romske nacionalne manjine poticati dijalog, razumijevanje i razbijanje predrasuda u zajednici, istovremeno jačajući osobne kompetencije, samopoštovanje i samopouzdanje. Educirat će se i šira zajednica o romskoj kulturi i izazovima s kojima se mladi Romi suočavaju kako bi doprinijeli smanjenju predrasuda i stigmi s kojima se Romi suočavaju u 10 gradova od sjevernog Jadrana do Slavonije.</w:t>
            </w:r>
          </w:p>
        </w:tc>
      </w:tr>
      <w:tr w:rsidR="00EE112F" w:rsidRPr="00B1656A" w14:paraId="2945FCCD" w14:textId="77777777" w:rsidTr="00FC64BF">
        <w:trPr>
          <w:trHeight w:val="454"/>
        </w:trPr>
        <w:tc>
          <w:tcPr>
            <w:tcW w:w="988" w:type="dxa"/>
            <w:vAlign w:val="center"/>
          </w:tcPr>
          <w:p w14:paraId="490DDF53" w14:textId="77777777" w:rsidR="00EE112F" w:rsidRPr="00B1656A" w:rsidRDefault="00EE112F" w:rsidP="00F7623F">
            <w:pPr>
              <w:jc w:val="center"/>
              <w:rPr>
                <w:rFonts w:cs="Times New Roman"/>
                <w:sz w:val="20"/>
                <w:szCs w:val="20"/>
              </w:rPr>
            </w:pPr>
            <w:r w:rsidRPr="00B1656A">
              <w:rPr>
                <w:rFonts w:cs="Times New Roman"/>
                <w:sz w:val="20"/>
                <w:szCs w:val="20"/>
              </w:rPr>
              <w:t>4.</w:t>
            </w:r>
          </w:p>
        </w:tc>
        <w:tc>
          <w:tcPr>
            <w:tcW w:w="1842" w:type="dxa"/>
            <w:vAlign w:val="center"/>
          </w:tcPr>
          <w:p w14:paraId="343D58E8" w14:textId="77777777" w:rsidR="00EE112F" w:rsidRPr="00B1656A" w:rsidRDefault="00EE112F" w:rsidP="00F7623F">
            <w:pPr>
              <w:rPr>
                <w:rFonts w:cs="Times New Roman"/>
                <w:sz w:val="20"/>
                <w:szCs w:val="20"/>
              </w:rPr>
            </w:pPr>
            <w:r w:rsidRPr="00B1656A">
              <w:rPr>
                <w:rFonts w:cs="Times New Roman"/>
                <w:sz w:val="20"/>
                <w:szCs w:val="20"/>
              </w:rPr>
              <w:t>CENTAR ZA MIR, NENASILJE I LJUDSKA PRAVA - OSIJEK</w:t>
            </w:r>
          </w:p>
        </w:tc>
        <w:tc>
          <w:tcPr>
            <w:tcW w:w="1560" w:type="dxa"/>
          </w:tcPr>
          <w:p w14:paraId="30888962" w14:textId="77777777" w:rsidR="00EE112F" w:rsidRPr="00B1656A" w:rsidRDefault="00EE112F" w:rsidP="00F7623F">
            <w:pPr>
              <w:jc w:val="right"/>
              <w:rPr>
                <w:rFonts w:cs="Times New Roman"/>
                <w:sz w:val="20"/>
                <w:szCs w:val="20"/>
              </w:rPr>
            </w:pPr>
            <w:r w:rsidRPr="00B1656A">
              <w:rPr>
                <w:rFonts w:cs="Times New Roman"/>
                <w:sz w:val="20"/>
                <w:szCs w:val="20"/>
              </w:rPr>
              <w:t>50.000,00</w:t>
            </w:r>
          </w:p>
        </w:tc>
        <w:tc>
          <w:tcPr>
            <w:tcW w:w="4819" w:type="dxa"/>
          </w:tcPr>
          <w:p w14:paraId="010B4AEC" w14:textId="77777777" w:rsidR="00EE112F" w:rsidRPr="00B1656A" w:rsidRDefault="00EE112F" w:rsidP="00F7623F">
            <w:pPr>
              <w:jc w:val="both"/>
              <w:rPr>
                <w:rFonts w:cs="Times New Roman"/>
                <w:sz w:val="20"/>
                <w:szCs w:val="20"/>
              </w:rPr>
            </w:pPr>
            <w:r w:rsidRPr="00B1656A">
              <w:rPr>
                <w:rFonts w:cs="Times New Roman"/>
                <w:sz w:val="20"/>
                <w:szCs w:val="20"/>
              </w:rPr>
              <w:t xml:space="preserve">Projekt „Socijalno mentorstvo za romsku zajednicu Baranje“ će tijekom 12 mjeseci kroz inovativan model socijalnog mentorstva u Kulturnom centru Roma u Dardi osigurati potporu Romima suočenim s nezaposlenošću i siromaštvom, organizirati sportske aktivnosti s djecom i mladima s fokusom na osobni razvoj, socijalne vještine i jačanje osjećaja pripadnosti zajednici te provesti radionice </w:t>
            </w:r>
            <w:r w:rsidRPr="00B1656A">
              <w:rPr>
                <w:rFonts w:cs="Times New Roman"/>
                <w:sz w:val="20"/>
                <w:szCs w:val="20"/>
              </w:rPr>
              <w:lastRenderedPageBreak/>
              <w:t xml:space="preserve">s ciljem osvještavanja mladih o prisutnosti (online) govora mržnje u svakodnevnim kontekstima. </w:t>
            </w:r>
          </w:p>
        </w:tc>
      </w:tr>
      <w:tr w:rsidR="00EE112F" w:rsidRPr="00B1656A" w14:paraId="093AEFFC" w14:textId="77777777" w:rsidTr="00FC64BF">
        <w:trPr>
          <w:trHeight w:val="454"/>
        </w:trPr>
        <w:tc>
          <w:tcPr>
            <w:tcW w:w="988" w:type="dxa"/>
            <w:vAlign w:val="center"/>
          </w:tcPr>
          <w:p w14:paraId="7D001FBC" w14:textId="77777777" w:rsidR="00EE112F" w:rsidRPr="00B1656A" w:rsidRDefault="00EE112F" w:rsidP="00F7623F">
            <w:pPr>
              <w:jc w:val="center"/>
              <w:rPr>
                <w:rFonts w:cs="Times New Roman"/>
                <w:sz w:val="20"/>
                <w:szCs w:val="20"/>
              </w:rPr>
            </w:pPr>
            <w:r w:rsidRPr="00B1656A">
              <w:rPr>
                <w:rFonts w:cs="Times New Roman"/>
                <w:sz w:val="20"/>
                <w:szCs w:val="20"/>
              </w:rPr>
              <w:lastRenderedPageBreak/>
              <w:t>5.</w:t>
            </w:r>
          </w:p>
        </w:tc>
        <w:tc>
          <w:tcPr>
            <w:tcW w:w="1842" w:type="dxa"/>
            <w:vAlign w:val="center"/>
          </w:tcPr>
          <w:p w14:paraId="08CE5DC8" w14:textId="77777777" w:rsidR="00EE112F" w:rsidRPr="00B1656A" w:rsidRDefault="00EE112F" w:rsidP="00F7623F">
            <w:pPr>
              <w:rPr>
                <w:rFonts w:cs="Times New Roman"/>
                <w:sz w:val="20"/>
                <w:szCs w:val="20"/>
              </w:rPr>
            </w:pPr>
            <w:r w:rsidRPr="00B1656A">
              <w:rPr>
                <w:rFonts w:cs="Times New Roman"/>
                <w:sz w:val="20"/>
                <w:szCs w:val="20"/>
              </w:rPr>
              <w:t>MEDIJSKI INFORMATIVNI CENTAR</w:t>
            </w:r>
          </w:p>
        </w:tc>
        <w:tc>
          <w:tcPr>
            <w:tcW w:w="1560" w:type="dxa"/>
          </w:tcPr>
          <w:p w14:paraId="6FF081DE" w14:textId="77777777" w:rsidR="00EE112F" w:rsidRPr="00B1656A" w:rsidRDefault="00EE112F" w:rsidP="00F7623F">
            <w:pPr>
              <w:jc w:val="right"/>
              <w:rPr>
                <w:rFonts w:cs="Times New Roman"/>
                <w:sz w:val="20"/>
                <w:szCs w:val="20"/>
              </w:rPr>
            </w:pPr>
            <w:r w:rsidRPr="00B1656A">
              <w:rPr>
                <w:rFonts w:cs="Times New Roman"/>
                <w:sz w:val="20"/>
                <w:szCs w:val="20"/>
              </w:rPr>
              <w:t>25.330,78</w:t>
            </w:r>
          </w:p>
        </w:tc>
        <w:tc>
          <w:tcPr>
            <w:tcW w:w="4819" w:type="dxa"/>
          </w:tcPr>
          <w:p w14:paraId="78B31509" w14:textId="471AA6DB" w:rsidR="00EE112F" w:rsidRPr="00B1656A" w:rsidRDefault="00EE112F" w:rsidP="00F7623F">
            <w:pPr>
              <w:jc w:val="both"/>
              <w:rPr>
                <w:rFonts w:cs="Times New Roman"/>
                <w:sz w:val="20"/>
                <w:szCs w:val="20"/>
              </w:rPr>
            </w:pPr>
            <w:r w:rsidRPr="00B1656A">
              <w:rPr>
                <w:rFonts w:cs="Times New Roman"/>
                <w:sz w:val="20"/>
                <w:szCs w:val="20"/>
              </w:rPr>
              <w:t>Projekt „Romalen – upoznajmo se!“ će tijekom 12 mjeseci znatno doprinijeti informiranosti kroz jačanje web portala i stvaranje dodatnog podcasta, uključujući terenska snimanja. Iako prvenstveno usmjeren na mlađe pripadnike romske nacionalne manjine (15-29 godina), korisnici su i ostali pripadnici romske nacionalne manjine, ali i opća populacija. Druga aktivnost je organizacija radionica za mlade u Zagrebu, Slavonskom Brodu i Sisku koje će rezultirati izradom klipova o temama koje mladi smatraju važnim za zajednicu, a osobito će se promovirati primjeri mladih uspješnih Roma te važnost obrazovanja i njihovog aktivnog sudjelovanja u društvu.</w:t>
            </w:r>
          </w:p>
        </w:tc>
      </w:tr>
      <w:tr w:rsidR="00EE112F" w:rsidRPr="00B1656A" w14:paraId="1ED8F37E" w14:textId="77777777" w:rsidTr="00FC64BF">
        <w:trPr>
          <w:trHeight w:val="454"/>
        </w:trPr>
        <w:tc>
          <w:tcPr>
            <w:tcW w:w="988" w:type="dxa"/>
            <w:vAlign w:val="center"/>
          </w:tcPr>
          <w:p w14:paraId="351557CF" w14:textId="77777777" w:rsidR="00EE112F" w:rsidRPr="00B1656A" w:rsidRDefault="00EE112F" w:rsidP="00F7623F">
            <w:pPr>
              <w:jc w:val="center"/>
              <w:rPr>
                <w:rFonts w:cs="Times New Roman"/>
                <w:sz w:val="20"/>
                <w:szCs w:val="20"/>
              </w:rPr>
            </w:pPr>
            <w:r w:rsidRPr="00B1656A">
              <w:rPr>
                <w:rFonts w:cs="Times New Roman"/>
                <w:sz w:val="20"/>
                <w:szCs w:val="20"/>
              </w:rPr>
              <w:t xml:space="preserve">6. </w:t>
            </w:r>
          </w:p>
        </w:tc>
        <w:tc>
          <w:tcPr>
            <w:tcW w:w="1842" w:type="dxa"/>
            <w:vAlign w:val="center"/>
          </w:tcPr>
          <w:p w14:paraId="0ED6820F" w14:textId="77777777" w:rsidR="00EE112F" w:rsidRPr="00B1656A" w:rsidRDefault="00EE112F" w:rsidP="00F7623F">
            <w:pPr>
              <w:rPr>
                <w:rFonts w:cs="Times New Roman"/>
                <w:sz w:val="20"/>
                <w:szCs w:val="20"/>
              </w:rPr>
            </w:pPr>
            <w:r w:rsidRPr="00B1656A">
              <w:rPr>
                <w:rFonts w:cs="Times New Roman"/>
                <w:sz w:val="20"/>
                <w:szCs w:val="20"/>
              </w:rPr>
              <w:t>PROJEKT GRAĐANSKIH PRAVA SISAK</w:t>
            </w:r>
          </w:p>
        </w:tc>
        <w:tc>
          <w:tcPr>
            <w:tcW w:w="1560" w:type="dxa"/>
          </w:tcPr>
          <w:p w14:paraId="56483577" w14:textId="77777777" w:rsidR="00EE112F" w:rsidRPr="00B1656A" w:rsidRDefault="00EE112F" w:rsidP="00F7623F">
            <w:pPr>
              <w:jc w:val="right"/>
              <w:rPr>
                <w:rFonts w:cs="Times New Roman"/>
                <w:sz w:val="20"/>
                <w:szCs w:val="20"/>
              </w:rPr>
            </w:pPr>
            <w:r w:rsidRPr="00B1656A">
              <w:rPr>
                <w:rFonts w:cs="Times New Roman"/>
                <w:sz w:val="20"/>
                <w:szCs w:val="20"/>
              </w:rPr>
              <w:t>48.000,00</w:t>
            </w:r>
          </w:p>
        </w:tc>
        <w:tc>
          <w:tcPr>
            <w:tcW w:w="4819" w:type="dxa"/>
          </w:tcPr>
          <w:p w14:paraId="2B380307" w14:textId="77777777" w:rsidR="00EE112F" w:rsidRPr="00B1656A" w:rsidRDefault="00EE112F" w:rsidP="00F7623F">
            <w:pPr>
              <w:jc w:val="both"/>
              <w:rPr>
                <w:rFonts w:cs="Times New Roman"/>
                <w:sz w:val="20"/>
                <w:szCs w:val="20"/>
              </w:rPr>
            </w:pPr>
            <w:r w:rsidRPr="00B1656A">
              <w:rPr>
                <w:rFonts w:cs="Times New Roman"/>
                <w:sz w:val="20"/>
                <w:szCs w:val="20"/>
              </w:rPr>
              <w:t>Projekt „ROMI – Romski održivi model inkluzije“ će tijekom 12 mjeseci pružiti pravnu i administrativnu pomoć, kao i društveno-socijalnu podršku pripadnicima romske nacionalne manjine na području Sisačko-moslavačke i Karlovačke županije. Uz individualna pravna savjetovanja, organizirat će se i edukativne radionice o važnosti obrazovanja, o zapošljavanju i tržištu rada te provesti analiza potreba romske nacionalne manjine.</w:t>
            </w:r>
          </w:p>
        </w:tc>
      </w:tr>
      <w:tr w:rsidR="00EE112F" w:rsidRPr="00B1656A" w14:paraId="421A526E" w14:textId="77777777" w:rsidTr="00FC64BF">
        <w:trPr>
          <w:trHeight w:val="454"/>
        </w:trPr>
        <w:tc>
          <w:tcPr>
            <w:tcW w:w="988" w:type="dxa"/>
            <w:vAlign w:val="center"/>
          </w:tcPr>
          <w:p w14:paraId="0401FB59" w14:textId="77777777" w:rsidR="00EE112F" w:rsidRPr="00B1656A" w:rsidRDefault="00EE112F" w:rsidP="00F7623F">
            <w:pPr>
              <w:jc w:val="center"/>
              <w:rPr>
                <w:rFonts w:cs="Times New Roman"/>
                <w:sz w:val="20"/>
                <w:szCs w:val="20"/>
              </w:rPr>
            </w:pPr>
          </w:p>
        </w:tc>
        <w:tc>
          <w:tcPr>
            <w:tcW w:w="1842" w:type="dxa"/>
            <w:vAlign w:val="center"/>
          </w:tcPr>
          <w:p w14:paraId="5B143F40" w14:textId="77777777" w:rsidR="00EE112F" w:rsidRPr="00B1656A" w:rsidRDefault="00EE112F" w:rsidP="00F7623F">
            <w:pPr>
              <w:rPr>
                <w:rFonts w:cs="Times New Roman"/>
                <w:b/>
                <w:sz w:val="20"/>
                <w:szCs w:val="20"/>
              </w:rPr>
            </w:pPr>
            <w:r w:rsidRPr="00B1656A">
              <w:rPr>
                <w:rFonts w:cs="Times New Roman"/>
                <w:b/>
                <w:sz w:val="20"/>
                <w:szCs w:val="20"/>
              </w:rPr>
              <w:t>UKUPNO</w:t>
            </w:r>
          </w:p>
        </w:tc>
        <w:tc>
          <w:tcPr>
            <w:tcW w:w="1560" w:type="dxa"/>
          </w:tcPr>
          <w:p w14:paraId="32CB63C0" w14:textId="77777777" w:rsidR="00EE112F" w:rsidRDefault="00EE112F" w:rsidP="00F7623F">
            <w:pPr>
              <w:jc w:val="right"/>
              <w:rPr>
                <w:rFonts w:cs="Times New Roman"/>
                <w:b/>
                <w:color w:val="000000" w:themeColor="text1"/>
                <w:sz w:val="20"/>
                <w:szCs w:val="20"/>
              </w:rPr>
            </w:pPr>
          </w:p>
          <w:p w14:paraId="3FBE8D00" w14:textId="1222A16E" w:rsidR="00EE112F" w:rsidRPr="00B1656A" w:rsidRDefault="002F7831" w:rsidP="00F7623F">
            <w:pPr>
              <w:rPr>
                <w:rFonts w:cs="Times New Roman"/>
                <w:b/>
                <w:color w:val="000000" w:themeColor="text1"/>
                <w:sz w:val="20"/>
                <w:szCs w:val="20"/>
              </w:rPr>
            </w:pPr>
            <w:r>
              <w:rPr>
                <w:rFonts w:cs="Times New Roman"/>
                <w:b/>
                <w:color w:val="000000" w:themeColor="text1"/>
                <w:sz w:val="20"/>
                <w:szCs w:val="20"/>
              </w:rPr>
              <w:t xml:space="preserve"> </w:t>
            </w:r>
            <w:r w:rsidR="00EE112F" w:rsidRPr="00B1656A">
              <w:rPr>
                <w:rFonts w:cs="Times New Roman"/>
                <w:b/>
                <w:color w:val="000000" w:themeColor="text1"/>
                <w:sz w:val="20"/>
                <w:szCs w:val="20"/>
              </w:rPr>
              <w:t>271.841,44</w:t>
            </w:r>
          </w:p>
        </w:tc>
        <w:tc>
          <w:tcPr>
            <w:tcW w:w="4819" w:type="dxa"/>
          </w:tcPr>
          <w:p w14:paraId="0C340116" w14:textId="77777777" w:rsidR="00EE112F" w:rsidRPr="00B1656A" w:rsidRDefault="00EE112F" w:rsidP="00F7623F">
            <w:pPr>
              <w:jc w:val="both"/>
              <w:rPr>
                <w:rFonts w:cs="Times New Roman"/>
                <w:b/>
                <w:color w:val="000000" w:themeColor="text1"/>
                <w:sz w:val="20"/>
                <w:szCs w:val="20"/>
              </w:rPr>
            </w:pPr>
          </w:p>
        </w:tc>
      </w:tr>
    </w:tbl>
    <w:p w14:paraId="415B9FC2" w14:textId="77777777" w:rsidR="00EE112F" w:rsidRPr="004B0DEA" w:rsidRDefault="00EE112F" w:rsidP="003F4CFA">
      <w:pPr>
        <w:jc w:val="both"/>
        <w:rPr>
          <w:rFonts w:cs="Times New Roman"/>
          <w:szCs w:val="24"/>
        </w:rPr>
      </w:pPr>
    </w:p>
    <w:p w14:paraId="535A747A" w14:textId="5F628982" w:rsidR="003F4CFA" w:rsidRPr="004B0DEA" w:rsidRDefault="003F4CFA" w:rsidP="003F4CFA">
      <w:pPr>
        <w:jc w:val="both"/>
        <w:rPr>
          <w:rFonts w:cs="Times New Roman"/>
          <w:szCs w:val="24"/>
        </w:rPr>
      </w:pPr>
      <w:r>
        <w:rPr>
          <w:rFonts w:cs="Times New Roman"/>
          <w:szCs w:val="24"/>
        </w:rPr>
        <w:t>D</w:t>
      </w:r>
      <w:r w:rsidRPr="004B0DEA">
        <w:rPr>
          <w:rFonts w:cs="Times New Roman"/>
          <w:szCs w:val="24"/>
        </w:rPr>
        <w:t xml:space="preserve">etaljnije informacije </w:t>
      </w:r>
      <w:r>
        <w:rPr>
          <w:rFonts w:cs="Times New Roman"/>
          <w:szCs w:val="24"/>
        </w:rPr>
        <w:t xml:space="preserve">su dostupne na sljedećim </w:t>
      </w:r>
      <w:r w:rsidRPr="004B0DEA">
        <w:rPr>
          <w:rFonts w:cs="Times New Roman"/>
          <w:szCs w:val="24"/>
        </w:rPr>
        <w:t>poveznic</w:t>
      </w:r>
      <w:r>
        <w:rPr>
          <w:rFonts w:cs="Times New Roman"/>
          <w:szCs w:val="24"/>
        </w:rPr>
        <w:t>ama</w:t>
      </w:r>
      <w:r w:rsidRPr="004B0DEA">
        <w:rPr>
          <w:rFonts w:cs="Times New Roman"/>
          <w:szCs w:val="24"/>
        </w:rPr>
        <w:t>:</w:t>
      </w:r>
    </w:p>
    <w:p w14:paraId="503340FD" w14:textId="77777777" w:rsidR="003F4CFA" w:rsidRPr="004B0DEA" w:rsidRDefault="00E95A61" w:rsidP="003F4CFA">
      <w:pPr>
        <w:jc w:val="both"/>
        <w:rPr>
          <w:rFonts w:cs="Times New Roman"/>
          <w:szCs w:val="24"/>
        </w:rPr>
      </w:pPr>
      <w:hyperlink r:id="rId13" w:history="1">
        <w:r w:rsidR="003F4CFA" w:rsidRPr="004B0DEA">
          <w:rPr>
            <w:rStyle w:val="Hyperlink"/>
            <w:rFonts w:cs="Times New Roman"/>
            <w:szCs w:val="24"/>
          </w:rPr>
          <w:t>https://pravamanjina.gov.hr/nacionalne-manjine/ostvarivanje-prava-romske-nacionalne-manjine/povjerenstvo-za-pracenje-provedbe-nacionalnog-plana-za-ukljucivanje-roma-za-razdoblje-od-2021-do-2027-godine/1031</w:t>
        </w:r>
      </w:hyperlink>
    </w:p>
    <w:p w14:paraId="59510D7D" w14:textId="77777777" w:rsidR="003F4CFA" w:rsidRPr="004B0DEA" w:rsidRDefault="003F4CFA" w:rsidP="003F4CFA">
      <w:pPr>
        <w:jc w:val="both"/>
        <w:rPr>
          <w:rFonts w:cs="Times New Roman"/>
          <w:szCs w:val="24"/>
        </w:rPr>
      </w:pPr>
      <w:r w:rsidRPr="004B0DEA">
        <w:rPr>
          <w:rFonts w:cs="Times New Roman"/>
          <w:szCs w:val="24"/>
        </w:rPr>
        <w:t>i</w:t>
      </w:r>
    </w:p>
    <w:p w14:paraId="164452BE" w14:textId="157F5D9D" w:rsidR="003F4CFA" w:rsidRDefault="00E95A61" w:rsidP="003F4CFA">
      <w:pPr>
        <w:spacing w:after="0" w:line="276" w:lineRule="auto"/>
        <w:jc w:val="both"/>
        <w:rPr>
          <w:rFonts w:cs="Times New Roman"/>
          <w:color w:val="FF0000"/>
          <w:szCs w:val="24"/>
        </w:rPr>
      </w:pPr>
      <w:hyperlink r:id="rId14" w:history="1">
        <w:r w:rsidR="003F4CFA" w:rsidRPr="004B0DEA">
          <w:rPr>
            <w:rStyle w:val="Hyperlink"/>
            <w:rFonts w:cs="Times New Roman"/>
            <w:szCs w:val="24"/>
          </w:rPr>
          <w:t>https://pravamanjina.gov.hr/?id=1246&amp;pregled=1&amp;datum=Wed%20Sep%2011%202024%2016:37:16%20GMT+0200%20(srednjoeuropsko%20ljetno%20vrijeme)</w:t>
        </w:r>
      </w:hyperlink>
    </w:p>
    <w:p w14:paraId="4DD549C6" w14:textId="271B18B4" w:rsidR="00E1104B" w:rsidRPr="005346B3" w:rsidRDefault="00E1104B" w:rsidP="004A3B23">
      <w:pPr>
        <w:pStyle w:val="ListParagraph"/>
        <w:spacing w:line="276" w:lineRule="auto"/>
        <w:jc w:val="both"/>
      </w:pPr>
    </w:p>
    <w:tbl>
      <w:tblPr>
        <w:tblStyle w:val="TableGrid"/>
        <w:tblpPr w:leftFromText="180" w:rightFromText="180" w:vertAnchor="text" w:horzAnchor="margin" w:tblpY="84"/>
        <w:tblW w:w="5000" w:type="pct"/>
        <w:tblLook w:val="04A0" w:firstRow="1" w:lastRow="0" w:firstColumn="1" w:lastColumn="0" w:noHBand="0" w:noVBand="1"/>
      </w:tblPr>
      <w:tblGrid>
        <w:gridCol w:w="2742"/>
        <w:gridCol w:w="2198"/>
        <w:gridCol w:w="2061"/>
        <w:gridCol w:w="2061"/>
      </w:tblGrid>
      <w:tr w:rsidR="00CE622A" w:rsidRPr="00CE622A" w14:paraId="60D05A60" w14:textId="77777777" w:rsidTr="00CA40F2">
        <w:tc>
          <w:tcPr>
            <w:tcW w:w="1513" w:type="pct"/>
            <w:shd w:val="clear" w:color="auto" w:fill="F2F2F2" w:themeFill="background1" w:themeFillShade="F2"/>
            <w:vAlign w:val="center"/>
          </w:tcPr>
          <w:p w14:paraId="665ABFDA" w14:textId="35704EB0" w:rsidR="008D210E" w:rsidRPr="005346B3" w:rsidRDefault="00B510B5" w:rsidP="00D36147">
            <w:pPr>
              <w:rPr>
                <w:rFonts w:cs="Times New Roman"/>
                <w:b/>
                <w:sz w:val="20"/>
                <w:szCs w:val="18"/>
              </w:rPr>
            </w:pPr>
            <w:r w:rsidRPr="005346B3">
              <w:rPr>
                <w:rFonts w:cs="Times New Roman"/>
                <w:b/>
                <w:sz w:val="20"/>
                <w:szCs w:val="18"/>
              </w:rPr>
              <w:t>Pokazatelji provedbe i pokazatelji uspješnosti provedbe</w:t>
            </w:r>
          </w:p>
        </w:tc>
        <w:tc>
          <w:tcPr>
            <w:tcW w:w="1213" w:type="pct"/>
            <w:shd w:val="clear" w:color="auto" w:fill="F2F2F2" w:themeFill="background1" w:themeFillShade="F2"/>
            <w:vAlign w:val="center"/>
          </w:tcPr>
          <w:p w14:paraId="427EED6E" w14:textId="77777777" w:rsidR="008D210E" w:rsidRPr="005346B3" w:rsidRDefault="008D210E" w:rsidP="00D36147">
            <w:pPr>
              <w:jc w:val="center"/>
              <w:rPr>
                <w:rFonts w:cs="Times New Roman"/>
                <w:b/>
                <w:sz w:val="20"/>
              </w:rPr>
            </w:pPr>
            <w:r w:rsidRPr="005346B3">
              <w:rPr>
                <w:rFonts w:cs="Times New Roman"/>
                <w:b/>
                <w:sz w:val="20"/>
              </w:rPr>
              <w:t>Broj odobrenih zahtjeva</w:t>
            </w:r>
          </w:p>
        </w:tc>
        <w:tc>
          <w:tcPr>
            <w:tcW w:w="1137" w:type="pct"/>
            <w:shd w:val="clear" w:color="auto" w:fill="F2F2F2" w:themeFill="background1" w:themeFillShade="F2"/>
            <w:vAlign w:val="center"/>
          </w:tcPr>
          <w:p w14:paraId="1A6769A2" w14:textId="77777777" w:rsidR="008D210E" w:rsidRPr="005346B3" w:rsidRDefault="008D210E" w:rsidP="00D36147">
            <w:pPr>
              <w:jc w:val="center"/>
              <w:rPr>
                <w:rFonts w:cs="Times New Roman"/>
                <w:b/>
                <w:sz w:val="20"/>
              </w:rPr>
            </w:pPr>
            <w:r w:rsidRPr="005346B3">
              <w:rPr>
                <w:rFonts w:cs="Times New Roman"/>
                <w:b/>
                <w:sz w:val="20"/>
              </w:rPr>
              <w:t>Iznos odobrenih sredstava</w:t>
            </w:r>
          </w:p>
        </w:tc>
        <w:tc>
          <w:tcPr>
            <w:tcW w:w="1137" w:type="pct"/>
            <w:shd w:val="clear" w:color="auto" w:fill="F2F2F2" w:themeFill="background1" w:themeFillShade="F2"/>
            <w:vAlign w:val="center"/>
          </w:tcPr>
          <w:p w14:paraId="0C4C2912" w14:textId="77777777" w:rsidR="008D210E" w:rsidRPr="005346B3" w:rsidRDefault="008D210E" w:rsidP="00D36147">
            <w:pPr>
              <w:jc w:val="center"/>
              <w:rPr>
                <w:rFonts w:cs="Times New Roman"/>
                <w:b/>
                <w:sz w:val="20"/>
                <w:szCs w:val="18"/>
              </w:rPr>
            </w:pPr>
          </w:p>
        </w:tc>
      </w:tr>
      <w:tr w:rsidR="00CE622A" w:rsidRPr="00CE622A" w14:paraId="3A9DA3A7" w14:textId="77777777" w:rsidTr="00CA40F2">
        <w:tc>
          <w:tcPr>
            <w:tcW w:w="1513" w:type="pct"/>
            <w:shd w:val="clear" w:color="auto" w:fill="F2F2F2" w:themeFill="background1" w:themeFillShade="F2"/>
            <w:vAlign w:val="center"/>
          </w:tcPr>
          <w:p w14:paraId="0C1F76FF" w14:textId="6AA99765" w:rsidR="00715EB3" w:rsidRPr="005346B3" w:rsidRDefault="00715EB3" w:rsidP="005F4F41">
            <w:pPr>
              <w:rPr>
                <w:rFonts w:cs="Times New Roman"/>
                <w:sz w:val="20"/>
                <w:szCs w:val="18"/>
              </w:rPr>
            </w:pPr>
            <w:r w:rsidRPr="005346B3">
              <w:rPr>
                <w:rFonts w:cs="Times New Roman"/>
                <w:sz w:val="20"/>
                <w:szCs w:val="18"/>
              </w:rPr>
              <w:t xml:space="preserve">Planirani ishodi za pokazatelje </w:t>
            </w:r>
            <w:r w:rsidR="0018416B" w:rsidRPr="005346B3">
              <w:rPr>
                <w:rFonts w:cs="Times New Roman"/>
                <w:sz w:val="20"/>
                <w:szCs w:val="18"/>
              </w:rPr>
              <w:t>provedbe u 202</w:t>
            </w:r>
            <w:r w:rsidR="003462D1" w:rsidRPr="005346B3">
              <w:rPr>
                <w:rFonts w:cs="Times New Roman"/>
                <w:sz w:val="20"/>
                <w:szCs w:val="18"/>
              </w:rPr>
              <w:t>4</w:t>
            </w:r>
            <w:r w:rsidR="0018416B" w:rsidRPr="005346B3">
              <w:rPr>
                <w:rFonts w:cs="Times New Roman"/>
                <w:sz w:val="20"/>
                <w:szCs w:val="18"/>
              </w:rPr>
              <w:t xml:space="preserve">. </w:t>
            </w:r>
          </w:p>
        </w:tc>
        <w:tc>
          <w:tcPr>
            <w:tcW w:w="1213" w:type="pct"/>
            <w:vAlign w:val="center"/>
          </w:tcPr>
          <w:p w14:paraId="2E24C4F8" w14:textId="40425E2B" w:rsidR="00715EB3" w:rsidRPr="005346B3" w:rsidRDefault="005346B3" w:rsidP="005346B3">
            <w:pPr>
              <w:jc w:val="center"/>
              <w:rPr>
                <w:rFonts w:cs="Times New Roman"/>
                <w:sz w:val="20"/>
                <w:szCs w:val="18"/>
              </w:rPr>
            </w:pPr>
            <w:r w:rsidRPr="005346B3">
              <w:rPr>
                <w:rFonts w:cs="Times New Roman"/>
                <w:sz w:val="20"/>
                <w:szCs w:val="18"/>
              </w:rPr>
              <w:t>5-6</w:t>
            </w:r>
          </w:p>
        </w:tc>
        <w:tc>
          <w:tcPr>
            <w:tcW w:w="1137" w:type="pct"/>
            <w:vAlign w:val="center"/>
          </w:tcPr>
          <w:p w14:paraId="53A517A3" w14:textId="1D6ED219" w:rsidR="00715EB3" w:rsidRPr="005346B3" w:rsidRDefault="005346B3" w:rsidP="005346B3">
            <w:pPr>
              <w:jc w:val="center"/>
              <w:rPr>
                <w:rFonts w:cs="Times New Roman"/>
                <w:sz w:val="20"/>
                <w:szCs w:val="18"/>
              </w:rPr>
            </w:pPr>
            <w:r w:rsidRPr="005346B3">
              <w:rPr>
                <w:rFonts w:cs="Times New Roman"/>
                <w:sz w:val="20"/>
                <w:szCs w:val="18"/>
              </w:rPr>
              <w:t>272.083,00</w:t>
            </w:r>
            <w:r w:rsidR="00437B03" w:rsidRPr="005346B3">
              <w:rPr>
                <w:rFonts w:cs="Times New Roman"/>
                <w:sz w:val="20"/>
                <w:szCs w:val="18"/>
              </w:rPr>
              <w:t xml:space="preserve"> </w:t>
            </w:r>
          </w:p>
        </w:tc>
        <w:tc>
          <w:tcPr>
            <w:tcW w:w="1137" w:type="pct"/>
            <w:vAlign w:val="center"/>
          </w:tcPr>
          <w:p w14:paraId="7F88B53B" w14:textId="77777777" w:rsidR="00715EB3" w:rsidRPr="005346B3" w:rsidRDefault="00715EB3" w:rsidP="00D36147">
            <w:pPr>
              <w:jc w:val="center"/>
              <w:rPr>
                <w:rFonts w:cs="Times New Roman"/>
                <w:sz w:val="20"/>
                <w:szCs w:val="18"/>
              </w:rPr>
            </w:pPr>
          </w:p>
        </w:tc>
      </w:tr>
      <w:tr w:rsidR="00CE622A" w:rsidRPr="00CE622A" w14:paraId="6FE6CB65" w14:textId="77777777" w:rsidTr="00CA40F2">
        <w:tc>
          <w:tcPr>
            <w:tcW w:w="1513" w:type="pct"/>
            <w:shd w:val="clear" w:color="auto" w:fill="F2F2F2" w:themeFill="background1" w:themeFillShade="F2"/>
            <w:vAlign w:val="center"/>
          </w:tcPr>
          <w:p w14:paraId="3427EF9D" w14:textId="0721DB95" w:rsidR="00715EB3" w:rsidRPr="005346B3" w:rsidRDefault="00715EB3" w:rsidP="005F4F41">
            <w:pPr>
              <w:rPr>
                <w:rFonts w:cs="Times New Roman"/>
                <w:sz w:val="20"/>
                <w:szCs w:val="18"/>
              </w:rPr>
            </w:pPr>
            <w:r w:rsidRPr="005346B3">
              <w:rPr>
                <w:rFonts w:cs="Times New Roman"/>
                <w:sz w:val="20"/>
                <w:szCs w:val="18"/>
              </w:rPr>
              <w:t xml:space="preserve">Ostvareni ishodi za pokazatelje </w:t>
            </w:r>
            <w:r w:rsidR="0018416B" w:rsidRPr="005346B3">
              <w:rPr>
                <w:rFonts w:cs="Times New Roman"/>
                <w:sz w:val="20"/>
                <w:szCs w:val="18"/>
              </w:rPr>
              <w:t>provedbe u 202</w:t>
            </w:r>
            <w:r w:rsidR="003462D1" w:rsidRPr="005346B3">
              <w:rPr>
                <w:rFonts w:cs="Times New Roman"/>
                <w:sz w:val="20"/>
                <w:szCs w:val="18"/>
              </w:rPr>
              <w:t>4</w:t>
            </w:r>
          </w:p>
        </w:tc>
        <w:tc>
          <w:tcPr>
            <w:tcW w:w="1213" w:type="pct"/>
            <w:vAlign w:val="center"/>
          </w:tcPr>
          <w:p w14:paraId="7B203299" w14:textId="6429AAE7" w:rsidR="00715EB3" w:rsidRPr="005346B3" w:rsidRDefault="003462D1" w:rsidP="003462D1">
            <w:pPr>
              <w:jc w:val="center"/>
              <w:rPr>
                <w:rFonts w:cs="Times New Roman"/>
                <w:sz w:val="20"/>
                <w:szCs w:val="18"/>
              </w:rPr>
            </w:pPr>
            <w:r w:rsidRPr="005346B3">
              <w:rPr>
                <w:rFonts w:cs="Times New Roman"/>
                <w:sz w:val="20"/>
                <w:szCs w:val="18"/>
              </w:rPr>
              <w:t>6</w:t>
            </w:r>
          </w:p>
        </w:tc>
        <w:tc>
          <w:tcPr>
            <w:tcW w:w="1137" w:type="pct"/>
            <w:vAlign w:val="center"/>
          </w:tcPr>
          <w:p w14:paraId="1D420C3F" w14:textId="06F63B79" w:rsidR="00715EB3" w:rsidRPr="005346B3" w:rsidRDefault="003462D1" w:rsidP="003462D1">
            <w:pPr>
              <w:jc w:val="center"/>
              <w:rPr>
                <w:rFonts w:cs="Times New Roman"/>
                <w:sz w:val="20"/>
                <w:szCs w:val="18"/>
              </w:rPr>
            </w:pPr>
            <w:r w:rsidRPr="005346B3">
              <w:rPr>
                <w:rFonts w:cs="Times New Roman"/>
                <w:sz w:val="20"/>
                <w:szCs w:val="18"/>
              </w:rPr>
              <w:t xml:space="preserve">271.841,44 </w:t>
            </w:r>
          </w:p>
        </w:tc>
        <w:tc>
          <w:tcPr>
            <w:tcW w:w="1137" w:type="pct"/>
            <w:vAlign w:val="center"/>
          </w:tcPr>
          <w:p w14:paraId="09DC9FB0" w14:textId="77777777" w:rsidR="00715EB3" w:rsidRPr="005346B3" w:rsidRDefault="00715EB3" w:rsidP="00D36147">
            <w:pPr>
              <w:jc w:val="center"/>
              <w:rPr>
                <w:rFonts w:cs="Times New Roman"/>
                <w:sz w:val="20"/>
                <w:szCs w:val="18"/>
              </w:rPr>
            </w:pPr>
          </w:p>
        </w:tc>
      </w:tr>
      <w:tr w:rsidR="00CE622A" w:rsidRPr="00CE622A" w14:paraId="71B7D8F6" w14:textId="77777777" w:rsidTr="00CA40F2">
        <w:tc>
          <w:tcPr>
            <w:tcW w:w="1513" w:type="pct"/>
            <w:shd w:val="clear" w:color="auto" w:fill="F2F2F2" w:themeFill="background1" w:themeFillShade="F2"/>
            <w:vAlign w:val="center"/>
          </w:tcPr>
          <w:p w14:paraId="0415E532" w14:textId="0AA4E877" w:rsidR="00545EC2" w:rsidRPr="005346B3" w:rsidRDefault="00545EC2" w:rsidP="00D36147">
            <w:pPr>
              <w:rPr>
                <w:rFonts w:cs="Times New Roman"/>
                <w:b/>
                <w:sz w:val="20"/>
                <w:szCs w:val="18"/>
              </w:rPr>
            </w:pPr>
            <w:r w:rsidRPr="005346B3">
              <w:rPr>
                <w:rFonts w:cs="Times New Roman"/>
                <w:b/>
                <w:sz w:val="20"/>
                <w:szCs w:val="18"/>
              </w:rPr>
              <w:t xml:space="preserve">IZVORI FINANCIRANJA </w:t>
            </w:r>
          </w:p>
        </w:tc>
        <w:tc>
          <w:tcPr>
            <w:tcW w:w="1213" w:type="pct"/>
            <w:vAlign w:val="center"/>
          </w:tcPr>
          <w:p w14:paraId="29C10DBC" w14:textId="22ED6B1A" w:rsidR="00545EC2" w:rsidRPr="005346B3" w:rsidRDefault="00545EC2" w:rsidP="00D36147">
            <w:pPr>
              <w:jc w:val="center"/>
              <w:rPr>
                <w:rFonts w:cs="Times New Roman"/>
                <w:b/>
                <w:sz w:val="20"/>
                <w:szCs w:val="18"/>
              </w:rPr>
            </w:pPr>
            <w:r w:rsidRPr="005346B3">
              <w:rPr>
                <w:rFonts w:cs="Times New Roman"/>
                <w:b/>
                <w:sz w:val="20"/>
                <w:szCs w:val="18"/>
              </w:rPr>
              <w:t>Državni proračun</w:t>
            </w:r>
            <w:r w:rsidR="00DF0290" w:rsidRPr="005346B3">
              <w:rPr>
                <w:rFonts w:cs="Times New Roman"/>
                <w:b/>
                <w:sz w:val="20"/>
                <w:szCs w:val="18"/>
              </w:rPr>
              <w:t xml:space="preserve"> </w:t>
            </w:r>
            <w:r w:rsidRPr="005346B3">
              <w:rPr>
                <w:rFonts w:cs="Times New Roman"/>
                <w:b/>
                <w:sz w:val="20"/>
                <w:szCs w:val="18"/>
              </w:rPr>
              <w:t>(</w:t>
            </w:r>
            <w:r w:rsidR="00B90CFC" w:rsidRPr="005346B3">
              <w:rPr>
                <w:rFonts w:cs="Times New Roman"/>
                <w:b/>
                <w:sz w:val="20"/>
                <w:szCs w:val="18"/>
              </w:rPr>
              <w:t>EUR</w:t>
            </w:r>
            <w:r w:rsidRPr="005346B3">
              <w:rPr>
                <w:rFonts w:cs="Times New Roman"/>
                <w:b/>
                <w:sz w:val="20"/>
                <w:szCs w:val="18"/>
              </w:rPr>
              <w:t>)</w:t>
            </w:r>
          </w:p>
        </w:tc>
        <w:tc>
          <w:tcPr>
            <w:tcW w:w="1137" w:type="pct"/>
            <w:vAlign w:val="center"/>
          </w:tcPr>
          <w:p w14:paraId="12263219" w14:textId="0428F94A" w:rsidR="00545EC2" w:rsidRPr="005346B3" w:rsidRDefault="00672A9A" w:rsidP="00D36147">
            <w:pPr>
              <w:jc w:val="center"/>
              <w:rPr>
                <w:rFonts w:cs="Times New Roman"/>
                <w:b/>
                <w:sz w:val="20"/>
                <w:szCs w:val="18"/>
              </w:rPr>
            </w:pPr>
            <w:r w:rsidRPr="005346B3">
              <w:rPr>
                <w:rFonts w:cs="Times New Roman"/>
                <w:b/>
                <w:sz w:val="20"/>
                <w:szCs w:val="18"/>
              </w:rPr>
              <w:t>EU financiranje</w:t>
            </w:r>
            <w:r w:rsidR="00DF0290" w:rsidRPr="005346B3">
              <w:rPr>
                <w:rFonts w:cs="Times New Roman"/>
                <w:b/>
                <w:sz w:val="20"/>
                <w:szCs w:val="18"/>
              </w:rPr>
              <w:t xml:space="preserve"> </w:t>
            </w:r>
            <w:r w:rsidRPr="005346B3">
              <w:rPr>
                <w:rFonts w:cs="Times New Roman"/>
                <w:b/>
                <w:sz w:val="20"/>
                <w:szCs w:val="18"/>
              </w:rPr>
              <w:t>(</w:t>
            </w:r>
            <w:r w:rsidR="00B90CFC" w:rsidRPr="005346B3">
              <w:rPr>
                <w:rFonts w:cs="Times New Roman"/>
                <w:b/>
                <w:sz w:val="20"/>
                <w:szCs w:val="18"/>
              </w:rPr>
              <w:t>EUR</w:t>
            </w:r>
            <w:r w:rsidRPr="005346B3">
              <w:rPr>
                <w:rFonts w:cs="Times New Roman"/>
                <w:b/>
                <w:sz w:val="20"/>
                <w:szCs w:val="18"/>
              </w:rPr>
              <w:t>)</w:t>
            </w:r>
          </w:p>
        </w:tc>
        <w:tc>
          <w:tcPr>
            <w:tcW w:w="1137" w:type="pct"/>
            <w:vAlign w:val="center"/>
          </w:tcPr>
          <w:p w14:paraId="21707150" w14:textId="506D452F" w:rsidR="00545EC2" w:rsidRPr="005346B3" w:rsidRDefault="00672A9A" w:rsidP="00D36147">
            <w:pPr>
              <w:jc w:val="center"/>
              <w:rPr>
                <w:rFonts w:cs="Times New Roman"/>
                <w:b/>
                <w:sz w:val="20"/>
                <w:szCs w:val="18"/>
              </w:rPr>
            </w:pPr>
            <w:r w:rsidRPr="005346B3">
              <w:rPr>
                <w:rFonts w:cs="Times New Roman"/>
                <w:b/>
                <w:sz w:val="20"/>
                <w:szCs w:val="18"/>
              </w:rPr>
              <w:t>Drugi izvori (</w:t>
            </w:r>
            <w:r w:rsidR="00B90CFC" w:rsidRPr="005346B3">
              <w:rPr>
                <w:rFonts w:cs="Times New Roman"/>
                <w:b/>
                <w:sz w:val="20"/>
                <w:szCs w:val="18"/>
              </w:rPr>
              <w:t>EUR</w:t>
            </w:r>
            <w:r w:rsidRPr="005346B3">
              <w:rPr>
                <w:rFonts w:cs="Times New Roman"/>
                <w:b/>
                <w:sz w:val="20"/>
                <w:szCs w:val="18"/>
              </w:rPr>
              <w:t>)</w:t>
            </w:r>
          </w:p>
        </w:tc>
      </w:tr>
      <w:tr w:rsidR="00CE622A" w:rsidRPr="00CE622A" w14:paraId="79217A41" w14:textId="77777777" w:rsidTr="005D72D8">
        <w:tc>
          <w:tcPr>
            <w:tcW w:w="1513" w:type="pct"/>
            <w:shd w:val="clear" w:color="auto" w:fill="F2F2F2" w:themeFill="background1" w:themeFillShade="F2"/>
            <w:vAlign w:val="center"/>
          </w:tcPr>
          <w:p w14:paraId="350B3979" w14:textId="38F18718" w:rsidR="00545EC2" w:rsidRPr="005346B3" w:rsidRDefault="00545EC2" w:rsidP="005F4F41">
            <w:pPr>
              <w:rPr>
                <w:rFonts w:cs="Times New Roman"/>
                <w:sz w:val="20"/>
                <w:szCs w:val="18"/>
              </w:rPr>
            </w:pPr>
            <w:r w:rsidRPr="005346B3">
              <w:rPr>
                <w:rFonts w:cs="Times New Roman"/>
                <w:sz w:val="20"/>
                <w:szCs w:val="18"/>
              </w:rPr>
              <w:t xml:space="preserve">Izvori </w:t>
            </w:r>
            <w:r w:rsidR="0018416B" w:rsidRPr="005346B3">
              <w:rPr>
                <w:rFonts w:cs="Times New Roman"/>
                <w:sz w:val="20"/>
                <w:szCs w:val="18"/>
              </w:rPr>
              <w:t>financiranja u 202</w:t>
            </w:r>
            <w:r w:rsidR="003462D1" w:rsidRPr="005346B3">
              <w:rPr>
                <w:rFonts w:cs="Times New Roman"/>
                <w:sz w:val="20"/>
                <w:szCs w:val="18"/>
              </w:rPr>
              <w:t>4</w:t>
            </w:r>
            <w:r w:rsidR="0018416B" w:rsidRPr="005346B3">
              <w:rPr>
                <w:rFonts w:cs="Times New Roman"/>
                <w:sz w:val="20"/>
                <w:szCs w:val="18"/>
              </w:rPr>
              <w:t>.</w:t>
            </w:r>
            <w:r w:rsidRPr="005346B3">
              <w:rPr>
                <w:rFonts w:cs="Times New Roman"/>
                <w:sz w:val="20"/>
                <w:szCs w:val="18"/>
              </w:rPr>
              <w:t xml:space="preserve"> (proračunska pozicija i predviđeni iznos sredstava)</w:t>
            </w:r>
          </w:p>
        </w:tc>
        <w:tc>
          <w:tcPr>
            <w:tcW w:w="1213" w:type="pct"/>
            <w:vAlign w:val="center"/>
          </w:tcPr>
          <w:p w14:paraId="776AEA24" w14:textId="771C2A88" w:rsidR="00B90CFC" w:rsidRPr="005346B3" w:rsidRDefault="00673469" w:rsidP="00D36147">
            <w:pPr>
              <w:jc w:val="center"/>
              <w:rPr>
                <w:rFonts w:cs="Times New Roman"/>
                <w:sz w:val="20"/>
                <w:szCs w:val="18"/>
              </w:rPr>
            </w:pPr>
            <w:r w:rsidRPr="005346B3">
              <w:rPr>
                <w:rFonts w:cs="Times New Roman"/>
                <w:sz w:val="20"/>
                <w:szCs w:val="18"/>
              </w:rPr>
              <w:t>A513041</w:t>
            </w:r>
            <w:r w:rsidR="00CD78EF" w:rsidRPr="005346B3">
              <w:rPr>
                <w:rFonts w:cs="Times New Roman"/>
                <w:sz w:val="20"/>
                <w:szCs w:val="18"/>
              </w:rPr>
              <w:t xml:space="preserve"> -</w:t>
            </w:r>
            <w:r w:rsidR="003F4918" w:rsidRPr="005346B3">
              <w:rPr>
                <w:rFonts w:cs="Times New Roman"/>
                <w:sz w:val="20"/>
                <w:szCs w:val="18"/>
              </w:rPr>
              <w:t xml:space="preserve"> </w:t>
            </w:r>
            <w:r w:rsidR="005961FF" w:rsidRPr="005346B3">
              <w:rPr>
                <w:rFonts w:cs="Times New Roman"/>
                <w:sz w:val="20"/>
                <w:szCs w:val="18"/>
              </w:rPr>
              <w:t xml:space="preserve">NPUR </w:t>
            </w:r>
          </w:p>
          <w:p w14:paraId="0AA8A436" w14:textId="558E204A" w:rsidR="00545EC2" w:rsidRPr="005346B3" w:rsidRDefault="00B90CFC" w:rsidP="00D36147">
            <w:pPr>
              <w:jc w:val="center"/>
              <w:rPr>
                <w:rFonts w:cs="Times New Roman"/>
                <w:sz w:val="20"/>
                <w:szCs w:val="18"/>
              </w:rPr>
            </w:pPr>
            <w:r w:rsidRPr="005346B3">
              <w:rPr>
                <w:rFonts w:cs="Times New Roman"/>
                <w:sz w:val="20"/>
                <w:szCs w:val="18"/>
              </w:rPr>
              <w:t xml:space="preserve"> 170.000,00</w:t>
            </w:r>
          </w:p>
        </w:tc>
        <w:tc>
          <w:tcPr>
            <w:tcW w:w="1137" w:type="pct"/>
            <w:vAlign w:val="center"/>
          </w:tcPr>
          <w:p w14:paraId="02B06983" w14:textId="3224733C" w:rsidR="00545EC2" w:rsidRPr="005346B3" w:rsidRDefault="00545EC2" w:rsidP="00D36147">
            <w:pPr>
              <w:jc w:val="center"/>
              <w:rPr>
                <w:rFonts w:cs="Times New Roman"/>
                <w:sz w:val="20"/>
                <w:szCs w:val="18"/>
              </w:rPr>
            </w:pPr>
            <w:r w:rsidRPr="005346B3">
              <w:rPr>
                <w:rFonts w:cs="Times New Roman"/>
                <w:bCs/>
                <w:sz w:val="20"/>
                <w:szCs w:val="18"/>
              </w:rPr>
              <w:t xml:space="preserve">0,00 </w:t>
            </w:r>
          </w:p>
        </w:tc>
        <w:tc>
          <w:tcPr>
            <w:tcW w:w="1137" w:type="pct"/>
            <w:vAlign w:val="center"/>
          </w:tcPr>
          <w:p w14:paraId="73A76D85" w14:textId="3B659A37" w:rsidR="00545EC2" w:rsidRPr="005346B3" w:rsidRDefault="00545EC2" w:rsidP="00D36147">
            <w:pPr>
              <w:jc w:val="center"/>
              <w:rPr>
                <w:rFonts w:cs="Times New Roman"/>
                <w:sz w:val="20"/>
                <w:szCs w:val="18"/>
              </w:rPr>
            </w:pPr>
            <w:r w:rsidRPr="005346B3">
              <w:rPr>
                <w:rFonts w:cs="Times New Roman"/>
                <w:bCs/>
                <w:sz w:val="20"/>
                <w:szCs w:val="18"/>
              </w:rPr>
              <w:t xml:space="preserve">0,00 </w:t>
            </w:r>
          </w:p>
        </w:tc>
      </w:tr>
      <w:tr w:rsidR="00CE622A" w:rsidRPr="00CE622A" w14:paraId="2062D614" w14:textId="77777777" w:rsidTr="00CA40F2">
        <w:tc>
          <w:tcPr>
            <w:tcW w:w="1513" w:type="pct"/>
            <w:vMerge w:val="restart"/>
            <w:shd w:val="clear" w:color="auto" w:fill="F2F2F2" w:themeFill="background1" w:themeFillShade="F2"/>
            <w:vAlign w:val="center"/>
          </w:tcPr>
          <w:p w14:paraId="28C6AE78" w14:textId="36B75D27" w:rsidR="00715EB3" w:rsidRPr="005346B3" w:rsidRDefault="00715EB3" w:rsidP="00D36147">
            <w:pPr>
              <w:rPr>
                <w:rFonts w:cs="Times New Roman"/>
                <w:b/>
                <w:bCs/>
                <w:sz w:val="20"/>
                <w:szCs w:val="18"/>
              </w:rPr>
            </w:pPr>
            <w:r w:rsidRPr="005346B3">
              <w:rPr>
                <w:rFonts w:cs="Times New Roman"/>
                <w:b/>
                <w:bCs/>
                <w:sz w:val="20"/>
                <w:szCs w:val="18"/>
              </w:rPr>
              <w:t xml:space="preserve">UKUPNO UTROŠENA SREDSTVA PO IZVORU </w:t>
            </w:r>
          </w:p>
        </w:tc>
        <w:tc>
          <w:tcPr>
            <w:tcW w:w="1213" w:type="pct"/>
            <w:vAlign w:val="center"/>
          </w:tcPr>
          <w:p w14:paraId="692008F5" w14:textId="29DB9415" w:rsidR="00715EB3" w:rsidRPr="005346B3" w:rsidRDefault="00715EB3" w:rsidP="00D36147">
            <w:pPr>
              <w:jc w:val="center"/>
              <w:rPr>
                <w:rFonts w:cs="Times New Roman"/>
                <w:b/>
                <w:bCs/>
                <w:sz w:val="20"/>
                <w:szCs w:val="18"/>
              </w:rPr>
            </w:pPr>
            <w:r w:rsidRPr="005346B3">
              <w:rPr>
                <w:rFonts w:cs="Times New Roman"/>
                <w:b/>
                <w:bCs/>
                <w:sz w:val="20"/>
                <w:szCs w:val="18"/>
              </w:rPr>
              <w:t>Državni proračun</w:t>
            </w:r>
            <w:r w:rsidR="00DF0290" w:rsidRPr="005346B3">
              <w:rPr>
                <w:rFonts w:cs="Times New Roman"/>
                <w:b/>
                <w:bCs/>
                <w:sz w:val="20"/>
                <w:szCs w:val="18"/>
              </w:rPr>
              <w:t xml:space="preserve"> </w:t>
            </w:r>
            <w:r w:rsidRPr="005346B3">
              <w:rPr>
                <w:rFonts w:cs="Times New Roman"/>
                <w:b/>
                <w:bCs/>
                <w:sz w:val="20"/>
                <w:szCs w:val="18"/>
              </w:rPr>
              <w:t>(</w:t>
            </w:r>
            <w:r w:rsidR="00B90CFC" w:rsidRPr="005346B3">
              <w:rPr>
                <w:rFonts w:cs="Times New Roman"/>
                <w:b/>
                <w:bCs/>
                <w:sz w:val="20"/>
                <w:szCs w:val="18"/>
              </w:rPr>
              <w:t>EUR</w:t>
            </w:r>
            <w:r w:rsidRPr="005346B3">
              <w:rPr>
                <w:rFonts w:cs="Times New Roman"/>
                <w:b/>
                <w:bCs/>
                <w:sz w:val="20"/>
                <w:szCs w:val="18"/>
              </w:rPr>
              <w:t>)</w:t>
            </w:r>
          </w:p>
        </w:tc>
        <w:tc>
          <w:tcPr>
            <w:tcW w:w="1137" w:type="pct"/>
            <w:vAlign w:val="center"/>
          </w:tcPr>
          <w:p w14:paraId="0D049744" w14:textId="61EF57EE" w:rsidR="00715EB3" w:rsidRPr="005346B3" w:rsidRDefault="00715EB3" w:rsidP="00D36147">
            <w:pPr>
              <w:jc w:val="center"/>
              <w:rPr>
                <w:rFonts w:cs="Times New Roman"/>
                <w:b/>
                <w:bCs/>
                <w:sz w:val="20"/>
                <w:szCs w:val="18"/>
              </w:rPr>
            </w:pPr>
            <w:r w:rsidRPr="005346B3">
              <w:rPr>
                <w:rFonts w:cs="Times New Roman"/>
                <w:b/>
                <w:bCs/>
                <w:sz w:val="20"/>
                <w:szCs w:val="18"/>
              </w:rPr>
              <w:t>EU financiranje</w:t>
            </w:r>
            <w:r w:rsidR="00DF0290" w:rsidRPr="005346B3">
              <w:rPr>
                <w:rFonts w:cs="Times New Roman"/>
                <w:b/>
                <w:bCs/>
                <w:sz w:val="20"/>
                <w:szCs w:val="18"/>
              </w:rPr>
              <w:t xml:space="preserve"> </w:t>
            </w:r>
            <w:r w:rsidRPr="005346B3">
              <w:rPr>
                <w:rFonts w:cs="Times New Roman"/>
                <w:b/>
                <w:bCs/>
                <w:sz w:val="20"/>
                <w:szCs w:val="18"/>
              </w:rPr>
              <w:t>(</w:t>
            </w:r>
            <w:r w:rsidR="00B90CFC" w:rsidRPr="005346B3">
              <w:rPr>
                <w:rFonts w:cs="Times New Roman"/>
                <w:b/>
                <w:bCs/>
                <w:sz w:val="20"/>
                <w:szCs w:val="18"/>
              </w:rPr>
              <w:t>EUR</w:t>
            </w:r>
            <w:r w:rsidRPr="005346B3">
              <w:rPr>
                <w:rFonts w:cs="Times New Roman"/>
                <w:b/>
                <w:bCs/>
                <w:sz w:val="20"/>
                <w:szCs w:val="18"/>
              </w:rPr>
              <w:t>)</w:t>
            </w:r>
          </w:p>
        </w:tc>
        <w:tc>
          <w:tcPr>
            <w:tcW w:w="1137" w:type="pct"/>
            <w:vAlign w:val="center"/>
          </w:tcPr>
          <w:p w14:paraId="042BD3A3" w14:textId="2FB52FD7" w:rsidR="00715EB3" w:rsidRPr="005346B3" w:rsidRDefault="00715EB3" w:rsidP="00D36147">
            <w:pPr>
              <w:jc w:val="center"/>
              <w:rPr>
                <w:rFonts w:cs="Times New Roman"/>
                <w:b/>
                <w:bCs/>
                <w:sz w:val="20"/>
                <w:szCs w:val="18"/>
              </w:rPr>
            </w:pPr>
            <w:r w:rsidRPr="005346B3">
              <w:rPr>
                <w:rFonts w:cs="Times New Roman"/>
                <w:b/>
                <w:bCs/>
                <w:sz w:val="20"/>
                <w:szCs w:val="18"/>
              </w:rPr>
              <w:t>Drugi izvori</w:t>
            </w:r>
            <w:r w:rsidR="00DF0290" w:rsidRPr="005346B3">
              <w:rPr>
                <w:rFonts w:cs="Times New Roman"/>
                <w:b/>
                <w:bCs/>
                <w:sz w:val="20"/>
                <w:szCs w:val="18"/>
              </w:rPr>
              <w:t xml:space="preserve"> </w:t>
            </w:r>
            <w:r w:rsidRPr="005346B3">
              <w:rPr>
                <w:rFonts w:cs="Times New Roman"/>
                <w:b/>
                <w:bCs/>
                <w:sz w:val="20"/>
                <w:szCs w:val="18"/>
              </w:rPr>
              <w:t>(</w:t>
            </w:r>
            <w:r w:rsidR="00B90CFC" w:rsidRPr="005346B3">
              <w:rPr>
                <w:rFonts w:cs="Times New Roman"/>
                <w:b/>
                <w:bCs/>
                <w:sz w:val="20"/>
                <w:szCs w:val="18"/>
              </w:rPr>
              <w:t>EUR</w:t>
            </w:r>
            <w:r w:rsidRPr="005346B3">
              <w:rPr>
                <w:rFonts w:cs="Times New Roman"/>
                <w:b/>
                <w:bCs/>
                <w:sz w:val="20"/>
                <w:szCs w:val="18"/>
              </w:rPr>
              <w:t>)</w:t>
            </w:r>
          </w:p>
        </w:tc>
      </w:tr>
      <w:tr w:rsidR="00CE622A" w:rsidRPr="00CE622A" w14:paraId="5B74FDE8" w14:textId="77777777" w:rsidTr="00CA40F2">
        <w:tc>
          <w:tcPr>
            <w:tcW w:w="1513" w:type="pct"/>
            <w:vMerge/>
            <w:shd w:val="clear" w:color="auto" w:fill="F2F2F2" w:themeFill="background1" w:themeFillShade="F2"/>
            <w:vAlign w:val="center"/>
          </w:tcPr>
          <w:p w14:paraId="0ABB8A25" w14:textId="77777777" w:rsidR="00545EC2" w:rsidRPr="005346B3" w:rsidRDefault="00545EC2" w:rsidP="00D36147">
            <w:pPr>
              <w:rPr>
                <w:rFonts w:cs="Times New Roman"/>
                <w:b/>
                <w:bCs/>
                <w:sz w:val="20"/>
                <w:szCs w:val="18"/>
              </w:rPr>
            </w:pPr>
          </w:p>
        </w:tc>
        <w:tc>
          <w:tcPr>
            <w:tcW w:w="1213" w:type="pct"/>
            <w:vAlign w:val="center"/>
          </w:tcPr>
          <w:p w14:paraId="6C214D07" w14:textId="0E2E876D" w:rsidR="00FB51D3" w:rsidRPr="005346B3" w:rsidRDefault="00FB51D3" w:rsidP="00D36147">
            <w:pPr>
              <w:jc w:val="center"/>
              <w:rPr>
                <w:rFonts w:cs="Times New Roman"/>
                <w:sz w:val="20"/>
                <w:szCs w:val="18"/>
              </w:rPr>
            </w:pPr>
            <w:r w:rsidRPr="005346B3">
              <w:rPr>
                <w:rFonts w:cs="Times New Roman"/>
                <w:sz w:val="20"/>
                <w:szCs w:val="18"/>
              </w:rPr>
              <w:t>A513041</w:t>
            </w:r>
            <w:r w:rsidR="003F4918" w:rsidRPr="005346B3">
              <w:rPr>
                <w:rFonts w:cs="Times New Roman"/>
                <w:sz w:val="20"/>
                <w:szCs w:val="18"/>
              </w:rPr>
              <w:t xml:space="preserve"> </w:t>
            </w:r>
            <w:r w:rsidR="00CD78EF" w:rsidRPr="005346B3">
              <w:rPr>
                <w:rFonts w:cs="Times New Roman"/>
                <w:sz w:val="20"/>
                <w:szCs w:val="18"/>
              </w:rPr>
              <w:t xml:space="preserve">- </w:t>
            </w:r>
            <w:r w:rsidR="005961FF" w:rsidRPr="005346B3">
              <w:rPr>
                <w:rFonts w:cs="Times New Roman"/>
                <w:sz w:val="20"/>
                <w:szCs w:val="18"/>
              </w:rPr>
              <w:t>NPUR</w:t>
            </w:r>
          </w:p>
          <w:p w14:paraId="57AF6EDA" w14:textId="78629AEB" w:rsidR="00545EC2" w:rsidRPr="005346B3" w:rsidRDefault="00125194" w:rsidP="003462D1">
            <w:pPr>
              <w:jc w:val="center"/>
              <w:rPr>
                <w:rFonts w:cs="Times New Roman"/>
                <w:b/>
                <w:bCs/>
                <w:sz w:val="20"/>
                <w:szCs w:val="18"/>
              </w:rPr>
            </w:pPr>
            <w:r w:rsidRPr="005346B3">
              <w:rPr>
                <w:rFonts w:cs="Times New Roman"/>
                <w:b/>
                <w:sz w:val="20"/>
                <w:szCs w:val="18"/>
              </w:rPr>
              <w:t>2</w:t>
            </w:r>
            <w:r w:rsidR="003462D1" w:rsidRPr="005346B3">
              <w:rPr>
                <w:rFonts w:cs="Times New Roman"/>
                <w:b/>
                <w:sz w:val="20"/>
                <w:szCs w:val="18"/>
              </w:rPr>
              <w:t>17.473,15</w:t>
            </w:r>
            <w:r w:rsidRPr="005346B3" w:rsidDel="00125194">
              <w:rPr>
                <w:rFonts w:cs="Times New Roman"/>
                <w:b/>
                <w:sz w:val="20"/>
                <w:szCs w:val="18"/>
              </w:rPr>
              <w:t xml:space="preserve"> </w:t>
            </w:r>
          </w:p>
        </w:tc>
        <w:tc>
          <w:tcPr>
            <w:tcW w:w="1137" w:type="pct"/>
            <w:vAlign w:val="center"/>
          </w:tcPr>
          <w:p w14:paraId="003C90FE" w14:textId="351DA351" w:rsidR="00545EC2" w:rsidRPr="005346B3" w:rsidRDefault="00545EC2" w:rsidP="00D36147">
            <w:pPr>
              <w:jc w:val="center"/>
              <w:rPr>
                <w:rFonts w:cs="Times New Roman"/>
                <w:bCs/>
                <w:sz w:val="20"/>
                <w:szCs w:val="18"/>
              </w:rPr>
            </w:pPr>
            <w:r w:rsidRPr="005346B3">
              <w:rPr>
                <w:rFonts w:cs="Times New Roman"/>
                <w:bCs/>
                <w:sz w:val="20"/>
                <w:szCs w:val="18"/>
              </w:rPr>
              <w:t xml:space="preserve">0,00 </w:t>
            </w:r>
          </w:p>
        </w:tc>
        <w:tc>
          <w:tcPr>
            <w:tcW w:w="1137" w:type="pct"/>
            <w:vAlign w:val="center"/>
          </w:tcPr>
          <w:p w14:paraId="2E93140D" w14:textId="4D0F267A" w:rsidR="00545EC2" w:rsidRPr="005346B3" w:rsidRDefault="00545EC2" w:rsidP="00D36147">
            <w:pPr>
              <w:jc w:val="center"/>
              <w:rPr>
                <w:rFonts w:cs="Times New Roman"/>
                <w:bCs/>
                <w:sz w:val="20"/>
                <w:szCs w:val="18"/>
              </w:rPr>
            </w:pPr>
            <w:r w:rsidRPr="005346B3">
              <w:rPr>
                <w:rFonts w:cs="Times New Roman"/>
                <w:bCs/>
                <w:sz w:val="20"/>
                <w:szCs w:val="18"/>
              </w:rPr>
              <w:t>0,00</w:t>
            </w:r>
          </w:p>
        </w:tc>
      </w:tr>
      <w:tr w:rsidR="00CE622A" w:rsidRPr="00CE622A" w14:paraId="7AAC76EE" w14:textId="77777777" w:rsidTr="00CA40F2">
        <w:trPr>
          <w:trHeight w:val="413"/>
        </w:trPr>
        <w:tc>
          <w:tcPr>
            <w:tcW w:w="1513" w:type="pct"/>
            <w:shd w:val="clear" w:color="auto" w:fill="F2F2F2" w:themeFill="background1" w:themeFillShade="F2"/>
            <w:vAlign w:val="center"/>
          </w:tcPr>
          <w:p w14:paraId="323D8493" w14:textId="119A7969" w:rsidR="00715EB3" w:rsidRPr="003462D1" w:rsidRDefault="00715EB3" w:rsidP="00D36147">
            <w:pPr>
              <w:rPr>
                <w:rFonts w:cs="Times New Roman"/>
                <w:sz w:val="20"/>
                <w:szCs w:val="18"/>
              </w:rPr>
            </w:pPr>
            <w:r w:rsidRPr="003462D1">
              <w:rPr>
                <w:rFonts w:cs="Times New Roman"/>
                <w:sz w:val="20"/>
                <w:szCs w:val="18"/>
              </w:rPr>
              <w:t xml:space="preserve">ROK PROVEDBE AKTIVNOSTI </w:t>
            </w:r>
          </w:p>
        </w:tc>
        <w:tc>
          <w:tcPr>
            <w:tcW w:w="3487" w:type="pct"/>
            <w:gridSpan w:val="3"/>
            <w:vAlign w:val="center"/>
          </w:tcPr>
          <w:p w14:paraId="7D13C654" w14:textId="62840F26" w:rsidR="00715EB3" w:rsidRPr="003462D1" w:rsidRDefault="005961FF" w:rsidP="00D36147">
            <w:pPr>
              <w:rPr>
                <w:rFonts w:cs="Times New Roman"/>
                <w:sz w:val="20"/>
                <w:szCs w:val="18"/>
              </w:rPr>
            </w:pPr>
            <w:r w:rsidRPr="003462D1">
              <w:rPr>
                <w:rFonts w:cs="Times New Roman"/>
                <w:sz w:val="20"/>
                <w:szCs w:val="18"/>
              </w:rPr>
              <w:t>IV. kvartal 2025.</w:t>
            </w:r>
          </w:p>
        </w:tc>
      </w:tr>
      <w:bookmarkEnd w:id="30"/>
    </w:tbl>
    <w:p w14:paraId="1BDFF62E" w14:textId="7AD0688B" w:rsidR="00DF0290" w:rsidRDefault="00DF0290" w:rsidP="004A3B23">
      <w:pPr>
        <w:spacing w:after="0" w:line="276" w:lineRule="auto"/>
        <w:jc w:val="both"/>
        <w:rPr>
          <w:rFonts w:cs="Times New Roman"/>
          <w:i/>
          <w:iCs/>
          <w:szCs w:val="24"/>
        </w:rPr>
      </w:pPr>
    </w:p>
    <w:p w14:paraId="28478D31" w14:textId="77777777" w:rsidR="005346B3" w:rsidRPr="003462D1" w:rsidRDefault="005346B3" w:rsidP="004A3B23">
      <w:pPr>
        <w:spacing w:after="0" w:line="276" w:lineRule="auto"/>
        <w:jc w:val="both"/>
        <w:rPr>
          <w:rFonts w:cs="Times New Roman"/>
          <w:i/>
          <w:iCs/>
          <w:szCs w:val="24"/>
        </w:rPr>
      </w:pPr>
    </w:p>
    <w:p w14:paraId="6D3C810C" w14:textId="7B8C28B3" w:rsidR="00024EF9" w:rsidRPr="003462D1" w:rsidRDefault="00E1104B" w:rsidP="00AB12E9">
      <w:pPr>
        <w:spacing w:after="0" w:line="276" w:lineRule="auto"/>
        <w:jc w:val="both"/>
        <w:rPr>
          <w:rFonts w:cs="Times New Roman"/>
          <w:i/>
          <w:iCs/>
        </w:rPr>
      </w:pPr>
      <w:r w:rsidRPr="003462D1">
        <w:rPr>
          <w:rFonts w:cs="Times New Roman"/>
          <w:i/>
          <w:iCs/>
          <w:szCs w:val="24"/>
        </w:rPr>
        <w:t xml:space="preserve">Aktivnost </w:t>
      </w:r>
      <w:r w:rsidRPr="003462D1">
        <w:rPr>
          <w:rFonts w:cs="Times New Roman"/>
          <w:i/>
          <w:iCs/>
        </w:rPr>
        <w:t>3</w:t>
      </w:r>
      <w:r w:rsidR="00056BCB" w:rsidRPr="003462D1">
        <w:rPr>
          <w:rFonts w:cs="Times New Roman"/>
          <w:i/>
          <w:iCs/>
        </w:rPr>
        <w:t>.1.</w:t>
      </w:r>
      <w:r w:rsidR="00B40118" w:rsidRPr="003462D1">
        <w:rPr>
          <w:rFonts w:cs="Times New Roman"/>
          <w:i/>
          <w:iCs/>
        </w:rPr>
        <w:t>3</w:t>
      </w:r>
      <w:r w:rsidR="00056BCB" w:rsidRPr="003462D1">
        <w:rPr>
          <w:rFonts w:cs="Times New Roman"/>
          <w:i/>
          <w:iCs/>
        </w:rPr>
        <w:t>.</w:t>
      </w:r>
      <w:r w:rsidRPr="003462D1">
        <w:rPr>
          <w:rFonts w:cs="Times New Roman"/>
          <w:i/>
          <w:iCs/>
        </w:rPr>
        <w:t xml:space="preserve"> </w:t>
      </w:r>
      <w:r w:rsidR="00056BCB" w:rsidRPr="003462D1">
        <w:rPr>
          <w:rFonts w:cs="Times New Roman"/>
          <w:i/>
          <w:iCs/>
        </w:rPr>
        <w:t>Osnaživanje horizontalne i vertikalne koordinacije te kapaciteta za praćenje provedbe Nacional</w:t>
      </w:r>
      <w:r w:rsidR="00024EF9" w:rsidRPr="003462D1">
        <w:rPr>
          <w:rFonts w:cs="Times New Roman"/>
          <w:i/>
          <w:iCs/>
        </w:rPr>
        <w:t>nog plana za uključivanje Roma</w:t>
      </w:r>
    </w:p>
    <w:p w14:paraId="54B7D95F" w14:textId="51F415AA" w:rsidR="00056BCB" w:rsidRPr="003462D1" w:rsidRDefault="00024EF9" w:rsidP="00D36147">
      <w:pPr>
        <w:spacing w:after="0" w:line="276" w:lineRule="auto"/>
        <w:jc w:val="both"/>
        <w:rPr>
          <w:rFonts w:cs="Times New Roman"/>
          <w:i/>
          <w:iCs/>
        </w:rPr>
      </w:pPr>
      <w:r w:rsidRPr="003462D1">
        <w:rPr>
          <w:rFonts w:cs="Times New Roman"/>
          <w:i/>
          <w:iCs/>
        </w:rPr>
        <w:t xml:space="preserve">Nositelj provedbe: </w:t>
      </w:r>
      <w:r w:rsidR="00056BCB" w:rsidRPr="003462D1">
        <w:rPr>
          <w:rFonts w:cs="Times New Roman"/>
          <w:i/>
          <w:iCs/>
        </w:rPr>
        <w:t>Ured</w:t>
      </w:r>
      <w:r w:rsidR="005F4F41">
        <w:rPr>
          <w:rFonts w:cs="Times New Roman"/>
          <w:i/>
          <w:iCs/>
        </w:rPr>
        <w:t xml:space="preserve"> za ljudska prava i prava nacionalnih manjina</w:t>
      </w:r>
      <w:r w:rsidR="00056BCB" w:rsidRPr="003462D1">
        <w:rPr>
          <w:rFonts w:cs="Times New Roman"/>
          <w:i/>
          <w:iCs/>
        </w:rPr>
        <w:t xml:space="preserve"> </w:t>
      </w:r>
    </w:p>
    <w:p w14:paraId="3D03E703" w14:textId="77777777" w:rsidR="001F38E0" w:rsidRPr="003462D1" w:rsidRDefault="001F38E0" w:rsidP="00D36147">
      <w:pPr>
        <w:spacing w:after="0" w:line="276" w:lineRule="auto"/>
        <w:jc w:val="both"/>
        <w:rPr>
          <w:rFonts w:cs="Times New Roman"/>
        </w:rPr>
      </w:pPr>
    </w:p>
    <w:p w14:paraId="634B7DA0" w14:textId="2C525122" w:rsidR="0046403A" w:rsidRPr="005346B3" w:rsidRDefault="000847C5" w:rsidP="0046403A">
      <w:pPr>
        <w:jc w:val="both"/>
        <w:rPr>
          <w:rFonts w:cs="Times New Roman"/>
          <w:szCs w:val="24"/>
        </w:rPr>
      </w:pPr>
      <w:r w:rsidRPr="003462D1">
        <w:rPr>
          <w:rFonts w:cs="Times New Roman"/>
        </w:rPr>
        <w:t xml:space="preserve">Vlada Republike Hrvatske je na sjednici </w:t>
      </w:r>
      <w:r w:rsidRPr="005346B3">
        <w:rPr>
          <w:rFonts w:cs="Times New Roman"/>
        </w:rPr>
        <w:t>održanoj 23. lipnja 2021.</w:t>
      </w:r>
      <w:r w:rsidR="003379F1">
        <w:rPr>
          <w:rFonts w:cs="Times New Roman"/>
        </w:rPr>
        <w:t xml:space="preserve"> </w:t>
      </w:r>
      <w:r w:rsidRPr="005346B3">
        <w:rPr>
          <w:rFonts w:cs="Times New Roman"/>
        </w:rPr>
        <w:t xml:space="preserve">donijela </w:t>
      </w:r>
      <w:r w:rsidR="003379F1">
        <w:rPr>
          <w:rFonts w:cs="Times New Roman"/>
        </w:rPr>
        <w:t>O</w:t>
      </w:r>
      <w:r w:rsidRPr="005346B3">
        <w:rPr>
          <w:rFonts w:cs="Times New Roman"/>
        </w:rPr>
        <w:t>dluku o osnivanju Povjerenstva, a n</w:t>
      </w:r>
      <w:r w:rsidRPr="005346B3">
        <w:rPr>
          <w:rFonts w:cs="Times New Roman"/>
          <w:szCs w:val="24"/>
        </w:rPr>
        <w:t>akon provedenih parlamentarnih izbora, na sjednici održanoj 1. kolovoza</w:t>
      </w:r>
      <w:r w:rsidR="00E93A94">
        <w:rPr>
          <w:rFonts w:cs="Times New Roman"/>
          <w:szCs w:val="24"/>
        </w:rPr>
        <w:t xml:space="preserve"> 2024.</w:t>
      </w:r>
      <w:r w:rsidRPr="005346B3">
        <w:rPr>
          <w:rFonts w:cs="Times New Roman"/>
          <w:szCs w:val="24"/>
        </w:rPr>
        <w:t xml:space="preserve"> Vlada Republike Hrvatske je donijela Odluku </w:t>
      </w:r>
      <w:r w:rsidRPr="005346B3">
        <w:rPr>
          <w:rFonts w:cs="Times New Roman"/>
          <w:szCs w:val="24"/>
          <w:shd w:val="clear" w:color="auto" w:fill="FFFFFF"/>
        </w:rPr>
        <w:t>o izmjenama Odluke o osnivanju Povjerenstva te razrješenjima i imenovanjima predsjednice i predsjednika, dijela članova i zamjene članova Povjerenstva. Predsjednik Povjerenstva je dr.</w:t>
      </w:r>
      <w:r w:rsidR="00E93A94">
        <w:rPr>
          <w:rFonts w:cs="Times New Roman"/>
          <w:szCs w:val="24"/>
          <w:shd w:val="clear" w:color="auto" w:fill="FFFFFF"/>
        </w:rPr>
        <w:t xml:space="preserve"> </w:t>
      </w:r>
      <w:proofErr w:type="spellStart"/>
      <w:r w:rsidRPr="005346B3">
        <w:rPr>
          <w:rFonts w:cs="Times New Roman"/>
          <w:szCs w:val="24"/>
          <w:shd w:val="clear" w:color="auto" w:fill="FFFFFF"/>
        </w:rPr>
        <w:t>sc</w:t>
      </w:r>
      <w:proofErr w:type="spellEnd"/>
      <w:r w:rsidRPr="005346B3">
        <w:rPr>
          <w:rFonts w:cs="Times New Roman"/>
          <w:szCs w:val="24"/>
          <w:shd w:val="clear" w:color="auto" w:fill="FFFFFF"/>
        </w:rPr>
        <w:t xml:space="preserve">. Davor Božinović, potpredsjednik Vlade Republike Hrvatske i ministar unutarnjih poslova, a zamjenik </w:t>
      </w:r>
      <w:r w:rsidRPr="005346B3">
        <w:rPr>
          <w:rFonts w:cs="Times New Roman"/>
        </w:rPr>
        <w:t>predsjednika Povjerenstva je g. Veljko Kajtazi, zastupnik u Hrvatskome saboru.</w:t>
      </w:r>
      <w:r w:rsidRPr="005346B3">
        <w:rPr>
          <w:rFonts w:cs="Times New Roman"/>
          <w:szCs w:val="24"/>
          <w:shd w:val="clear" w:color="auto" w:fill="FFFFFF"/>
        </w:rPr>
        <w:t xml:space="preserve"> Temeljem navedenih </w:t>
      </w:r>
      <w:r w:rsidR="003379F1">
        <w:rPr>
          <w:rFonts w:cs="Times New Roman"/>
          <w:szCs w:val="24"/>
          <w:shd w:val="clear" w:color="auto" w:fill="FFFFFF"/>
        </w:rPr>
        <w:t>O</w:t>
      </w:r>
      <w:r w:rsidRPr="005346B3">
        <w:rPr>
          <w:rFonts w:cs="Times New Roman"/>
          <w:szCs w:val="24"/>
          <w:shd w:val="clear" w:color="auto" w:fill="FFFFFF"/>
        </w:rPr>
        <w:t>dluka, članovi Povjerenstva su na 23. sjednici Povjerenstva jednoglasno usvojili Odluku o razrješenju i imenovanju članova Radne skupine Povjerenstva za praćenje provedbe Nacionalnog plana za uključivanje Roma, za razdoblje od 2021. do 2027</w:t>
      </w:r>
      <w:r w:rsidR="0046403A" w:rsidRPr="005346B3">
        <w:rPr>
          <w:rFonts w:cs="Times New Roman"/>
          <w:szCs w:val="24"/>
          <w:shd w:val="clear" w:color="auto" w:fill="FFFFFF"/>
        </w:rPr>
        <w:t xml:space="preserve">. </w:t>
      </w:r>
    </w:p>
    <w:p w14:paraId="24877F51" w14:textId="6CFF5616" w:rsidR="0046403A" w:rsidRPr="005346B3" w:rsidRDefault="0046403A" w:rsidP="0046403A">
      <w:pPr>
        <w:spacing w:after="0" w:line="276" w:lineRule="auto"/>
        <w:jc w:val="both"/>
        <w:rPr>
          <w:rFonts w:cs="Times New Roman"/>
        </w:rPr>
      </w:pPr>
      <w:r w:rsidRPr="005346B3">
        <w:rPr>
          <w:rFonts w:cs="Times New Roman"/>
        </w:rPr>
        <w:t xml:space="preserve">Povjerenstvo čine predstavnici Ministarstva vanjskih i europskih poslova, Ministarstva znanosti, obrazovanja i mladih, Ministarstva regionalnoga razvoja i fondova Europske unije, Ministarstva rada, mirovinskoga sustava, obitelji i socijalne politike, Ministarstva prostornoga uređenja, graditeljstva i državne imovine, Ureda </w:t>
      </w:r>
      <w:r w:rsidR="005F4F41">
        <w:rPr>
          <w:rFonts w:cs="Times New Roman"/>
        </w:rPr>
        <w:t xml:space="preserve">za ljudska prava i prava nacionalnih manjina </w:t>
      </w:r>
      <w:r w:rsidRPr="005346B3">
        <w:rPr>
          <w:rFonts w:cs="Times New Roman"/>
        </w:rPr>
        <w:t xml:space="preserve">te sedam predstavnika romske nacionalne manjine koji su imenovani na prijedlog, nakon provedenog </w:t>
      </w:r>
      <w:r w:rsidR="003379F1">
        <w:rPr>
          <w:rFonts w:cs="Times New Roman"/>
        </w:rPr>
        <w:t>J</w:t>
      </w:r>
      <w:r w:rsidRPr="005346B3">
        <w:rPr>
          <w:rFonts w:cs="Times New Roman"/>
        </w:rPr>
        <w:t>avnog poziva. Ured obavlja stručne i administrativne poslove za Povjerenstvo i Radnu skupinu Povjerenstva</w:t>
      </w:r>
      <w:r w:rsidR="00E93A94">
        <w:rPr>
          <w:rFonts w:cs="Times New Roman"/>
        </w:rPr>
        <w:t>.</w:t>
      </w:r>
      <w:r w:rsidRPr="005346B3">
        <w:rPr>
          <w:rFonts w:cs="Times New Roman"/>
        </w:rPr>
        <w:t xml:space="preserve"> </w:t>
      </w:r>
    </w:p>
    <w:p w14:paraId="4484641F" w14:textId="1B17EF33" w:rsidR="001F38E0" w:rsidRPr="005346B3" w:rsidRDefault="001F38E0" w:rsidP="00D36147">
      <w:pPr>
        <w:spacing w:after="0" w:line="276" w:lineRule="auto"/>
        <w:jc w:val="both"/>
        <w:rPr>
          <w:rFonts w:cs="Times New Roman"/>
        </w:rPr>
      </w:pPr>
    </w:p>
    <w:p w14:paraId="4FDC96FE" w14:textId="5E943F5F" w:rsidR="0046403A" w:rsidRPr="005346B3" w:rsidRDefault="0046403A" w:rsidP="0046403A">
      <w:pPr>
        <w:jc w:val="both"/>
        <w:rPr>
          <w:rFonts w:cs="Times New Roman"/>
          <w:szCs w:val="24"/>
        </w:rPr>
      </w:pPr>
      <w:r w:rsidRPr="005346B3">
        <w:rPr>
          <w:rFonts w:cs="Times New Roman"/>
          <w:szCs w:val="24"/>
        </w:rPr>
        <w:t xml:space="preserve">Tijekom </w:t>
      </w:r>
      <w:r w:rsidRPr="001420C7">
        <w:rPr>
          <w:rFonts w:cs="Times New Roman"/>
          <w:szCs w:val="24"/>
        </w:rPr>
        <w:t xml:space="preserve">2024. </w:t>
      </w:r>
      <w:r w:rsidR="00E93A94">
        <w:rPr>
          <w:rFonts w:cs="Times New Roman"/>
          <w:szCs w:val="24"/>
        </w:rPr>
        <w:t xml:space="preserve">godine </w:t>
      </w:r>
      <w:r w:rsidRPr="001420C7">
        <w:rPr>
          <w:rFonts w:cs="Times New Roman"/>
          <w:szCs w:val="24"/>
        </w:rPr>
        <w:t>održane su dvije sjednice Povjerenstva</w:t>
      </w:r>
      <w:r w:rsidRPr="005346B3">
        <w:rPr>
          <w:rFonts w:cs="Times New Roman"/>
          <w:szCs w:val="24"/>
        </w:rPr>
        <w:t>: 10. rujna i 13. prosinca 2024.</w:t>
      </w:r>
    </w:p>
    <w:p w14:paraId="5C997A52" w14:textId="6F36873A" w:rsidR="0046403A" w:rsidRPr="005346B3" w:rsidRDefault="0046403A" w:rsidP="0046403A">
      <w:pPr>
        <w:jc w:val="both"/>
        <w:rPr>
          <w:rFonts w:cs="Times New Roman"/>
          <w:szCs w:val="24"/>
        </w:rPr>
      </w:pPr>
      <w:r w:rsidRPr="005346B3">
        <w:rPr>
          <w:rFonts w:cs="Times New Roman"/>
          <w:szCs w:val="24"/>
        </w:rPr>
        <w:t>Tijekom 2024</w:t>
      </w:r>
      <w:r w:rsidR="00E93A94">
        <w:rPr>
          <w:rFonts w:cs="Times New Roman"/>
          <w:szCs w:val="24"/>
        </w:rPr>
        <w:t>. godine</w:t>
      </w:r>
      <w:r w:rsidRPr="005346B3">
        <w:rPr>
          <w:rFonts w:cs="Times New Roman"/>
          <w:szCs w:val="24"/>
        </w:rPr>
        <w:t xml:space="preserve"> održano je pet sastanaka Radne skupine Povjerenstva: 25. ožujka, 27. kolovoza, 5. rujna, 11. prosinca i 12. prosinca 2024.</w:t>
      </w:r>
    </w:p>
    <w:p w14:paraId="00403918" w14:textId="647FFE7E" w:rsidR="0046403A" w:rsidRDefault="00D463F2" w:rsidP="00D36147">
      <w:pPr>
        <w:spacing w:after="0" w:line="276" w:lineRule="auto"/>
        <w:jc w:val="both"/>
        <w:rPr>
          <w:rFonts w:cs="Times New Roman"/>
          <w:color w:val="FF0000"/>
        </w:rPr>
      </w:pPr>
      <w:r w:rsidRPr="005346B3">
        <w:rPr>
          <w:rFonts w:cs="Times New Roman"/>
          <w:szCs w:val="24"/>
          <w:shd w:val="clear" w:color="auto" w:fill="FFFFFF"/>
        </w:rPr>
        <w:t xml:space="preserve">Između ostaloga, u 2024. </w:t>
      </w:r>
      <w:r w:rsidR="00E93A94">
        <w:rPr>
          <w:rFonts w:cs="Times New Roman"/>
          <w:szCs w:val="24"/>
          <w:shd w:val="clear" w:color="auto" w:fill="FFFFFF"/>
        </w:rPr>
        <w:t xml:space="preserve">godini </w:t>
      </w:r>
      <w:r w:rsidRPr="005346B3">
        <w:rPr>
          <w:rFonts w:cs="Times New Roman"/>
          <w:szCs w:val="24"/>
          <w:shd w:val="clear" w:color="auto" w:fill="FFFFFF"/>
        </w:rPr>
        <w:t xml:space="preserve">Povjerenstvo je raspravljalo i o tijeku provedbe Godišnjeg programa unapređenja životnih uvjeta pripadnika romske nacionalne manjine za 2024. godinu, Nacrtu izvješća za 2023. </w:t>
      </w:r>
      <w:r w:rsidR="00E93A94">
        <w:rPr>
          <w:rFonts w:cs="Times New Roman"/>
          <w:szCs w:val="24"/>
          <w:shd w:val="clear" w:color="auto" w:fill="FFFFFF"/>
        </w:rPr>
        <w:t xml:space="preserve">godinu </w:t>
      </w:r>
      <w:r w:rsidRPr="005346B3">
        <w:rPr>
          <w:rFonts w:cs="Times New Roman"/>
          <w:szCs w:val="24"/>
          <w:shd w:val="clear" w:color="auto" w:fill="FFFFFF"/>
        </w:rPr>
        <w:t xml:space="preserve">o provođenju Akcijskog plana za provedbu Nacionalnog plana za uključivanje Roma, za razdoblje od 2021. do 2027., od 2023. do 2025. te segregaciji pripadnika romske nacionalne manjine u obrazovanju. </w:t>
      </w:r>
      <w:r w:rsidRPr="005346B3">
        <w:rPr>
          <w:rFonts w:cs="Times New Roman"/>
          <w:szCs w:val="24"/>
        </w:rPr>
        <w:t>Članovi Povjerenstva su također jednoglasno usvojili Zaključak Povjerenstva vezan za Javni poziv za sanaciju ilegalnih odlagališta otpada Fonda za zaštitu okoliša i energetsku učinkovitost. Povjerenstvo podržava nastavak saniranja postojećih ilegalnih odlagališta otpada u romskim naseljima, kontinuiranog odvoza otpada te izgradnje potrebne komunalne infrastrukture, sukladno aktivnosti 6.18.</w:t>
      </w:r>
      <w:r w:rsidR="00E93A94">
        <w:rPr>
          <w:rFonts w:cs="Times New Roman"/>
          <w:szCs w:val="24"/>
        </w:rPr>
        <w:t xml:space="preserve"> </w:t>
      </w:r>
      <w:r w:rsidRPr="005346B3">
        <w:rPr>
          <w:rFonts w:cs="Times New Roman"/>
          <w:szCs w:val="24"/>
        </w:rPr>
        <w:t xml:space="preserve">Operativnih programa nacionalnih manjina za razdoblje </w:t>
      </w:r>
      <w:r w:rsidRPr="00910F16">
        <w:rPr>
          <w:rFonts w:cs="Times New Roman"/>
          <w:szCs w:val="24"/>
        </w:rPr>
        <w:t xml:space="preserve">2024. </w:t>
      </w:r>
      <w:r>
        <w:rPr>
          <w:rFonts w:cs="Times New Roman"/>
          <w:szCs w:val="24"/>
        </w:rPr>
        <w:t>–</w:t>
      </w:r>
      <w:r w:rsidRPr="00910F16">
        <w:rPr>
          <w:rFonts w:cs="Times New Roman"/>
          <w:szCs w:val="24"/>
        </w:rPr>
        <w:t xml:space="preserve"> 2028</w:t>
      </w:r>
      <w:r>
        <w:rPr>
          <w:rFonts w:cs="Times New Roman"/>
          <w:szCs w:val="24"/>
        </w:rPr>
        <w:t xml:space="preserve">. </w:t>
      </w:r>
    </w:p>
    <w:p w14:paraId="5A73AB5C" w14:textId="77777777" w:rsidR="00807154" w:rsidRPr="005346B3" w:rsidRDefault="00807154" w:rsidP="00D36147">
      <w:pPr>
        <w:spacing w:after="0" w:line="276" w:lineRule="auto"/>
        <w:jc w:val="both"/>
        <w:rPr>
          <w:rFonts w:cs="Times New Roman"/>
          <w:color w:val="FF0000"/>
        </w:rPr>
      </w:pPr>
    </w:p>
    <w:p w14:paraId="492FEB18" w14:textId="5912ECC2" w:rsidR="00D463F2" w:rsidRPr="005346B3" w:rsidRDefault="00D463F2" w:rsidP="00D463F2">
      <w:pPr>
        <w:jc w:val="both"/>
        <w:rPr>
          <w:rFonts w:cs="Times New Roman"/>
          <w:szCs w:val="24"/>
        </w:rPr>
      </w:pPr>
      <w:r w:rsidRPr="005346B3">
        <w:rPr>
          <w:rFonts w:cs="Times New Roman"/>
          <w:szCs w:val="24"/>
        </w:rPr>
        <w:t>Ukupno je u 2024.</w:t>
      </w:r>
      <w:r w:rsidR="003379F1">
        <w:rPr>
          <w:rFonts w:cs="Times New Roman"/>
          <w:szCs w:val="24"/>
        </w:rPr>
        <w:t xml:space="preserve"> </w:t>
      </w:r>
      <w:r w:rsidR="00E93A94">
        <w:rPr>
          <w:rFonts w:cs="Times New Roman"/>
          <w:szCs w:val="24"/>
        </w:rPr>
        <w:t xml:space="preserve">godini </w:t>
      </w:r>
      <w:r w:rsidRPr="005346B3">
        <w:rPr>
          <w:rFonts w:cs="Times New Roman"/>
          <w:szCs w:val="24"/>
        </w:rPr>
        <w:t xml:space="preserve">utrošeno </w:t>
      </w:r>
      <w:r w:rsidR="006C7FE9" w:rsidRPr="005346B3">
        <w:rPr>
          <w:rFonts w:cs="Times New Roman"/>
          <w:szCs w:val="24"/>
        </w:rPr>
        <w:t xml:space="preserve">1.525,84 </w:t>
      </w:r>
      <w:r w:rsidR="003379F1">
        <w:rPr>
          <w:rFonts w:cs="Times New Roman"/>
          <w:szCs w:val="24"/>
        </w:rPr>
        <w:t>EUR</w:t>
      </w:r>
      <w:r w:rsidR="003379F1" w:rsidRPr="005346B3">
        <w:rPr>
          <w:rFonts w:cs="Times New Roman"/>
          <w:szCs w:val="24"/>
        </w:rPr>
        <w:t xml:space="preserve"> </w:t>
      </w:r>
      <w:r w:rsidR="006C7FE9" w:rsidRPr="005346B3">
        <w:rPr>
          <w:rFonts w:cs="Times New Roman"/>
          <w:szCs w:val="24"/>
        </w:rPr>
        <w:t>za rad Povjerenstva</w:t>
      </w:r>
      <w:r w:rsidR="00E93A94">
        <w:rPr>
          <w:rFonts w:cs="Times New Roman"/>
          <w:szCs w:val="24"/>
        </w:rPr>
        <w:t>,</w:t>
      </w:r>
      <w:r w:rsidR="006C7FE9" w:rsidRPr="005346B3">
        <w:rPr>
          <w:rFonts w:cs="Times New Roman"/>
          <w:szCs w:val="24"/>
        </w:rPr>
        <w:t xml:space="preserve"> a </w:t>
      </w:r>
      <w:r w:rsidRPr="005346B3">
        <w:rPr>
          <w:rFonts w:cs="Times New Roman"/>
          <w:szCs w:val="24"/>
        </w:rPr>
        <w:t>putem Povjerenstva 475.841,68 EUR. Od navedenog iznosa 204.000,24 EUR utrošeno je temeljem Suglasnosti na raspodjelu financijskih sredstava za romsku nacionalnu manjinu, a 271.841,44 EUR temeljem Suglasnosti na raspodjelu financijskih sredstava za Javni poziv.</w:t>
      </w:r>
    </w:p>
    <w:p w14:paraId="4C9250FA" w14:textId="77777777" w:rsidR="007235B8" w:rsidRPr="005346B3" w:rsidRDefault="007235B8" w:rsidP="007235B8">
      <w:pPr>
        <w:spacing w:after="0" w:line="276" w:lineRule="auto"/>
        <w:jc w:val="both"/>
        <w:rPr>
          <w:rFonts w:cs="Times New Roman"/>
          <w:color w:val="FF0000"/>
        </w:rPr>
      </w:pPr>
    </w:p>
    <w:p w14:paraId="55BA365B" w14:textId="0638BF84" w:rsidR="00D463F2" w:rsidRPr="005346B3" w:rsidRDefault="007235B8" w:rsidP="00D463F2">
      <w:pPr>
        <w:jc w:val="both"/>
        <w:rPr>
          <w:rFonts w:cs="Times New Roman"/>
          <w:szCs w:val="24"/>
        </w:rPr>
      </w:pPr>
      <w:r w:rsidRPr="005346B3">
        <w:rPr>
          <w:rFonts w:cs="Times New Roman"/>
          <w:szCs w:val="24"/>
        </w:rPr>
        <w:lastRenderedPageBreak/>
        <w:t xml:space="preserve">Dodatne informacije o radu Povjerenstva nalaze se i u </w:t>
      </w:r>
      <w:r w:rsidR="005346B3">
        <w:rPr>
          <w:rFonts w:cs="Times New Roman"/>
          <w:szCs w:val="24"/>
        </w:rPr>
        <w:t xml:space="preserve">izvješću o provedbi </w:t>
      </w:r>
      <w:r w:rsidRPr="005346B3">
        <w:rPr>
          <w:rFonts w:cs="Times New Roman"/>
          <w:szCs w:val="24"/>
        </w:rPr>
        <w:t>aktivnosti 3.1.2., 4.3.15. te 7.1.2.</w:t>
      </w:r>
    </w:p>
    <w:p w14:paraId="5CEE2439" w14:textId="77777777" w:rsidR="00664C9A" w:rsidRPr="00F46FC0" w:rsidRDefault="00664C9A" w:rsidP="00D36147">
      <w:pPr>
        <w:spacing w:after="0" w:line="276" w:lineRule="auto"/>
        <w:jc w:val="both"/>
        <w:rPr>
          <w:rFonts w:cs="Times New Roman"/>
        </w:rPr>
      </w:pPr>
    </w:p>
    <w:tbl>
      <w:tblPr>
        <w:tblStyle w:val="TableGrid"/>
        <w:tblpPr w:leftFromText="180" w:rightFromText="180" w:vertAnchor="text" w:horzAnchor="margin" w:tblpY="194"/>
        <w:tblW w:w="5000" w:type="pct"/>
        <w:tblLayout w:type="fixed"/>
        <w:tblLook w:val="04A0" w:firstRow="1" w:lastRow="0" w:firstColumn="1" w:lastColumn="0" w:noHBand="0" w:noVBand="1"/>
      </w:tblPr>
      <w:tblGrid>
        <w:gridCol w:w="2829"/>
        <w:gridCol w:w="2269"/>
        <w:gridCol w:w="2068"/>
        <w:gridCol w:w="1896"/>
      </w:tblGrid>
      <w:tr w:rsidR="005346B3" w:rsidRPr="005346B3" w14:paraId="4C498ACF" w14:textId="77777777" w:rsidTr="00030B65">
        <w:trPr>
          <w:trHeight w:val="699"/>
        </w:trPr>
        <w:tc>
          <w:tcPr>
            <w:tcW w:w="1561" w:type="pct"/>
            <w:shd w:val="clear" w:color="auto" w:fill="F2F2F2" w:themeFill="background1" w:themeFillShade="F2"/>
          </w:tcPr>
          <w:p w14:paraId="1EF797E9" w14:textId="1F89312D" w:rsidR="00F161D3" w:rsidRPr="00F46FC0" w:rsidRDefault="00B510B5" w:rsidP="00D36147">
            <w:pPr>
              <w:spacing w:line="276" w:lineRule="auto"/>
              <w:rPr>
                <w:rFonts w:cs="Times New Roman"/>
                <w:b/>
                <w:sz w:val="20"/>
                <w:szCs w:val="20"/>
              </w:rPr>
            </w:pPr>
            <w:r w:rsidRPr="00F46FC0">
              <w:rPr>
                <w:rFonts w:cs="Times New Roman"/>
                <w:b/>
                <w:sz w:val="20"/>
                <w:szCs w:val="20"/>
              </w:rPr>
              <w:t>Pokazatelji provedbe i pokazatelji uspješnosti provedbe</w:t>
            </w:r>
          </w:p>
        </w:tc>
        <w:tc>
          <w:tcPr>
            <w:tcW w:w="1252" w:type="pct"/>
            <w:shd w:val="clear" w:color="auto" w:fill="F2F2F2" w:themeFill="background1" w:themeFillShade="F2"/>
            <w:vAlign w:val="center"/>
          </w:tcPr>
          <w:p w14:paraId="1B8B9452" w14:textId="77777777" w:rsidR="00F161D3" w:rsidRPr="00F46FC0" w:rsidRDefault="00F161D3" w:rsidP="00D36147">
            <w:pPr>
              <w:spacing w:line="276" w:lineRule="auto"/>
              <w:jc w:val="center"/>
              <w:rPr>
                <w:rFonts w:cs="Times New Roman"/>
                <w:b/>
                <w:sz w:val="20"/>
                <w:szCs w:val="20"/>
              </w:rPr>
            </w:pPr>
            <w:r w:rsidRPr="00F46FC0">
              <w:rPr>
                <w:rFonts w:cs="Times New Roman"/>
                <w:b/>
                <w:sz w:val="20"/>
                <w:szCs w:val="20"/>
              </w:rPr>
              <w:t>Broj sjednica</w:t>
            </w:r>
          </w:p>
        </w:tc>
        <w:tc>
          <w:tcPr>
            <w:tcW w:w="1141" w:type="pct"/>
            <w:shd w:val="clear" w:color="auto" w:fill="F2F2F2" w:themeFill="background1" w:themeFillShade="F2"/>
            <w:vAlign w:val="center"/>
          </w:tcPr>
          <w:p w14:paraId="54C5DCFD" w14:textId="77777777" w:rsidR="00F161D3" w:rsidRPr="00F46FC0" w:rsidRDefault="00F161D3" w:rsidP="00D36147">
            <w:pPr>
              <w:spacing w:line="276" w:lineRule="auto"/>
              <w:jc w:val="center"/>
              <w:rPr>
                <w:rFonts w:cs="Times New Roman"/>
                <w:b/>
                <w:sz w:val="20"/>
                <w:szCs w:val="20"/>
              </w:rPr>
            </w:pPr>
            <w:r w:rsidRPr="00F46FC0">
              <w:rPr>
                <w:rFonts w:cs="Times New Roman"/>
                <w:b/>
                <w:sz w:val="20"/>
                <w:szCs w:val="20"/>
              </w:rPr>
              <w:t>Broj regionalnih sjednica u odnosu na ukupni broj sjednica</w:t>
            </w:r>
          </w:p>
        </w:tc>
        <w:tc>
          <w:tcPr>
            <w:tcW w:w="1046" w:type="pct"/>
            <w:shd w:val="clear" w:color="auto" w:fill="F2F2F2" w:themeFill="background1" w:themeFillShade="F2"/>
            <w:vAlign w:val="center"/>
          </w:tcPr>
          <w:p w14:paraId="45BBAF86" w14:textId="77777777" w:rsidR="00F161D3" w:rsidRPr="00F46FC0" w:rsidRDefault="00F161D3" w:rsidP="00D36147">
            <w:pPr>
              <w:spacing w:line="276" w:lineRule="auto"/>
              <w:jc w:val="center"/>
              <w:rPr>
                <w:rFonts w:cs="Times New Roman"/>
                <w:b/>
                <w:sz w:val="20"/>
                <w:szCs w:val="20"/>
              </w:rPr>
            </w:pPr>
            <w:r w:rsidRPr="00F46FC0">
              <w:rPr>
                <w:rFonts w:cs="Times New Roman"/>
                <w:b/>
                <w:sz w:val="20"/>
                <w:szCs w:val="20"/>
              </w:rPr>
              <w:t>Broj izrađenih promotivnih materijala</w:t>
            </w:r>
          </w:p>
        </w:tc>
      </w:tr>
      <w:tr w:rsidR="005346B3" w:rsidRPr="005346B3" w14:paraId="79047A4E" w14:textId="77777777" w:rsidTr="00030B65">
        <w:tc>
          <w:tcPr>
            <w:tcW w:w="1561" w:type="pct"/>
            <w:shd w:val="clear" w:color="auto" w:fill="F2F2F2" w:themeFill="background1" w:themeFillShade="F2"/>
          </w:tcPr>
          <w:p w14:paraId="1C5BE26F" w14:textId="53BAC054" w:rsidR="00715EB3" w:rsidRPr="00F46FC0" w:rsidRDefault="00715EB3" w:rsidP="009B1CEB">
            <w:pPr>
              <w:spacing w:line="276" w:lineRule="auto"/>
              <w:rPr>
                <w:rFonts w:cs="Times New Roman"/>
                <w:sz w:val="20"/>
                <w:szCs w:val="20"/>
              </w:rPr>
            </w:pPr>
            <w:r w:rsidRPr="00F46FC0">
              <w:rPr>
                <w:rFonts w:cs="Times New Roman"/>
                <w:sz w:val="20"/>
                <w:szCs w:val="20"/>
              </w:rPr>
              <w:t xml:space="preserve">Planirani ishodi za pokazatelje </w:t>
            </w:r>
            <w:r w:rsidR="0018416B" w:rsidRPr="00F46FC0">
              <w:rPr>
                <w:rFonts w:cs="Times New Roman"/>
                <w:sz w:val="20"/>
                <w:szCs w:val="20"/>
              </w:rPr>
              <w:t>provedbe u 202</w:t>
            </w:r>
            <w:r w:rsidR="005346B3" w:rsidRPr="00F46FC0">
              <w:rPr>
                <w:rFonts w:cs="Times New Roman"/>
                <w:sz w:val="20"/>
                <w:szCs w:val="20"/>
              </w:rPr>
              <w:t>4</w:t>
            </w:r>
            <w:r w:rsidR="0018416B" w:rsidRPr="00F46FC0">
              <w:rPr>
                <w:rFonts w:cs="Times New Roman"/>
                <w:sz w:val="20"/>
                <w:szCs w:val="20"/>
              </w:rPr>
              <w:t xml:space="preserve">. </w:t>
            </w:r>
          </w:p>
        </w:tc>
        <w:tc>
          <w:tcPr>
            <w:tcW w:w="1252" w:type="pct"/>
            <w:vAlign w:val="center"/>
          </w:tcPr>
          <w:p w14:paraId="0C0A72A7" w14:textId="2B1FC613" w:rsidR="00715EB3" w:rsidRPr="00F46FC0" w:rsidRDefault="00437B03" w:rsidP="00D36147">
            <w:pPr>
              <w:spacing w:line="276" w:lineRule="auto"/>
              <w:jc w:val="center"/>
              <w:rPr>
                <w:rFonts w:cs="Times New Roman"/>
                <w:sz w:val="20"/>
                <w:szCs w:val="20"/>
              </w:rPr>
            </w:pPr>
            <w:r w:rsidRPr="00F46FC0">
              <w:rPr>
                <w:rFonts w:cs="Times New Roman"/>
                <w:sz w:val="20"/>
                <w:szCs w:val="20"/>
              </w:rPr>
              <w:t>4</w:t>
            </w:r>
          </w:p>
        </w:tc>
        <w:tc>
          <w:tcPr>
            <w:tcW w:w="1141" w:type="pct"/>
            <w:vAlign w:val="center"/>
          </w:tcPr>
          <w:p w14:paraId="07DD183C" w14:textId="4828E2D5" w:rsidR="00715EB3" w:rsidRPr="00F46FC0" w:rsidRDefault="001D2A9A" w:rsidP="00D36147">
            <w:pPr>
              <w:spacing w:line="276" w:lineRule="auto"/>
              <w:jc w:val="center"/>
              <w:rPr>
                <w:rFonts w:cs="Times New Roman"/>
                <w:sz w:val="20"/>
                <w:szCs w:val="20"/>
              </w:rPr>
            </w:pPr>
            <w:r w:rsidRPr="00F46FC0">
              <w:rPr>
                <w:rFonts w:cs="Times New Roman"/>
                <w:sz w:val="20"/>
                <w:szCs w:val="20"/>
              </w:rPr>
              <w:t>1/4</w:t>
            </w:r>
          </w:p>
        </w:tc>
        <w:tc>
          <w:tcPr>
            <w:tcW w:w="1046" w:type="pct"/>
            <w:vAlign w:val="center"/>
          </w:tcPr>
          <w:p w14:paraId="47F765AD" w14:textId="5A980795" w:rsidR="00715EB3" w:rsidRPr="00F46FC0" w:rsidRDefault="00785235" w:rsidP="00D36147">
            <w:pPr>
              <w:spacing w:line="276" w:lineRule="auto"/>
              <w:jc w:val="center"/>
              <w:rPr>
                <w:rFonts w:cs="Times New Roman"/>
                <w:sz w:val="20"/>
                <w:szCs w:val="20"/>
              </w:rPr>
            </w:pPr>
            <w:r w:rsidRPr="00F46FC0">
              <w:rPr>
                <w:rFonts w:cs="Times New Roman"/>
                <w:sz w:val="20"/>
                <w:szCs w:val="20"/>
              </w:rPr>
              <w:t>/</w:t>
            </w:r>
          </w:p>
        </w:tc>
      </w:tr>
      <w:tr w:rsidR="005346B3" w:rsidRPr="005346B3" w14:paraId="5774F188" w14:textId="77777777" w:rsidTr="00030B65">
        <w:tc>
          <w:tcPr>
            <w:tcW w:w="1561" w:type="pct"/>
            <w:shd w:val="clear" w:color="auto" w:fill="F2F2F2" w:themeFill="background1" w:themeFillShade="F2"/>
          </w:tcPr>
          <w:p w14:paraId="3C5F0CF4" w14:textId="3E713B4C" w:rsidR="00715EB3" w:rsidRPr="00F46FC0" w:rsidRDefault="00715EB3" w:rsidP="009B1CEB">
            <w:pPr>
              <w:spacing w:line="276" w:lineRule="auto"/>
              <w:rPr>
                <w:rFonts w:cs="Times New Roman"/>
                <w:sz w:val="20"/>
                <w:szCs w:val="20"/>
              </w:rPr>
            </w:pPr>
            <w:r w:rsidRPr="00F46FC0">
              <w:rPr>
                <w:rFonts w:cs="Times New Roman"/>
                <w:sz w:val="20"/>
                <w:szCs w:val="20"/>
              </w:rPr>
              <w:t xml:space="preserve">Ostvareni ishodi za pokazatelje </w:t>
            </w:r>
            <w:r w:rsidR="0018416B" w:rsidRPr="00F46FC0">
              <w:rPr>
                <w:rFonts w:cs="Times New Roman"/>
                <w:sz w:val="20"/>
                <w:szCs w:val="20"/>
              </w:rPr>
              <w:t>provedbe u 202</w:t>
            </w:r>
            <w:r w:rsidR="005346B3" w:rsidRPr="00F46FC0">
              <w:rPr>
                <w:rFonts w:cs="Times New Roman"/>
                <w:sz w:val="20"/>
                <w:szCs w:val="20"/>
              </w:rPr>
              <w:t>4</w:t>
            </w:r>
            <w:r w:rsidR="0018416B" w:rsidRPr="00F46FC0">
              <w:rPr>
                <w:rFonts w:cs="Times New Roman"/>
                <w:sz w:val="20"/>
                <w:szCs w:val="20"/>
              </w:rPr>
              <w:t xml:space="preserve">. </w:t>
            </w:r>
          </w:p>
        </w:tc>
        <w:tc>
          <w:tcPr>
            <w:tcW w:w="1252" w:type="pct"/>
            <w:vAlign w:val="center"/>
          </w:tcPr>
          <w:p w14:paraId="2580B9BE" w14:textId="60A3F060" w:rsidR="00715EB3" w:rsidRPr="00F46FC0" w:rsidRDefault="005346B3" w:rsidP="00D36147">
            <w:pPr>
              <w:spacing w:line="276" w:lineRule="auto"/>
              <w:jc w:val="center"/>
              <w:rPr>
                <w:rFonts w:cs="Times New Roman"/>
                <w:sz w:val="20"/>
                <w:szCs w:val="20"/>
              </w:rPr>
            </w:pPr>
            <w:r w:rsidRPr="00F46FC0">
              <w:rPr>
                <w:rFonts w:cs="Times New Roman"/>
                <w:sz w:val="20"/>
                <w:szCs w:val="20"/>
              </w:rPr>
              <w:t>2</w:t>
            </w:r>
          </w:p>
        </w:tc>
        <w:tc>
          <w:tcPr>
            <w:tcW w:w="1141" w:type="pct"/>
            <w:vAlign w:val="center"/>
          </w:tcPr>
          <w:p w14:paraId="56628457" w14:textId="08001802" w:rsidR="00715EB3" w:rsidRPr="00F46FC0" w:rsidRDefault="009D41FA" w:rsidP="005346B3">
            <w:pPr>
              <w:spacing w:line="276" w:lineRule="auto"/>
              <w:jc w:val="center"/>
              <w:rPr>
                <w:rFonts w:cs="Times New Roman"/>
                <w:sz w:val="20"/>
                <w:szCs w:val="20"/>
              </w:rPr>
            </w:pPr>
            <w:r w:rsidRPr="00F46FC0">
              <w:rPr>
                <w:rFonts w:cs="Times New Roman"/>
                <w:sz w:val="20"/>
                <w:szCs w:val="20"/>
              </w:rPr>
              <w:t>0</w:t>
            </w:r>
            <w:r w:rsidR="005346B3" w:rsidRPr="00F46FC0">
              <w:rPr>
                <w:rFonts w:cs="Times New Roman"/>
                <w:sz w:val="20"/>
                <w:szCs w:val="20"/>
              </w:rPr>
              <w:t>/2</w:t>
            </w:r>
          </w:p>
        </w:tc>
        <w:tc>
          <w:tcPr>
            <w:tcW w:w="1046" w:type="pct"/>
            <w:vAlign w:val="center"/>
          </w:tcPr>
          <w:p w14:paraId="1C7BE10A" w14:textId="383F4512" w:rsidR="00715EB3" w:rsidRPr="00F46FC0" w:rsidRDefault="00785235" w:rsidP="00D36147">
            <w:pPr>
              <w:spacing w:line="276" w:lineRule="auto"/>
              <w:jc w:val="center"/>
              <w:rPr>
                <w:rFonts w:cs="Times New Roman"/>
                <w:sz w:val="20"/>
                <w:szCs w:val="20"/>
              </w:rPr>
            </w:pPr>
            <w:r w:rsidRPr="00F46FC0">
              <w:rPr>
                <w:rFonts w:cs="Times New Roman"/>
                <w:sz w:val="20"/>
                <w:szCs w:val="20"/>
              </w:rPr>
              <w:t>/</w:t>
            </w:r>
          </w:p>
        </w:tc>
      </w:tr>
      <w:tr w:rsidR="005346B3" w:rsidRPr="005346B3" w14:paraId="45CE7431" w14:textId="77777777" w:rsidTr="00030B65">
        <w:tc>
          <w:tcPr>
            <w:tcW w:w="1561" w:type="pct"/>
            <w:shd w:val="clear" w:color="auto" w:fill="F2F2F2" w:themeFill="background1" w:themeFillShade="F2"/>
          </w:tcPr>
          <w:p w14:paraId="3C62D163" w14:textId="54733FFE" w:rsidR="00545EC2" w:rsidRPr="00F46FC0" w:rsidRDefault="00545EC2" w:rsidP="00D36147">
            <w:pPr>
              <w:spacing w:line="276" w:lineRule="auto"/>
              <w:rPr>
                <w:rFonts w:cs="Times New Roman"/>
                <w:b/>
                <w:sz w:val="20"/>
                <w:szCs w:val="20"/>
              </w:rPr>
            </w:pPr>
            <w:r w:rsidRPr="00F46FC0">
              <w:rPr>
                <w:rFonts w:cs="Times New Roman"/>
                <w:b/>
                <w:sz w:val="20"/>
                <w:szCs w:val="20"/>
              </w:rPr>
              <w:t xml:space="preserve">IZVORI FINANCIRANJA </w:t>
            </w:r>
          </w:p>
        </w:tc>
        <w:tc>
          <w:tcPr>
            <w:tcW w:w="1252" w:type="pct"/>
            <w:vAlign w:val="center"/>
          </w:tcPr>
          <w:p w14:paraId="5CC9C000" w14:textId="209175DB" w:rsidR="00545EC2" w:rsidRPr="00F46FC0" w:rsidRDefault="00672A9A" w:rsidP="00D36147">
            <w:pPr>
              <w:spacing w:line="276" w:lineRule="auto"/>
              <w:jc w:val="center"/>
              <w:rPr>
                <w:rFonts w:cs="Times New Roman"/>
                <w:b/>
                <w:sz w:val="20"/>
                <w:szCs w:val="20"/>
              </w:rPr>
            </w:pPr>
            <w:r w:rsidRPr="00F46FC0">
              <w:rPr>
                <w:rFonts w:cs="Times New Roman"/>
                <w:b/>
                <w:sz w:val="20"/>
                <w:szCs w:val="20"/>
              </w:rPr>
              <w:t>Državni proračun (</w:t>
            </w:r>
            <w:r w:rsidR="0077289E" w:rsidRPr="00F46FC0">
              <w:rPr>
                <w:rFonts w:cs="Times New Roman"/>
                <w:b/>
                <w:sz w:val="20"/>
                <w:szCs w:val="20"/>
              </w:rPr>
              <w:t>EUR</w:t>
            </w:r>
            <w:r w:rsidRPr="00F46FC0">
              <w:rPr>
                <w:rFonts w:cs="Times New Roman"/>
                <w:b/>
                <w:sz w:val="20"/>
                <w:szCs w:val="20"/>
              </w:rPr>
              <w:t>)</w:t>
            </w:r>
          </w:p>
        </w:tc>
        <w:tc>
          <w:tcPr>
            <w:tcW w:w="1141" w:type="pct"/>
            <w:vAlign w:val="center"/>
          </w:tcPr>
          <w:p w14:paraId="6391C626" w14:textId="0763158C" w:rsidR="00545EC2" w:rsidRPr="00F46FC0" w:rsidRDefault="00672A9A" w:rsidP="00D36147">
            <w:pPr>
              <w:spacing w:line="276" w:lineRule="auto"/>
              <w:jc w:val="center"/>
              <w:rPr>
                <w:rFonts w:cs="Times New Roman"/>
                <w:b/>
                <w:sz w:val="20"/>
                <w:szCs w:val="20"/>
              </w:rPr>
            </w:pPr>
            <w:r w:rsidRPr="00F46FC0">
              <w:rPr>
                <w:rFonts w:cs="Times New Roman"/>
                <w:b/>
                <w:sz w:val="20"/>
                <w:szCs w:val="20"/>
              </w:rPr>
              <w:t>EU financiranje (</w:t>
            </w:r>
            <w:r w:rsidR="0077289E" w:rsidRPr="00F46FC0">
              <w:rPr>
                <w:rFonts w:cs="Times New Roman"/>
                <w:b/>
                <w:sz w:val="20"/>
                <w:szCs w:val="20"/>
              </w:rPr>
              <w:t>EUR</w:t>
            </w:r>
            <w:r w:rsidRPr="00F46FC0">
              <w:rPr>
                <w:rFonts w:cs="Times New Roman"/>
                <w:b/>
                <w:sz w:val="20"/>
                <w:szCs w:val="20"/>
              </w:rPr>
              <w:t>)</w:t>
            </w:r>
          </w:p>
        </w:tc>
        <w:tc>
          <w:tcPr>
            <w:tcW w:w="1046" w:type="pct"/>
            <w:vAlign w:val="center"/>
          </w:tcPr>
          <w:p w14:paraId="38CA593E" w14:textId="22C66D72" w:rsidR="00545EC2" w:rsidRPr="00F46FC0" w:rsidRDefault="00672A9A" w:rsidP="00D36147">
            <w:pPr>
              <w:spacing w:line="276" w:lineRule="auto"/>
              <w:rPr>
                <w:rFonts w:cs="Times New Roman"/>
                <w:b/>
                <w:sz w:val="20"/>
                <w:szCs w:val="20"/>
              </w:rPr>
            </w:pPr>
            <w:r w:rsidRPr="00F46FC0">
              <w:rPr>
                <w:rFonts w:cs="Times New Roman"/>
                <w:b/>
                <w:sz w:val="20"/>
                <w:szCs w:val="20"/>
              </w:rPr>
              <w:t>Drugi izvori</w:t>
            </w:r>
            <w:r w:rsidR="00176518" w:rsidRPr="00F46FC0">
              <w:rPr>
                <w:rFonts w:cs="Times New Roman"/>
                <w:b/>
                <w:sz w:val="20"/>
                <w:szCs w:val="20"/>
              </w:rPr>
              <w:t xml:space="preserve"> (</w:t>
            </w:r>
            <w:r w:rsidR="0077289E" w:rsidRPr="00F46FC0">
              <w:rPr>
                <w:rFonts w:cs="Times New Roman"/>
                <w:b/>
                <w:sz w:val="20"/>
                <w:szCs w:val="20"/>
              </w:rPr>
              <w:t>EUR</w:t>
            </w:r>
            <w:r w:rsidRPr="00F46FC0">
              <w:rPr>
                <w:rFonts w:cs="Times New Roman"/>
                <w:b/>
                <w:sz w:val="20"/>
                <w:szCs w:val="20"/>
              </w:rPr>
              <w:t>)</w:t>
            </w:r>
          </w:p>
        </w:tc>
      </w:tr>
      <w:tr w:rsidR="005346B3" w:rsidRPr="005346B3" w14:paraId="3C51BEAC" w14:textId="77777777" w:rsidTr="00030B65">
        <w:tc>
          <w:tcPr>
            <w:tcW w:w="1561" w:type="pct"/>
            <w:shd w:val="clear" w:color="auto" w:fill="F2F2F2" w:themeFill="background1" w:themeFillShade="F2"/>
          </w:tcPr>
          <w:p w14:paraId="1C4C5F62" w14:textId="18FC9F7D" w:rsidR="00545EC2" w:rsidRPr="00F46FC0" w:rsidRDefault="00545EC2" w:rsidP="009B1CEB">
            <w:pPr>
              <w:spacing w:line="276" w:lineRule="auto"/>
              <w:rPr>
                <w:rFonts w:cs="Times New Roman"/>
                <w:sz w:val="20"/>
                <w:szCs w:val="20"/>
              </w:rPr>
            </w:pPr>
            <w:r w:rsidRPr="00F46FC0">
              <w:rPr>
                <w:rFonts w:cs="Times New Roman"/>
                <w:sz w:val="20"/>
                <w:szCs w:val="20"/>
              </w:rPr>
              <w:t xml:space="preserve">Izvori </w:t>
            </w:r>
            <w:r w:rsidR="0018416B" w:rsidRPr="00F46FC0">
              <w:rPr>
                <w:rFonts w:cs="Times New Roman"/>
                <w:sz w:val="20"/>
                <w:szCs w:val="20"/>
              </w:rPr>
              <w:t>financiranja u 202</w:t>
            </w:r>
            <w:r w:rsidR="005346B3" w:rsidRPr="00F46FC0">
              <w:rPr>
                <w:rFonts w:cs="Times New Roman"/>
                <w:sz w:val="20"/>
                <w:szCs w:val="20"/>
              </w:rPr>
              <w:t>4</w:t>
            </w:r>
            <w:r w:rsidR="0018416B" w:rsidRPr="00F46FC0">
              <w:rPr>
                <w:rFonts w:cs="Times New Roman"/>
                <w:sz w:val="20"/>
                <w:szCs w:val="20"/>
              </w:rPr>
              <w:t>.</w:t>
            </w:r>
            <w:r w:rsidRPr="00F46FC0">
              <w:rPr>
                <w:rFonts w:cs="Times New Roman"/>
                <w:sz w:val="20"/>
                <w:szCs w:val="20"/>
              </w:rPr>
              <w:t xml:space="preserve"> (proračunska pozicija i predviđeni iznos sredstava)</w:t>
            </w:r>
          </w:p>
        </w:tc>
        <w:tc>
          <w:tcPr>
            <w:tcW w:w="1252" w:type="pct"/>
            <w:vAlign w:val="center"/>
          </w:tcPr>
          <w:p w14:paraId="7C8D3B88" w14:textId="2C2CFDEB" w:rsidR="00CD78EF" w:rsidRPr="00F46FC0" w:rsidRDefault="00CD78EF" w:rsidP="00D36147">
            <w:pPr>
              <w:spacing w:line="276" w:lineRule="auto"/>
              <w:rPr>
                <w:rFonts w:cs="Times New Roman"/>
                <w:sz w:val="20"/>
                <w:szCs w:val="20"/>
              </w:rPr>
            </w:pPr>
            <w:r w:rsidRPr="00F46FC0">
              <w:rPr>
                <w:rFonts w:cs="Times New Roman"/>
                <w:sz w:val="20"/>
                <w:szCs w:val="20"/>
              </w:rPr>
              <w:t>A513041 - NPUR</w:t>
            </w:r>
          </w:p>
          <w:p w14:paraId="021BA46E" w14:textId="2405F37E" w:rsidR="00545EC2" w:rsidRPr="00F46FC0" w:rsidRDefault="005346B3" w:rsidP="005346B3">
            <w:pPr>
              <w:spacing w:line="276" w:lineRule="auto"/>
              <w:jc w:val="center"/>
              <w:rPr>
                <w:rFonts w:cs="Times New Roman"/>
                <w:sz w:val="20"/>
                <w:szCs w:val="20"/>
              </w:rPr>
            </w:pPr>
            <w:r w:rsidRPr="00F46FC0">
              <w:rPr>
                <w:rFonts w:cs="Times New Roman"/>
                <w:sz w:val="20"/>
                <w:szCs w:val="20"/>
              </w:rPr>
              <w:t>5</w:t>
            </w:r>
            <w:r w:rsidR="0077289E" w:rsidRPr="00F46FC0">
              <w:rPr>
                <w:rFonts w:cs="Times New Roman"/>
                <w:sz w:val="20"/>
                <w:szCs w:val="20"/>
              </w:rPr>
              <w:t>.</w:t>
            </w:r>
            <w:r w:rsidRPr="00F46FC0">
              <w:rPr>
                <w:rFonts w:cs="Times New Roman"/>
                <w:sz w:val="20"/>
                <w:szCs w:val="20"/>
              </w:rPr>
              <w:t>974</w:t>
            </w:r>
            <w:r w:rsidR="0077289E" w:rsidRPr="00F46FC0">
              <w:rPr>
                <w:rFonts w:cs="Times New Roman"/>
                <w:sz w:val="20"/>
                <w:szCs w:val="20"/>
              </w:rPr>
              <w:t>,00</w:t>
            </w:r>
          </w:p>
        </w:tc>
        <w:tc>
          <w:tcPr>
            <w:tcW w:w="1141" w:type="pct"/>
            <w:vAlign w:val="center"/>
          </w:tcPr>
          <w:p w14:paraId="797FC229" w14:textId="6C53FF67" w:rsidR="00545EC2" w:rsidRPr="00F46FC0" w:rsidRDefault="0077289E" w:rsidP="00D36147">
            <w:pPr>
              <w:spacing w:line="276" w:lineRule="auto"/>
              <w:jc w:val="center"/>
              <w:rPr>
                <w:rFonts w:cs="Times New Roman"/>
                <w:sz w:val="20"/>
                <w:szCs w:val="20"/>
              </w:rPr>
            </w:pPr>
            <w:r w:rsidRPr="00F46FC0">
              <w:rPr>
                <w:rFonts w:cs="Times New Roman"/>
                <w:sz w:val="20"/>
                <w:szCs w:val="20"/>
              </w:rPr>
              <w:t>0,00 0</w:t>
            </w:r>
          </w:p>
        </w:tc>
        <w:tc>
          <w:tcPr>
            <w:tcW w:w="1046" w:type="pct"/>
            <w:vAlign w:val="center"/>
          </w:tcPr>
          <w:p w14:paraId="35489390" w14:textId="6D7A0761" w:rsidR="00545EC2" w:rsidRPr="00F46FC0" w:rsidRDefault="00545EC2" w:rsidP="00D36147">
            <w:pPr>
              <w:spacing w:line="276" w:lineRule="auto"/>
              <w:jc w:val="center"/>
              <w:rPr>
                <w:rFonts w:cs="Times New Roman"/>
                <w:sz w:val="20"/>
                <w:szCs w:val="20"/>
              </w:rPr>
            </w:pPr>
            <w:r w:rsidRPr="00F46FC0">
              <w:rPr>
                <w:rFonts w:cs="Times New Roman"/>
                <w:sz w:val="20"/>
                <w:szCs w:val="20"/>
              </w:rPr>
              <w:t xml:space="preserve">0,00 </w:t>
            </w:r>
          </w:p>
        </w:tc>
      </w:tr>
      <w:tr w:rsidR="005346B3" w:rsidRPr="005346B3" w14:paraId="21F25AB8" w14:textId="77777777" w:rsidTr="00030B65">
        <w:tc>
          <w:tcPr>
            <w:tcW w:w="1561" w:type="pct"/>
            <w:vMerge w:val="restart"/>
            <w:shd w:val="clear" w:color="auto" w:fill="F2F2F2" w:themeFill="background1" w:themeFillShade="F2"/>
          </w:tcPr>
          <w:p w14:paraId="2D079C4C" w14:textId="77979021" w:rsidR="00F161D3" w:rsidRPr="00F46FC0" w:rsidRDefault="00F161D3" w:rsidP="00D36147">
            <w:pPr>
              <w:spacing w:line="276" w:lineRule="auto"/>
              <w:rPr>
                <w:rFonts w:cs="Times New Roman"/>
                <w:b/>
                <w:sz w:val="20"/>
                <w:szCs w:val="20"/>
              </w:rPr>
            </w:pPr>
            <w:r w:rsidRPr="00F46FC0">
              <w:rPr>
                <w:rFonts w:cs="Times New Roman"/>
                <w:b/>
                <w:sz w:val="20"/>
                <w:szCs w:val="20"/>
              </w:rPr>
              <w:t xml:space="preserve">UKUPNO </w:t>
            </w:r>
            <w:r w:rsidR="00715EB3" w:rsidRPr="00F46FC0">
              <w:rPr>
                <w:rFonts w:cs="Times New Roman"/>
                <w:b/>
                <w:sz w:val="20"/>
                <w:szCs w:val="20"/>
              </w:rPr>
              <w:t>UTROŠENA</w:t>
            </w:r>
            <w:r w:rsidRPr="00F46FC0">
              <w:rPr>
                <w:rFonts w:cs="Times New Roman"/>
                <w:b/>
                <w:sz w:val="20"/>
                <w:szCs w:val="20"/>
              </w:rPr>
              <w:t xml:space="preserve"> SREDSTVA PO IZVORU </w:t>
            </w:r>
          </w:p>
        </w:tc>
        <w:tc>
          <w:tcPr>
            <w:tcW w:w="1252" w:type="pct"/>
            <w:vAlign w:val="center"/>
          </w:tcPr>
          <w:p w14:paraId="1803E089" w14:textId="613745AE" w:rsidR="00F161D3" w:rsidRPr="00F46FC0" w:rsidRDefault="00F161D3" w:rsidP="00D36147">
            <w:pPr>
              <w:spacing w:line="276" w:lineRule="auto"/>
              <w:jc w:val="center"/>
              <w:rPr>
                <w:rFonts w:cs="Times New Roman"/>
                <w:b/>
                <w:sz w:val="20"/>
                <w:szCs w:val="20"/>
              </w:rPr>
            </w:pPr>
            <w:r w:rsidRPr="00F46FC0">
              <w:rPr>
                <w:rFonts w:cs="Times New Roman"/>
                <w:b/>
                <w:sz w:val="20"/>
                <w:szCs w:val="20"/>
              </w:rPr>
              <w:t>Državni proračun (</w:t>
            </w:r>
            <w:r w:rsidR="0077289E" w:rsidRPr="00F46FC0">
              <w:rPr>
                <w:rFonts w:cs="Times New Roman"/>
                <w:b/>
                <w:sz w:val="20"/>
                <w:szCs w:val="20"/>
              </w:rPr>
              <w:t>EUR</w:t>
            </w:r>
            <w:r w:rsidRPr="00F46FC0">
              <w:rPr>
                <w:rFonts w:cs="Times New Roman"/>
                <w:b/>
                <w:sz w:val="20"/>
                <w:szCs w:val="20"/>
              </w:rPr>
              <w:t>)</w:t>
            </w:r>
          </w:p>
        </w:tc>
        <w:tc>
          <w:tcPr>
            <w:tcW w:w="1141" w:type="pct"/>
            <w:vAlign w:val="center"/>
          </w:tcPr>
          <w:p w14:paraId="67C9A1D6" w14:textId="2E367CBD" w:rsidR="00F161D3" w:rsidRPr="00F46FC0" w:rsidRDefault="00F161D3" w:rsidP="00D36147">
            <w:pPr>
              <w:spacing w:line="276" w:lineRule="auto"/>
              <w:jc w:val="center"/>
              <w:rPr>
                <w:rFonts w:cs="Times New Roman"/>
                <w:b/>
                <w:sz w:val="20"/>
                <w:szCs w:val="20"/>
              </w:rPr>
            </w:pPr>
            <w:r w:rsidRPr="00F46FC0">
              <w:rPr>
                <w:rFonts w:cs="Times New Roman"/>
                <w:b/>
                <w:sz w:val="20"/>
                <w:szCs w:val="20"/>
              </w:rPr>
              <w:t>EU financiranje(</w:t>
            </w:r>
            <w:r w:rsidR="0077289E" w:rsidRPr="00F46FC0">
              <w:rPr>
                <w:rFonts w:cs="Times New Roman"/>
                <w:b/>
                <w:sz w:val="20"/>
                <w:szCs w:val="20"/>
              </w:rPr>
              <w:t>EUR</w:t>
            </w:r>
            <w:r w:rsidRPr="00F46FC0">
              <w:rPr>
                <w:rFonts w:cs="Times New Roman"/>
                <w:b/>
                <w:sz w:val="20"/>
                <w:szCs w:val="20"/>
              </w:rPr>
              <w:t>)</w:t>
            </w:r>
          </w:p>
        </w:tc>
        <w:tc>
          <w:tcPr>
            <w:tcW w:w="1046" w:type="pct"/>
            <w:vAlign w:val="center"/>
          </w:tcPr>
          <w:p w14:paraId="3D52862E" w14:textId="706653B3" w:rsidR="00F161D3" w:rsidRPr="00F46FC0" w:rsidRDefault="00F161D3" w:rsidP="00D36147">
            <w:pPr>
              <w:spacing w:line="276" w:lineRule="auto"/>
              <w:jc w:val="center"/>
              <w:rPr>
                <w:rFonts w:cs="Times New Roman"/>
                <w:b/>
                <w:sz w:val="20"/>
                <w:szCs w:val="20"/>
              </w:rPr>
            </w:pPr>
            <w:r w:rsidRPr="00F46FC0">
              <w:rPr>
                <w:rFonts w:cs="Times New Roman"/>
                <w:b/>
                <w:sz w:val="20"/>
                <w:szCs w:val="20"/>
              </w:rPr>
              <w:t>Drugi izvori (</w:t>
            </w:r>
            <w:r w:rsidR="0077289E" w:rsidRPr="00F46FC0">
              <w:rPr>
                <w:rFonts w:cs="Times New Roman"/>
                <w:b/>
                <w:sz w:val="20"/>
                <w:szCs w:val="20"/>
              </w:rPr>
              <w:t>EUR</w:t>
            </w:r>
            <w:r w:rsidRPr="00F46FC0">
              <w:rPr>
                <w:rFonts w:cs="Times New Roman"/>
                <w:b/>
                <w:sz w:val="20"/>
                <w:szCs w:val="20"/>
              </w:rPr>
              <w:t>)</w:t>
            </w:r>
          </w:p>
        </w:tc>
      </w:tr>
      <w:tr w:rsidR="005346B3" w:rsidRPr="005346B3" w14:paraId="1845CBCF" w14:textId="77777777" w:rsidTr="00030B65">
        <w:tc>
          <w:tcPr>
            <w:tcW w:w="1561" w:type="pct"/>
            <w:vMerge/>
            <w:shd w:val="clear" w:color="auto" w:fill="F2F2F2" w:themeFill="background1" w:themeFillShade="F2"/>
          </w:tcPr>
          <w:p w14:paraId="698F0DAC" w14:textId="77777777" w:rsidR="00F161D3" w:rsidRPr="00F46FC0" w:rsidRDefault="00F161D3" w:rsidP="00D36147">
            <w:pPr>
              <w:spacing w:line="276" w:lineRule="auto"/>
              <w:rPr>
                <w:rFonts w:cs="Times New Roman"/>
                <w:b/>
                <w:sz w:val="20"/>
                <w:szCs w:val="20"/>
              </w:rPr>
            </w:pPr>
          </w:p>
        </w:tc>
        <w:tc>
          <w:tcPr>
            <w:tcW w:w="1252" w:type="pct"/>
            <w:vAlign w:val="center"/>
          </w:tcPr>
          <w:p w14:paraId="0C2BF0F3" w14:textId="3651EF68" w:rsidR="001C73AB" w:rsidRPr="00F46FC0" w:rsidRDefault="001C73AB" w:rsidP="00D36147">
            <w:pPr>
              <w:spacing w:line="276" w:lineRule="auto"/>
              <w:jc w:val="center"/>
              <w:rPr>
                <w:rFonts w:cs="Times New Roman"/>
                <w:sz w:val="20"/>
                <w:szCs w:val="20"/>
              </w:rPr>
            </w:pPr>
            <w:r w:rsidRPr="00F46FC0">
              <w:rPr>
                <w:rFonts w:cs="Times New Roman"/>
                <w:sz w:val="20"/>
                <w:szCs w:val="20"/>
              </w:rPr>
              <w:t>A513041</w:t>
            </w:r>
            <w:r w:rsidR="00356B7B" w:rsidRPr="00F46FC0">
              <w:rPr>
                <w:rFonts w:cs="Times New Roman"/>
                <w:sz w:val="20"/>
                <w:szCs w:val="20"/>
              </w:rPr>
              <w:t xml:space="preserve"> - </w:t>
            </w:r>
            <w:r w:rsidRPr="00F46FC0">
              <w:rPr>
                <w:rFonts w:cs="Times New Roman"/>
                <w:sz w:val="20"/>
                <w:szCs w:val="20"/>
              </w:rPr>
              <w:t>NPUR</w:t>
            </w:r>
          </w:p>
          <w:p w14:paraId="300C6E9B" w14:textId="1E7F0667" w:rsidR="00545EC2" w:rsidRPr="00F46FC0" w:rsidRDefault="005346B3" w:rsidP="005346B3">
            <w:pPr>
              <w:spacing w:line="276" w:lineRule="auto"/>
              <w:jc w:val="center"/>
              <w:rPr>
                <w:rFonts w:cs="Times New Roman"/>
                <w:b/>
                <w:bCs/>
                <w:sz w:val="20"/>
                <w:szCs w:val="20"/>
              </w:rPr>
            </w:pPr>
            <w:r w:rsidRPr="00F46FC0">
              <w:rPr>
                <w:rFonts w:cs="Times New Roman"/>
                <w:b/>
                <w:sz w:val="20"/>
                <w:szCs w:val="20"/>
              </w:rPr>
              <w:t>1.525,84</w:t>
            </w:r>
          </w:p>
        </w:tc>
        <w:tc>
          <w:tcPr>
            <w:tcW w:w="1141" w:type="pct"/>
            <w:vAlign w:val="center"/>
          </w:tcPr>
          <w:p w14:paraId="67FBF218" w14:textId="01212BA9" w:rsidR="00F161D3" w:rsidRPr="00F46FC0" w:rsidRDefault="0077289E" w:rsidP="00D36147">
            <w:pPr>
              <w:spacing w:line="276" w:lineRule="auto"/>
              <w:jc w:val="center"/>
              <w:rPr>
                <w:rFonts w:cs="Times New Roman"/>
                <w:b/>
                <w:bCs/>
                <w:sz w:val="20"/>
                <w:szCs w:val="20"/>
              </w:rPr>
            </w:pPr>
            <w:r w:rsidRPr="00F46FC0">
              <w:rPr>
                <w:rFonts w:cs="Times New Roman"/>
                <w:b/>
                <w:sz w:val="20"/>
                <w:szCs w:val="20"/>
              </w:rPr>
              <w:t>0,00</w:t>
            </w:r>
          </w:p>
        </w:tc>
        <w:tc>
          <w:tcPr>
            <w:tcW w:w="1046" w:type="pct"/>
            <w:vAlign w:val="center"/>
          </w:tcPr>
          <w:p w14:paraId="47836EFD" w14:textId="7094B3BB" w:rsidR="00F161D3" w:rsidRPr="00F46FC0" w:rsidRDefault="00545EC2" w:rsidP="00D36147">
            <w:pPr>
              <w:spacing w:line="276" w:lineRule="auto"/>
              <w:jc w:val="center"/>
              <w:rPr>
                <w:rFonts w:cs="Times New Roman"/>
                <w:b/>
                <w:bCs/>
                <w:sz w:val="20"/>
                <w:szCs w:val="20"/>
              </w:rPr>
            </w:pPr>
            <w:r w:rsidRPr="00F46FC0">
              <w:rPr>
                <w:rFonts w:cs="Times New Roman"/>
                <w:b/>
                <w:bCs/>
                <w:sz w:val="20"/>
                <w:szCs w:val="20"/>
              </w:rPr>
              <w:t>0,00</w:t>
            </w:r>
          </w:p>
        </w:tc>
      </w:tr>
      <w:tr w:rsidR="005346B3" w:rsidRPr="005346B3" w14:paraId="7CBF5D37" w14:textId="77777777" w:rsidTr="00D36147">
        <w:trPr>
          <w:trHeight w:val="409"/>
        </w:trPr>
        <w:tc>
          <w:tcPr>
            <w:tcW w:w="1561" w:type="pct"/>
            <w:shd w:val="clear" w:color="auto" w:fill="F2F2F2" w:themeFill="background1" w:themeFillShade="F2"/>
          </w:tcPr>
          <w:p w14:paraId="48A88D41" w14:textId="2ABC7832" w:rsidR="00F161D3" w:rsidRPr="00F46FC0" w:rsidRDefault="00F161D3" w:rsidP="00D36147">
            <w:pPr>
              <w:spacing w:line="276" w:lineRule="auto"/>
              <w:rPr>
                <w:rFonts w:cs="Times New Roman"/>
                <w:sz w:val="20"/>
                <w:szCs w:val="20"/>
              </w:rPr>
            </w:pPr>
            <w:r w:rsidRPr="00F46FC0">
              <w:rPr>
                <w:rFonts w:cs="Times New Roman"/>
                <w:sz w:val="20"/>
                <w:szCs w:val="20"/>
              </w:rPr>
              <w:t xml:space="preserve">ROK PROVEDBE </w:t>
            </w:r>
            <w:r w:rsidR="0004140C" w:rsidRPr="00F46FC0">
              <w:rPr>
                <w:rFonts w:cs="Times New Roman"/>
                <w:sz w:val="20"/>
                <w:szCs w:val="20"/>
              </w:rPr>
              <w:t>A</w:t>
            </w:r>
            <w:r w:rsidRPr="00F46FC0">
              <w:rPr>
                <w:rFonts w:cs="Times New Roman"/>
                <w:sz w:val="20"/>
                <w:szCs w:val="20"/>
              </w:rPr>
              <w:t xml:space="preserve">KTIVNOSTI </w:t>
            </w:r>
          </w:p>
        </w:tc>
        <w:tc>
          <w:tcPr>
            <w:tcW w:w="3439" w:type="pct"/>
            <w:gridSpan w:val="3"/>
            <w:vAlign w:val="center"/>
          </w:tcPr>
          <w:p w14:paraId="053FD447" w14:textId="395B326C" w:rsidR="00F161D3" w:rsidRPr="00F46FC0" w:rsidRDefault="0077289E" w:rsidP="00D36147">
            <w:pPr>
              <w:spacing w:line="276" w:lineRule="auto"/>
              <w:rPr>
                <w:rFonts w:cs="Times New Roman"/>
                <w:sz w:val="20"/>
                <w:szCs w:val="20"/>
              </w:rPr>
            </w:pPr>
            <w:r w:rsidRPr="00F46FC0">
              <w:rPr>
                <w:rFonts w:cs="Times New Roman"/>
                <w:sz w:val="20"/>
                <w:szCs w:val="20"/>
              </w:rPr>
              <w:t xml:space="preserve">IV. kvartal 2025. </w:t>
            </w:r>
          </w:p>
        </w:tc>
      </w:tr>
    </w:tbl>
    <w:p w14:paraId="6BE48E11" w14:textId="77777777" w:rsidR="00664C9A" w:rsidRDefault="00664C9A" w:rsidP="00D36147">
      <w:pPr>
        <w:spacing w:after="0" w:line="276" w:lineRule="auto"/>
        <w:jc w:val="both"/>
        <w:rPr>
          <w:rFonts w:cs="Times New Roman"/>
          <w:i/>
          <w:iCs/>
        </w:rPr>
      </w:pPr>
    </w:p>
    <w:p w14:paraId="1E373A9C" w14:textId="77777777" w:rsidR="003379F1" w:rsidRPr="005346B3" w:rsidRDefault="003379F1" w:rsidP="00D36147">
      <w:pPr>
        <w:spacing w:after="0" w:line="276" w:lineRule="auto"/>
        <w:jc w:val="both"/>
        <w:rPr>
          <w:rFonts w:cs="Times New Roman"/>
          <w:i/>
          <w:iCs/>
        </w:rPr>
      </w:pPr>
    </w:p>
    <w:p w14:paraId="2C25EF01" w14:textId="50807A66" w:rsidR="00287202" w:rsidRPr="00FC64BF" w:rsidRDefault="0017024D" w:rsidP="00D36147">
      <w:pPr>
        <w:spacing w:after="0" w:line="276" w:lineRule="auto"/>
        <w:jc w:val="both"/>
        <w:rPr>
          <w:rFonts w:cs="Times New Roman"/>
          <w:i/>
          <w:iCs/>
        </w:rPr>
      </w:pPr>
      <w:r w:rsidRPr="005346B3">
        <w:rPr>
          <w:rFonts w:cs="Times New Roman"/>
          <w:i/>
          <w:iCs/>
        </w:rPr>
        <w:t>A</w:t>
      </w:r>
      <w:r w:rsidRPr="00FC64BF">
        <w:rPr>
          <w:rFonts w:cs="Times New Roman"/>
          <w:i/>
          <w:iCs/>
        </w:rPr>
        <w:t>ktivnost 3.1.4. Evaluacija socijalne intervencije – JUPI PILOT-a</w:t>
      </w:r>
    </w:p>
    <w:p w14:paraId="2CAB73C3" w14:textId="0D2806CB" w:rsidR="0017024D" w:rsidRPr="00FC64BF" w:rsidRDefault="0017024D" w:rsidP="00D36147">
      <w:pPr>
        <w:spacing w:after="0" w:line="276" w:lineRule="auto"/>
        <w:jc w:val="both"/>
        <w:rPr>
          <w:rFonts w:cs="Times New Roman"/>
          <w:i/>
          <w:iCs/>
        </w:rPr>
      </w:pPr>
      <w:r w:rsidRPr="00FC64BF">
        <w:rPr>
          <w:rFonts w:cs="Times New Roman"/>
          <w:i/>
          <w:iCs/>
        </w:rPr>
        <w:t>Nositelj provedbe: Ured</w:t>
      </w:r>
      <w:r w:rsidR="009B1CEB">
        <w:rPr>
          <w:rFonts w:cs="Times New Roman"/>
          <w:i/>
          <w:iCs/>
        </w:rPr>
        <w:t xml:space="preserve"> za ljudska prava  i prava nacionalnih manjina</w:t>
      </w:r>
      <w:r w:rsidRPr="00FC64BF">
        <w:rPr>
          <w:rFonts w:cs="Times New Roman"/>
          <w:i/>
          <w:iCs/>
        </w:rPr>
        <w:t xml:space="preserve"> </w:t>
      </w:r>
    </w:p>
    <w:p w14:paraId="3C1C7AD5" w14:textId="77777777" w:rsidR="00287202" w:rsidRPr="00FC64BF" w:rsidRDefault="00287202" w:rsidP="00D36147">
      <w:pPr>
        <w:spacing w:after="0" w:line="276" w:lineRule="auto"/>
        <w:jc w:val="both"/>
        <w:rPr>
          <w:rFonts w:cs="Times New Roman"/>
          <w:i/>
          <w:iCs/>
        </w:rPr>
      </w:pPr>
    </w:p>
    <w:p w14:paraId="78C1B59C" w14:textId="72418893" w:rsidR="00B40118" w:rsidRPr="00FC64BF" w:rsidRDefault="001C73AB" w:rsidP="00D36147">
      <w:pPr>
        <w:spacing w:after="0" w:line="276" w:lineRule="auto"/>
        <w:jc w:val="both"/>
        <w:rPr>
          <w:rFonts w:cs="Times New Roman"/>
          <w:iCs/>
          <w:szCs w:val="24"/>
        </w:rPr>
      </w:pPr>
      <w:r w:rsidRPr="00FC64BF">
        <w:rPr>
          <w:rFonts w:cs="Times New Roman"/>
          <w:iCs/>
          <w:szCs w:val="24"/>
        </w:rPr>
        <w:t>Provedba aktivnosti nije planirana u 202</w:t>
      </w:r>
      <w:r w:rsidR="005346B3">
        <w:rPr>
          <w:rFonts w:cs="Times New Roman"/>
          <w:iCs/>
          <w:szCs w:val="24"/>
        </w:rPr>
        <w:t>4</w:t>
      </w:r>
      <w:r w:rsidRPr="00FC64BF">
        <w:rPr>
          <w:rFonts w:cs="Times New Roman"/>
          <w:iCs/>
          <w:szCs w:val="24"/>
        </w:rPr>
        <w:t>.</w:t>
      </w:r>
      <w:r w:rsidR="00FB55F5">
        <w:rPr>
          <w:rFonts w:cs="Times New Roman"/>
          <w:iCs/>
          <w:szCs w:val="24"/>
        </w:rPr>
        <w:t xml:space="preserve"> godini.</w:t>
      </w:r>
      <w:r w:rsidRPr="00FC64BF">
        <w:rPr>
          <w:rFonts w:cs="Times New Roman"/>
          <w:iCs/>
          <w:szCs w:val="24"/>
        </w:rPr>
        <w:t xml:space="preserve"> </w:t>
      </w:r>
    </w:p>
    <w:p w14:paraId="2DCD80D4" w14:textId="77777777" w:rsidR="00807154" w:rsidRPr="00FC64BF" w:rsidRDefault="00807154" w:rsidP="00D36147">
      <w:pPr>
        <w:spacing w:after="0" w:line="276" w:lineRule="auto"/>
        <w:jc w:val="both"/>
        <w:rPr>
          <w:rFonts w:cs="Times New Roman"/>
        </w:rPr>
      </w:pPr>
    </w:p>
    <w:tbl>
      <w:tblPr>
        <w:tblStyle w:val="TableGrid"/>
        <w:tblW w:w="5003" w:type="pct"/>
        <w:tblLook w:val="04A0" w:firstRow="1" w:lastRow="0" w:firstColumn="1" w:lastColumn="0" w:noHBand="0" w:noVBand="1"/>
      </w:tblPr>
      <w:tblGrid>
        <w:gridCol w:w="2831"/>
        <w:gridCol w:w="2269"/>
        <w:gridCol w:w="2125"/>
        <w:gridCol w:w="1842"/>
      </w:tblGrid>
      <w:tr w:rsidR="00BB0EAF" w:rsidRPr="00BB0EAF" w14:paraId="6475A7B7" w14:textId="77777777" w:rsidTr="00807154">
        <w:trPr>
          <w:trHeight w:val="571"/>
        </w:trPr>
        <w:tc>
          <w:tcPr>
            <w:tcW w:w="1561" w:type="pct"/>
            <w:shd w:val="clear" w:color="auto" w:fill="F2F2F2" w:themeFill="background1" w:themeFillShade="F2"/>
            <w:vAlign w:val="center"/>
          </w:tcPr>
          <w:p w14:paraId="01E1DCE5" w14:textId="21D67EA4" w:rsidR="00006C69" w:rsidRPr="00FC64BF" w:rsidRDefault="00B510B5" w:rsidP="00D36147">
            <w:pPr>
              <w:rPr>
                <w:rFonts w:cs="Times New Roman"/>
                <w:b/>
                <w:sz w:val="20"/>
                <w:szCs w:val="20"/>
              </w:rPr>
            </w:pPr>
            <w:r w:rsidRPr="00FC64BF">
              <w:rPr>
                <w:rFonts w:cs="Times New Roman"/>
                <w:b/>
                <w:sz w:val="20"/>
                <w:szCs w:val="20"/>
              </w:rPr>
              <w:t>Pokazatelji provedbe i pokazatelji uspješnosti provedbe</w:t>
            </w:r>
          </w:p>
        </w:tc>
        <w:tc>
          <w:tcPr>
            <w:tcW w:w="1251" w:type="pct"/>
            <w:shd w:val="clear" w:color="auto" w:fill="F2F2F2" w:themeFill="background1" w:themeFillShade="F2"/>
            <w:vAlign w:val="center"/>
          </w:tcPr>
          <w:p w14:paraId="50E3E7FA" w14:textId="293025D6" w:rsidR="00006C69" w:rsidRPr="00FC64BF" w:rsidRDefault="00006C69" w:rsidP="00D36147">
            <w:pPr>
              <w:jc w:val="center"/>
              <w:rPr>
                <w:rFonts w:cs="Times New Roman"/>
                <w:b/>
                <w:sz w:val="20"/>
                <w:szCs w:val="20"/>
              </w:rPr>
            </w:pPr>
            <w:r w:rsidRPr="00FC64BF">
              <w:rPr>
                <w:rFonts w:cs="Times New Roman"/>
                <w:b/>
                <w:sz w:val="20"/>
                <w:szCs w:val="20"/>
              </w:rPr>
              <w:t>Broj mjerenja</w:t>
            </w:r>
          </w:p>
        </w:tc>
        <w:tc>
          <w:tcPr>
            <w:tcW w:w="1172" w:type="pct"/>
            <w:shd w:val="clear" w:color="auto" w:fill="F2F2F2" w:themeFill="background1" w:themeFillShade="F2"/>
            <w:vAlign w:val="center"/>
          </w:tcPr>
          <w:p w14:paraId="524730CC" w14:textId="77483FD4" w:rsidR="00006C69" w:rsidRPr="00FC64BF" w:rsidRDefault="00006C69" w:rsidP="00D36147">
            <w:pPr>
              <w:jc w:val="center"/>
              <w:rPr>
                <w:rFonts w:cs="Times New Roman"/>
                <w:b/>
                <w:sz w:val="20"/>
                <w:szCs w:val="20"/>
              </w:rPr>
            </w:pPr>
            <w:r w:rsidRPr="00FC64BF">
              <w:rPr>
                <w:rFonts w:cs="Times New Roman"/>
                <w:b/>
                <w:sz w:val="20"/>
                <w:szCs w:val="20"/>
              </w:rPr>
              <w:t>Broj izrađenih evaluacijskih izvješća</w:t>
            </w:r>
          </w:p>
        </w:tc>
        <w:tc>
          <w:tcPr>
            <w:tcW w:w="1016" w:type="pct"/>
            <w:shd w:val="clear" w:color="auto" w:fill="F2F2F2" w:themeFill="background1" w:themeFillShade="F2"/>
            <w:vAlign w:val="center"/>
          </w:tcPr>
          <w:p w14:paraId="1027DDD3" w14:textId="29C5A167" w:rsidR="00006C69" w:rsidRPr="00FC64BF" w:rsidRDefault="00006C69" w:rsidP="00D36147">
            <w:pPr>
              <w:jc w:val="center"/>
              <w:rPr>
                <w:rFonts w:cs="Times New Roman"/>
                <w:b/>
                <w:sz w:val="20"/>
                <w:szCs w:val="20"/>
              </w:rPr>
            </w:pPr>
          </w:p>
        </w:tc>
      </w:tr>
      <w:tr w:rsidR="00BB0EAF" w:rsidRPr="00BB0EAF" w14:paraId="10B2B6D7" w14:textId="77777777" w:rsidTr="00807154">
        <w:trPr>
          <w:trHeight w:val="389"/>
        </w:trPr>
        <w:tc>
          <w:tcPr>
            <w:tcW w:w="1561" w:type="pct"/>
            <w:shd w:val="clear" w:color="auto" w:fill="F2F2F2" w:themeFill="background1" w:themeFillShade="F2"/>
            <w:vAlign w:val="center"/>
          </w:tcPr>
          <w:p w14:paraId="10AFFCF0" w14:textId="62C04B15" w:rsidR="00006C69" w:rsidRPr="00FC64BF" w:rsidRDefault="00006C69" w:rsidP="009B1CEB">
            <w:pPr>
              <w:rPr>
                <w:rFonts w:cs="Times New Roman"/>
                <w:sz w:val="20"/>
                <w:szCs w:val="20"/>
              </w:rPr>
            </w:pPr>
            <w:r w:rsidRPr="00FC64BF">
              <w:rPr>
                <w:rFonts w:cs="Times New Roman"/>
                <w:sz w:val="20"/>
                <w:szCs w:val="20"/>
              </w:rPr>
              <w:t>Planirani ishodi za pokazatelje provedbe u 202</w:t>
            </w:r>
            <w:r w:rsidR="00BB0EAF">
              <w:rPr>
                <w:rFonts w:cs="Times New Roman"/>
                <w:sz w:val="20"/>
                <w:szCs w:val="20"/>
              </w:rPr>
              <w:t>4</w:t>
            </w:r>
            <w:r w:rsidRPr="00FC64BF">
              <w:rPr>
                <w:rFonts w:cs="Times New Roman"/>
                <w:sz w:val="20"/>
                <w:szCs w:val="20"/>
              </w:rPr>
              <w:t>. i</w:t>
            </w:r>
          </w:p>
        </w:tc>
        <w:tc>
          <w:tcPr>
            <w:tcW w:w="1251" w:type="pct"/>
            <w:tcBorders>
              <w:top w:val="single" w:sz="4" w:space="0" w:color="auto"/>
              <w:left w:val="single" w:sz="4" w:space="0" w:color="auto"/>
              <w:bottom w:val="single" w:sz="4" w:space="0" w:color="auto"/>
              <w:right w:val="single" w:sz="4" w:space="0" w:color="auto"/>
            </w:tcBorders>
            <w:vAlign w:val="center"/>
          </w:tcPr>
          <w:p w14:paraId="4A87346A" w14:textId="2748F319" w:rsidR="00006C69" w:rsidRPr="00FC64BF" w:rsidRDefault="00006C69" w:rsidP="00D36147">
            <w:pPr>
              <w:jc w:val="center"/>
              <w:rPr>
                <w:rFonts w:cs="Times New Roman"/>
                <w:sz w:val="20"/>
                <w:szCs w:val="20"/>
              </w:rPr>
            </w:pPr>
            <w:r w:rsidRPr="00FC64BF">
              <w:rPr>
                <w:rFonts w:cs="Times New Roman"/>
                <w:sz w:val="20"/>
                <w:szCs w:val="20"/>
              </w:rPr>
              <w:t>n/p</w:t>
            </w:r>
          </w:p>
        </w:tc>
        <w:tc>
          <w:tcPr>
            <w:tcW w:w="1172" w:type="pct"/>
            <w:tcBorders>
              <w:top w:val="single" w:sz="4" w:space="0" w:color="auto"/>
              <w:left w:val="single" w:sz="4" w:space="0" w:color="auto"/>
              <w:bottom w:val="single" w:sz="4" w:space="0" w:color="auto"/>
              <w:right w:val="single" w:sz="4" w:space="0" w:color="auto"/>
            </w:tcBorders>
            <w:vAlign w:val="center"/>
          </w:tcPr>
          <w:p w14:paraId="3FF2AD4F" w14:textId="367BABE7" w:rsidR="00006C69" w:rsidRPr="00FC64BF" w:rsidRDefault="00006C69" w:rsidP="00D36147">
            <w:pPr>
              <w:jc w:val="center"/>
              <w:rPr>
                <w:rFonts w:cs="Times New Roman"/>
                <w:sz w:val="20"/>
                <w:szCs w:val="20"/>
              </w:rPr>
            </w:pPr>
            <w:r w:rsidRPr="00FC64BF">
              <w:rPr>
                <w:rFonts w:cs="Times New Roman"/>
                <w:sz w:val="20"/>
                <w:szCs w:val="20"/>
              </w:rPr>
              <w:t>n/p</w:t>
            </w:r>
          </w:p>
        </w:tc>
        <w:tc>
          <w:tcPr>
            <w:tcW w:w="1016" w:type="pct"/>
            <w:vAlign w:val="center"/>
          </w:tcPr>
          <w:p w14:paraId="5BEF91A1" w14:textId="77777777" w:rsidR="00006C69" w:rsidRPr="00FC64BF" w:rsidRDefault="00006C69" w:rsidP="00D36147">
            <w:pPr>
              <w:jc w:val="center"/>
              <w:rPr>
                <w:rFonts w:cs="Times New Roman"/>
                <w:sz w:val="20"/>
                <w:szCs w:val="20"/>
              </w:rPr>
            </w:pPr>
            <w:r w:rsidRPr="00FC64BF">
              <w:rPr>
                <w:rFonts w:cs="Times New Roman"/>
                <w:sz w:val="20"/>
                <w:szCs w:val="20"/>
              </w:rPr>
              <w:t>/</w:t>
            </w:r>
          </w:p>
        </w:tc>
      </w:tr>
      <w:tr w:rsidR="00CE622A" w:rsidRPr="00BB0EAF" w14:paraId="1F6D8747" w14:textId="77777777" w:rsidTr="00807154">
        <w:trPr>
          <w:trHeight w:val="377"/>
        </w:trPr>
        <w:tc>
          <w:tcPr>
            <w:tcW w:w="1561" w:type="pct"/>
            <w:shd w:val="clear" w:color="auto" w:fill="F2F2F2" w:themeFill="background1" w:themeFillShade="F2"/>
            <w:vAlign w:val="center"/>
          </w:tcPr>
          <w:p w14:paraId="331D186B" w14:textId="060D3EC6" w:rsidR="00006C69" w:rsidRPr="00FC64BF" w:rsidRDefault="00006C69" w:rsidP="009B1CEB">
            <w:pPr>
              <w:rPr>
                <w:rFonts w:cs="Times New Roman"/>
                <w:sz w:val="20"/>
                <w:szCs w:val="20"/>
              </w:rPr>
            </w:pPr>
            <w:r w:rsidRPr="00FC64BF">
              <w:rPr>
                <w:rFonts w:cs="Times New Roman"/>
                <w:sz w:val="20"/>
                <w:szCs w:val="20"/>
              </w:rPr>
              <w:t>Ostvareni ishodi za pokazatelje provedbe u 202</w:t>
            </w:r>
            <w:r w:rsidR="00BB0EAF">
              <w:rPr>
                <w:rFonts w:cs="Times New Roman"/>
                <w:sz w:val="20"/>
                <w:szCs w:val="20"/>
              </w:rPr>
              <w:t>4</w:t>
            </w:r>
            <w:r w:rsidRPr="00FC64BF">
              <w:rPr>
                <w:rFonts w:cs="Times New Roman"/>
                <w:sz w:val="20"/>
                <w:szCs w:val="20"/>
              </w:rPr>
              <w:t xml:space="preserve">. </w:t>
            </w:r>
          </w:p>
        </w:tc>
        <w:tc>
          <w:tcPr>
            <w:tcW w:w="1251" w:type="pct"/>
            <w:vAlign w:val="center"/>
          </w:tcPr>
          <w:p w14:paraId="7E3E9131" w14:textId="566A9D8C" w:rsidR="00006C69" w:rsidRPr="00FC64BF" w:rsidRDefault="00006C69" w:rsidP="00D36147">
            <w:pPr>
              <w:jc w:val="center"/>
              <w:rPr>
                <w:rFonts w:cs="Times New Roman"/>
                <w:sz w:val="20"/>
                <w:szCs w:val="20"/>
              </w:rPr>
            </w:pPr>
            <w:r w:rsidRPr="00FC64BF">
              <w:rPr>
                <w:rFonts w:cs="Times New Roman"/>
                <w:sz w:val="20"/>
                <w:szCs w:val="20"/>
              </w:rPr>
              <w:t>0</w:t>
            </w:r>
          </w:p>
        </w:tc>
        <w:tc>
          <w:tcPr>
            <w:tcW w:w="1172" w:type="pct"/>
            <w:vAlign w:val="center"/>
          </w:tcPr>
          <w:p w14:paraId="4154FA37" w14:textId="77777777" w:rsidR="00006C69" w:rsidRPr="00FC64BF" w:rsidRDefault="00006C69" w:rsidP="00D36147">
            <w:pPr>
              <w:jc w:val="center"/>
              <w:rPr>
                <w:rFonts w:cs="Times New Roman"/>
                <w:sz w:val="20"/>
                <w:szCs w:val="20"/>
              </w:rPr>
            </w:pPr>
            <w:r w:rsidRPr="00FC64BF">
              <w:rPr>
                <w:rFonts w:cs="Times New Roman"/>
                <w:sz w:val="20"/>
                <w:szCs w:val="20"/>
              </w:rPr>
              <w:t>0</w:t>
            </w:r>
          </w:p>
        </w:tc>
        <w:tc>
          <w:tcPr>
            <w:tcW w:w="1016" w:type="pct"/>
            <w:vAlign w:val="center"/>
          </w:tcPr>
          <w:p w14:paraId="740FDBBB" w14:textId="77777777" w:rsidR="00006C69" w:rsidRPr="00FC64BF" w:rsidRDefault="00006C69" w:rsidP="00D36147">
            <w:pPr>
              <w:jc w:val="center"/>
              <w:rPr>
                <w:rFonts w:cs="Times New Roman"/>
                <w:sz w:val="20"/>
                <w:szCs w:val="20"/>
              </w:rPr>
            </w:pPr>
            <w:r w:rsidRPr="00FC64BF">
              <w:rPr>
                <w:rFonts w:cs="Times New Roman"/>
                <w:sz w:val="20"/>
                <w:szCs w:val="20"/>
              </w:rPr>
              <w:t>/</w:t>
            </w:r>
          </w:p>
        </w:tc>
      </w:tr>
      <w:tr w:rsidR="00BB0EAF" w:rsidRPr="00BB0EAF" w14:paraId="6B7A0F73" w14:textId="77777777" w:rsidTr="00807154">
        <w:trPr>
          <w:trHeight w:val="194"/>
        </w:trPr>
        <w:tc>
          <w:tcPr>
            <w:tcW w:w="1561" w:type="pct"/>
            <w:shd w:val="clear" w:color="auto" w:fill="F2F2F2" w:themeFill="background1" w:themeFillShade="F2"/>
            <w:vAlign w:val="center"/>
          </w:tcPr>
          <w:p w14:paraId="47EB6976" w14:textId="77777777" w:rsidR="00006C69" w:rsidRPr="00FC64BF" w:rsidRDefault="00006C69" w:rsidP="00D36147">
            <w:pPr>
              <w:rPr>
                <w:rFonts w:cs="Times New Roman"/>
                <w:b/>
                <w:sz w:val="20"/>
                <w:szCs w:val="20"/>
              </w:rPr>
            </w:pPr>
            <w:r w:rsidRPr="00FC64BF">
              <w:rPr>
                <w:rFonts w:cs="Times New Roman"/>
                <w:b/>
                <w:sz w:val="20"/>
                <w:szCs w:val="20"/>
              </w:rPr>
              <w:t xml:space="preserve">IZVORI FINANCIRANJA </w:t>
            </w:r>
          </w:p>
        </w:tc>
        <w:tc>
          <w:tcPr>
            <w:tcW w:w="1251" w:type="pct"/>
            <w:vAlign w:val="center"/>
          </w:tcPr>
          <w:p w14:paraId="2D39B653" w14:textId="77777777" w:rsidR="00006C69" w:rsidRPr="00FC64BF" w:rsidRDefault="00006C69" w:rsidP="00D36147">
            <w:pPr>
              <w:jc w:val="center"/>
              <w:rPr>
                <w:rFonts w:cs="Times New Roman"/>
                <w:b/>
                <w:sz w:val="20"/>
                <w:szCs w:val="20"/>
              </w:rPr>
            </w:pPr>
            <w:r w:rsidRPr="00FC64BF">
              <w:rPr>
                <w:rFonts w:cs="Times New Roman"/>
                <w:b/>
                <w:sz w:val="20"/>
                <w:szCs w:val="20"/>
              </w:rPr>
              <w:t>Državni proračun (EUR)</w:t>
            </w:r>
          </w:p>
        </w:tc>
        <w:tc>
          <w:tcPr>
            <w:tcW w:w="1172" w:type="pct"/>
            <w:vAlign w:val="center"/>
          </w:tcPr>
          <w:p w14:paraId="1A145B8E" w14:textId="29DF6D46" w:rsidR="00006C69" w:rsidRPr="00FC64BF" w:rsidRDefault="00006C69" w:rsidP="00D36147">
            <w:pPr>
              <w:jc w:val="center"/>
              <w:rPr>
                <w:rFonts w:cs="Times New Roman"/>
                <w:b/>
                <w:sz w:val="20"/>
                <w:szCs w:val="20"/>
              </w:rPr>
            </w:pPr>
            <w:r w:rsidRPr="00FC64BF">
              <w:rPr>
                <w:rFonts w:cs="Times New Roman"/>
                <w:b/>
                <w:sz w:val="20"/>
                <w:szCs w:val="20"/>
              </w:rPr>
              <w:t xml:space="preserve">EU financiranje </w:t>
            </w:r>
            <w:r w:rsidR="00176518" w:rsidRPr="00FC64BF">
              <w:rPr>
                <w:rFonts w:cs="Times New Roman"/>
                <w:b/>
                <w:sz w:val="20"/>
                <w:szCs w:val="20"/>
              </w:rPr>
              <w:t>(</w:t>
            </w:r>
            <w:r w:rsidRPr="00FC64BF">
              <w:rPr>
                <w:rFonts w:cs="Times New Roman"/>
                <w:b/>
                <w:sz w:val="20"/>
                <w:szCs w:val="20"/>
              </w:rPr>
              <w:t>EUR)</w:t>
            </w:r>
          </w:p>
        </w:tc>
        <w:tc>
          <w:tcPr>
            <w:tcW w:w="1016" w:type="pct"/>
            <w:vAlign w:val="center"/>
          </w:tcPr>
          <w:p w14:paraId="1A09226A" w14:textId="77777777" w:rsidR="00006C69" w:rsidRPr="00FC64BF" w:rsidRDefault="00006C69" w:rsidP="00D36147">
            <w:pPr>
              <w:jc w:val="center"/>
              <w:rPr>
                <w:rFonts w:cs="Times New Roman"/>
                <w:b/>
                <w:sz w:val="20"/>
                <w:szCs w:val="20"/>
              </w:rPr>
            </w:pPr>
            <w:r w:rsidRPr="00FC64BF">
              <w:rPr>
                <w:rFonts w:cs="Times New Roman"/>
                <w:b/>
                <w:sz w:val="20"/>
                <w:szCs w:val="20"/>
              </w:rPr>
              <w:t>Drugi izvori (EUR)</w:t>
            </w:r>
          </w:p>
        </w:tc>
      </w:tr>
      <w:tr w:rsidR="00CE622A" w:rsidRPr="00BB0EAF" w14:paraId="36F12777" w14:textId="77777777" w:rsidTr="00807154">
        <w:trPr>
          <w:trHeight w:val="571"/>
        </w:trPr>
        <w:tc>
          <w:tcPr>
            <w:tcW w:w="1561" w:type="pct"/>
            <w:shd w:val="clear" w:color="auto" w:fill="F2F2F2" w:themeFill="background1" w:themeFillShade="F2"/>
            <w:vAlign w:val="center"/>
          </w:tcPr>
          <w:p w14:paraId="44AFB1E7" w14:textId="452DD2C0" w:rsidR="00006C69" w:rsidRPr="00FC64BF" w:rsidRDefault="00006C69" w:rsidP="009B1CEB">
            <w:pPr>
              <w:rPr>
                <w:rFonts w:cs="Times New Roman"/>
                <w:sz w:val="20"/>
                <w:szCs w:val="20"/>
              </w:rPr>
            </w:pPr>
            <w:r w:rsidRPr="00FC64BF">
              <w:rPr>
                <w:rFonts w:cs="Times New Roman"/>
                <w:sz w:val="20"/>
                <w:szCs w:val="20"/>
              </w:rPr>
              <w:t>Izvori financiranja u 202</w:t>
            </w:r>
            <w:r w:rsidR="00BB0EAF">
              <w:rPr>
                <w:rFonts w:cs="Times New Roman"/>
                <w:sz w:val="20"/>
                <w:szCs w:val="20"/>
              </w:rPr>
              <w:t>4</w:t>
            </w:r>
            <w:r w:rsidRPr="00FC64BF">
              <w:rPr>
                <w:rFonts w:cs="Times New Roman"/>
                <w:sz w:val="20"/>
                <w:szCs w:val="20"/>
              </w:rPr>
              <w:t>. (proračunska pozicija i predviđeni iznos sredstava)</w:t>
            </w:r>
          </w:p>
        </w:tc>
        <w:tc>
          <w:tcPr>
            <w:tcW w:w="1251" w:type="pct"/>
            <w:vAlign w:val="center"/>
          </w:tcPr>
          <w:p w14:paraId="7D39490F" w14:textId="77777777" w:rsidR="00006C69" w:rsidRPr="00FC64BF" w:rsidRDefault="00006C69" w:rsidP="00D36147">
            <w:pPr>
              <w:jc w:val="center"/>
              <w:rPr>
                <w:rFonts w:cs="Times New Roman"/>
                <w:sz w:val="20"/>
                <w:szCs w:val="20"/>
              </w:rPr>
            </w:pPr>
            <w:r w:rsidRPr="00FC64BF">
              <w:rPr>
                <w:rFonts w:cs="Times New Roman"/>
                <w:sz w:val="20"/>
                <w:szCs w:val="20"/>
              </w:rPr>
              <w:t>A681000 –</w:t>
            </w:r>
          </w:p>
          <w:p w14:paraId="38F9206D" w14:textId="03817101" w:rsidR="00006C69" w:rsidRPr="00FC64BF" w:rsidRDefault="00006C69" w:rsidP="00D36147">
            <w:pPr>
              <w:jc w:val="center"/>
              <w:rPr>
                <w:rFonts w:cs="Times New Roman"/>
                <w:sz w:val="20"/>
                <w:szCs w:val="20"/>
              </w:rPr>
            </w:pPr>
            <w:r w:rsidRPr="00FC64BF">
              <w:rPr>
                <w:rFonts w:cs="Times New Roman"/>
                <w:sz w:val="20"/>
                <w:szCs w:val="20"/>
              </w:rPr>
              <w:t>Administracija i</w:t>
            </w:r>
            <w:r w:rsidR="0046652E" w:rsidRPr="00FC64BF">
              <w:rPr>
                <w:rFonts w:cs="Times New Roman"/>
                <w:sz w:val="20"/>
                <w:szCs w:val="20"/>
              </w:rPr>
              <w:t xml:space="preserve"> u</w:t>
            </w:r>
            <w:r w:rsidRPr="00FC64BF">
              <w:rPr>
                <w:rFonts w:cs="Times New Roman"/>
                <w:sz w:val="20"/>
                <w:szCs w:val="20"/>
              </w:rPr>
              <w:t>pravljanje</w:t>
            </w:r>
          </w:p>
        </w:tc>
        <w:tc>
          <w:tcPr>
            <w:tcW w:w="1172" w:type="pct"/>
            <w:vAlign w:val="center"/>
          </w:tcPr>
          <w:p w14:paraId="485DCA31" w14:textId="1417304A" w:rsidR="00006C69" w:rsidRPr="00FC64BF" w:rsidRDefault="00006C69" w:rsidP="00D36147">
            <w:pPr>
              <w:jc w:val="center"/>
              <w:rPr>
                <w:rFonts w:cs="Times New Roman"/>
                <w:sz w:val="20"/>
                <w:szCs w:val="20"/>
              </w:rPr>
            </w:pPr>
            <w:r w:rsidRPr="00FC64BF">
              <w:rPr>
                <w:rFonts w:cs="Times New Roman"/>
                <w:sz w:val="20"/>
                <w:szCs w:val="20"/>
              </w:rPr>
              <w:t>0,00</w:t>
            </w:r>
          </w:p>
        </w:tc>
        <w:tc>
          <w:tcPr>
            <w:tcW w:w="1016" w:type="pct"/>
            <w:vAlign w:val="center"/>
          </w:tcPr>
          <w:p w14:paraId="51229669" w14:textId="7447E490" w:rsidR="00006C69" w:rsidRPr="00FC64BF" w:rsidRDefault="00006C69" w:rsidP="00D36147">
            <w:pPr>
              <w:jc w:val="center"/>
              <w:rPr>
                <w:rFonts w:cs="Times New Roman"/>
                <w:sz w:val="20"/>
                <w:szCs w:val="20"/>
              </w:rPr>
            </w:pPr>
            <w:r w:rsidRPr="00FC64BF">
              <w:rPr>
                <w:rFonts w:cs="Times New Roman"/>
                <w:sz w:val="20"/>
                <w:szCs w:val="20"/>
              </w:rPr>
              <w:t>0,00</w:t>
            </w:r>
          </w:p>
        </w:tc>
      </w:tr>
      <w:tr w:rsidR="00CE622A" w:rsidRPr="00BB0EAF" w14:paraId="5E5C78F9" w14:textId="77777777" w:rsidTr="00807154">
        <w:trPr>
          <w:trHeight w:val="182"/>
        </w:trPr>
        <w:tc>
          <w:tcPr>
            <w:tcW w:w="1561" w:type="pct"/>
            <w:vMerge w:val="restart"/>
            <w:shd w:val="clear" w:color="auto" w:fill="F2F2F2" w:themeFill="background1" w:themeFillShade="F2"/>
            <w:vAlign w:val="center"/>
          </w:tcPr>
          <w:p w14:paraId="5C83DA98" w14:textId="77777777" w:rsidR="00006C69" w:rsidRPr="00FC64BF" w:rsidRDefault="00006C69" w:rsidP="00D36147">
            <w:pPr>
              <w:rPr>
                <w:rFonts w:cs="Times New Roman"/>
                <w:b/>
                <w:sz w:val="20"/>
                <w:szCs w:val="20"/>
              </w:rPr>
            </w:pPr>
            <w:r w:rsidRPr="00FC64BF">
              <w:rPr>
                <w:rFonts w:cs="Times New Roman"/>
                <w:b/>
                <w:sz w:val="20"/>
                <w:szCs w:val="20"/>
              </w:rPr>
              <w:t xml:space="preserve">UKUPNO UTROŠENA SREDSTVA PO IZVORU </w:t>
            </w:r>
          </w:p>
        </w:tc>
        <w:tc>
          <w:tcPr>
            <w:tcW w:w="1251" w:type="pct"/>
            <w:vAlign w:val="center"/>
          </w:tcPr>
          <w:p w14:paraId="4965D54E" w14:textId="77777777" w:rsidR="00006C69" w:rsidRPr="00FC64BF" w:rsidRDefault="00006C69" w:rsidP="00D36147">
            <w:pPr>
              <w:jc w:val="center"/>
              <w:rPr>
                <w:rFonts w:cs="Times New Roman"/>
                <w:b/>
                <w:sz w:val="20"/>
                <w:szCs w:val="20"/>
              </w:rPr>
            </w:pPr>
            <w:r w:rsidRPr="00FC64BF">
              <w:rPr>
                <w:rFonts w:cs="Times New Roman"/>
                <w:b/>
                <w:sz w:val="20"/>
                <w:szCs w:val="20"/>
              </w:rPr>
              <w:t>Državni proračun (EUR)</w:t>
            </w:r>
          </w:p>
        </w:tc>
        <w:tc>
          <w:tcPr>
            <w:tcW w:w="1172" w:type="pct"/>
            <w:vAlign w:val="center"/>
          </w:tcPr>
          <w:p w14:paraId="62B4F43D" w14:textId="77777777" w:rsidR="00006C69" w:rsidRPr="00FC64BF" w:rsidRDefault="00006C69" w:rsidP="00D36147">
            <w:pPr>
              <w:jc w:val="center"/>
              <w:rPr>
                <w:rFonts w:cs="Times New Roman"/>
                <w:b/>
                <w:sz w:val="20"/>
                <w:szCs w:val="20"/>
              </w:rPr>
            </w:pPr>
            <w:r w:rsidRPr="00FC64BF">
              <w:rPr>
                <w:rFonts w:cs="Times New Roman"/>
                <w:b/>
                <w:sz w:val="20"/>
                <w:szCs w:val="20"/>
              </w:rPr>
              <w:t>EU financiranje (EUR)</w:t>
            </w:r>
          </w:p>
        </w:tc>
        <w:tc>
          <w:tcPr>
            <w:tcW w:w="1016" w:type="pct"/>
            <w:vAlign w:val="center"/>
          </w:tcPr>
          <w:p w14:paraId="530ABF5F" w14:textId="77777777" w:rsidR="00006C69" w:rsidRPr="00FC64BF" w:rsidRDefault="00006C69" w:rsidP="00D36147">
            <w:pPr>
              <w:jc w:val="center"/>
              <w:rPr>
                <w:rFonts w:cs="Times New Roman"/>
                <w:b/>
                <w:sz w:val="20"/>
                <w:szCs w:val="20"/>
              </w:rPr>
            </w:pPr>
            <w:r w:rsidRPr="00FC64BF">
              <w:rPr>
                <w:rFonts w:cs="Times New Roman"/>
                <w:b/>
                <w:sz w:val="20"/>
                <w:szCs w:val="20"/>
              </w:rPr>
              <w:t>Drugi izvori (EUR)</w:t>
            </w:r>
          </w:p>
        </w:tc>
      </w:tr>
      <w:tr w:rsidR="00CE622A" w:rsidRPr="00BB0EAF" w14:paraId="40AA872C" w14:textId="77777777" w:rsidTr="00807154">
        <w:trPr>
          <w:trHeight w:val="790"/>
        </w:trPr>
        <w:tc>
          <w:tcPr>
            <w:tcW w:w="1561" w:type="pct"/>
            <w:vMerge/>
            <w:shd w:val="clear" w:color="auto" w:fill="F2F2F2" w:themeFill="background1" w:themeFillShade="F2"/>
            <w:vAlign w:val="center"/>
          </w:tcPr>
          <w:p w14:paraId="1C99E404" w14:textId="77777777" w:rsidR="00006C69" w:rsidRPr="00FC64BF" w:rsidRDefault="00006C69" w:rsidP="00D36147">
            <w:pPr>
              <w:rPr>
                <w:rFonts w:cs="Times New Roman"/>
                <w:b/>
                <w:sz w:val="20"/>
                <w:szCs w:val="20"/>
              </w:rPr>
            </w:pPr>
          </w:p>
        </w:tc>
        <w:tc>
          <w:tcPr>
            <w:tcW w:w="1251" w:type="pct"/>
            <w:vAlign w:val="center"/>
          </w:tcPr>
          <w:p w14:paraId="26A4546B" w14:textId="77777777" w:rsidR="001C73AB" w:rsidRPr="00FC64BF" w:rsidRDefault="001C73AB" w:rsidP="00D36147">
            <w:pPr>
              <w:jc w:val="center"/>
              <w:rPr>
                <w:rFonts w:cs="Times New Roman"/>
                <w:sz w:val="20"/>
                <w:szCs w:val="20"/>
              </w:rPr>
            </w:pPr>
            <w:r w:rsidRPr="00FC64BF">
              <w:rPr>
                <w:rFonts w:cs="Times New Roman"/>
                <w:sz w:val="20"/>
                <w:szCs w:val="20"/>
              </w:rPr>
              <w:t>A681000 –</w:t>
            </w:r>
          </w:p>
          <w:p w14:paraId="09475B8D" w14:textId="77777777" w:rsidR="001C73AB" w:rsidRPr="00FC64BF" w:rsidRDefault="001C73AB" w:rsidP="00D36147">
            <w:pPr>
              <w:jc w:val="center"/>
              <w:rPr>
                <w:rFonts w:cs="Times New Roman"/>
                <w:sz w:val="20"/>
                <w:szCs w:val="20"/>
              </w:rPr>
            </w:pPr>
            <w:r w:rsidRPr="00FC64BF">
              <w:rPr>
                <w:rFonts w:cs="Times New Roman"/>
                <w:sz w:val="20"/>
                <w:szCs w:val="20"/>
              </w:rPr>
              <w:t>Administracija i</w:t>
            </w:r>
          </w:p>
          <w:p w14:paraId="66B4CAED" w14:textId="05186DD7" w:rsidR="001C73AB" w:rsidRPr="00FC64BF" w:rsidRDefault="001C73AB" w:rsidP="00D36147">
            <w:pPr>
              <w:jc w:val="center"/>
              <w:rPr>
                <w:rFonts w:cs="Times New Roman"/>
                <w:sz w:val="20"/>
                <w:szCs w:val="20"/>
              </w:rPr>
            </w:pPr>
            <w:r w:rsidRPr="00FC64BF">
              <w:rPr>
                <w:rFonts w:cs="Times New Roman"/>
                <w:sz w:val="20"/>
                <w:szCs w:val="20"/>
              </w:rPr>
              <w:t>upravljanje</w:t>
            </w:r>
          </w:p>
          <w:p w14:paraId="05C26255" w14:textId="4835B295" w:rsidR="00006C69" w:rsidRPr="00FC64BF" w:rsidRDefault="00006C69" w:rsidP="00D36147">
            <w:pPr>
              <w:jc w:val="center"/>
              <w:rPr>
                <w:rFonts w:cs="Times New Roman"/>
                <w:b/>
                <w:bCs/>
                <w:sz w:val="20"/>
                <w:szCs w:val="20"/>
              </w:rPr>
            </w:pPr>
            <w:r w:rsidRPr="00FC64BF">
              <w:rPr>
                <w:rFonts w:cs="Times New Roman"/>
                <w:b/>
                <w:sz w:val="20"/>
                <w:szCs w:val="20"/>
              </w:rPr>
              <w:t>0,00</w:t>
            </w:r>
          </w:p>
        </w:tc>
        <w:tc>
          <w:tcPr>
            <w:tcW w:w="1172" w:type="pct"/>
            <w:vAlign w:val="center"/>
          </w:tcPr>
          <w:p w14:paraId="0D4316CC" w14:textId="77777777" w:rsidR="00006C69" w:rsidRPr="00FC64BF" w:rsidRDefault="00006C69" w:rsidP="00D36147">
            <w:pPr>
              <w:jc w:val="center"/>
              <w:rPr>
                <w:rFonts w:cs="Times New Roman"/>
                <w:bCs/>
                <w:sz w:val="20"/>
                <w:szCs w:val="20"/>
              </w:rPr>
            </w:pPr>
            <w:r w:rsidRPr="00FC64BF">
              <w:rPr>
                <w:rFonts w:cs="Times New Roman"/>
                <w:sz w:val="20"/>
                <w:szCs w:val="20"/>
              </w:rPr>
              <w:t>0,00</w:t>
            </w:r>
          </w:p>
        </w:tc>
        <w:tc>
          <w:tcPr>
            <w:tcW w:w="1016" w:type="pct"/>
            <w:vAlign w:val="center"/>
          </w:tcPr>
          <w:p w14:paraId="61CE4143" w14:textId="77777777" w:rsidR="00006C69" w:rsidRPr="00FC64BF" w:rsidRDefault="00006C69" w:rsidP="00D36147">
            <w:pPr>
              <w:jc w:val="center"/>
              <w:rPr>
                <w:rFonts w:cs="Times New Roman"/>
                <w:bCs/>
                <w:sz w:val="20"/>
                <w:szCs w:val="20"/>
              </w:rPr>
            </w:pPr>
            <w:r w:rsidRPr="00FC64BF">
              <w:rPr>
                <w:rFonts w:cs="Times New Roman"/>
                <w:bCs/>
                <w:sz w:val="20"/>
                <w:szCs w:val="20"/>
              </w:rPr>
              <w:t>0,00</w:t>
            </w:r>
          </w:p>
        </w:tc>
      </w:tr>
      <w:tr w:rsidR="00CE622A" w:rsidRPr="00BB0EAF" w14:paraId="7730C1B8" w14:textId="77777777" w:rsidTr="00D36147">
        <w:trPr>
          <w:trHeight w:val="377"/>
        </w:trPr>
        <w:tc>
          <w:tcPr>
            <w:tcW w:w="1561" w:type="pct"/>
            <w:shd w:val="clear" w:color="auto" w:fill="F2F2F2" w:themeFill="background1" w:themeFillShade="F2"/>
            <w:vAlign w:val="center"/>
          </w:tcPr>
          <w:p w14:paraId="69108909" w14:textId="4B9AC174" w:rsidR="00006C69" w:rsidRPr="00FC64BF" w:rsidRDefault="00006C69" w:rsidP="00D36147">
            <w:pPr>
              <w:rPr>
                <w:rFonts w:cs="Times New Roman"/>
                <w:sz w:val="20"/>
                <w:szCs w:val="20"/>
              </w:rPr>
            </w:pPr>
            <w:r w:rsidRPr="00FC64BF">
              <w:rPr>
                <w:rFonts w:cs="Times New Roman"/>
                <w:sz w:val="20"/>
                <w:szCs w:val="20"/>
              </w:rPr>
              <w:t xml:space="preserve">ROK PROVEDBE </w:t>
            </w:r>
            <w:r w:rsidR="0004140C" w:rsidRPr="00FC64BF">
              <w:rPr>
                <w:rFonts w:cs="Times New Roman"/>
                <w:sz w:val="20"/>
                <w:szCs w:val="20"/>
              </w:rPr>
              <w:t>A</w:t>
            </w:r>
            <w:r w:rsidRPr="00FC64BF">
              <w:rPr>
                <w:rFonts w:cs="Times New Roman"/>
                <w:sz w:val="20"/>
                <w:szCs w:val="20"/>
              </w:rPr>
              <w:t xml:space="preserve">KTIVNOSTI </w:t>
            </w:r>
          </w:p>
        </w:tc>
        <w:tc>
          <w:tcPr>
            <w:tcW w:w="3439" w:type="pct"/>
            <w:gridSpan w:val="3"/>
            <w:vAlign w:val="center"/>
          </w:tcPr>
          <w:p w14:paraId="3A66073F" w14:textId="77777777" w:rsidR="00006C69" w:rsidRPr="00FC64BF" w:rsidRDefault="00006C69" w:rsidP="00D36147">
            <w:pPr>
              <w:rPr>
                <w:rFonts w:cs="Times New Roman"/>
                <w:sz w:val="20"/>
                <w:szCs w:val="20"/>
              </w:rPr>
            </w:pPr>
            <w:r w:rsidRPr="00FC64BF">
              <w:rPr>
                <w:rFonts w:cs="Times New Roman"/>
                <w:sz w:val="20"/>
                <w:szCs w:val="20"/>
              </w:rPr>
              <w:t xml:space="preserve">IV. kvartal 2025. </w:t>
            </w:r>
          </w:p>
        </w:tc>
      </w:tr>
    </w:tbl>
    <w:p w14:paraId="569AD57D" w14:textId="77777777" w:rsidR="00BE32D7" w:rsidRPr="0059114B" w:rsidRDefault="00BE32D7" w:rsidP="004A3B23">
      <w:pPr>
        <w:spacing w:after="0" w:line="276" w:lineRule="auto"/>
        <w:jc w:val="both"/>
        <w:rPr>
          <w:rFonts w:cs="Times New Roman"/>
          <w:i/>
          <w:iCs/>
          <w:szCs w:val="24"/>
        </w:rPr>
      </w:pPr>
    </w:p>
    <w:p w14:paraId="27A700C2" w14:textId="77777777" w:rsidR="003379F1" w:rsidRPr="0059114B" w:rsidRDefault="003379F1" w:rsidP="004A3B23">
      <w:pPr>
        <w:spacing w:after="0" w:line="276" w:lineRule="auto"/>
        <w:jc w:val="both"/>
        <w:rPr>
          <w:rFonts w:cs="Times New Roman"/>
          <w:i/>
          <w:iCs/>
          <w:szCs w:val="24"/>
        </w:rPr>
      </w:pPr>
    </w:p>
    <w:p w14:paraId="3FA3789F" w14:textId="65B7C8AF" w:rsidR="00024EF9" w:rsidRPr="00FC64BF" w:rsidRDefault="00E1104B" w:rsidP="00D36147">
      <w:pPr>
        <w:spacing w:after="0" w:line="276" w:lineRule="auto"/>
        <w:jc w:val="both"/>
        <w:rPr>
          <w:rFonts w:cs="Times New Roman"/>
          <w:i/>
          <w:iCs/>
        </w:rPr>
      </w:pPr>
      <w:r w:rsidRPr="00FC64BF">
        <w:rPr>
          <w:rFonts w:cs="Times New Roman"/>
          <w:i/>
          <w:iCs/>
          <w:szCs w:val="24"/>
        </w:rPr>
        <w:lastRenderedPageBreak/>
        <w:t xml:space="preserve">Aktivnost </w:t>
      </w:r>
      <w:r w:rsidRPr="00FC64BF">
        <w:rPr>
          <w:rFonts w:cs="Times New Roman"/>
          <w:i/>
          <w:iCs/>
        </w:rPr>
        <w:t>3</w:t>
      </w:r>
      <w:r w:rsidR="00056BCB" w:rsidRPr="00FC64BF">
        <w:rPr>
          <w:rFonts w:cs="Times New Roman"/>
          <w:i/>
          <w:iCs/>
        </w:rPr>
        <w:t>.1.</w:t>
      </w:r>
      <w:r w:rsidR="00B40118" w:rsidRPr="00FC64BF">
        <w:rPr>
          <w:rFonts w:cs="Times New Roman"/>
          <w:i/>
          <w:iCs/>
        </w:rPr>
        <w:t>5</w:t>
      </w:r>
      <w:r w:rsidR="00056BCB" w:rsidRPr="00FC64BF">
        <w:rPr>
          <w:rFonts w:cs="Times New Roman"/>
          <w:i/>
          <w:iCs/>
        </w:rPr>
        <w:t>.</w:t>
      </w:r>
      <w:r w:rsidRPr="00FC64BF">
        <w:rPr>
          <w:rFonts w:cs="Times New Roman"/>
          <w:i/>
          <w:iCs/>
        </w:rPr>
        <w:t xml:space="preserve"> </w:t>
      </w:r>
      <w:r w:rsidR="00056BCB" w:rsidRPr="00FC64BF">
        <w:rPr>
          <w:rFonts w:cs="Times New Roman"/>
          <w:i/>
          <w:iCs/>
        </w:rPr>
        <w:t>Unapređenje transparentnosti praćenja provedbe Nacional</w:t>
      </w:r>
      <w:r w:rsidR="00024EF9" w:rsidRPr="00FC64BF">
        <w:rPr>
          <w:rFonts w:cs="Times New Roman"/>
          <w:i/>
          <w:iCs/>
        </w:rPr>
        <w:t>nog plana za uključivanje Roma</w:t>
      </w:r>
    </w:p>
    <w:p w14:paraId="2C1AE86E" w14:textId="762AAC14" w:rsidR="00056BCB" w:rsidRPr="00FC64BF" w:rsidRDefault="00024EF9" w:rsidP="00D36147">
      <w:pPr>
        <w:spacing w:after="0" w:line="276" w:lineRule="auto"/>
        <w:jc w:val="both"/>
        <w:rPr>
          <w:rFonts w:cs="Times New Roman"/>
          <w:i/>
          <w:iCs/>
        </w:rPr>
      </w:pPr>
      <w:r w:rsidRPr="00FC64BF">
        <w:rPr>
          <w:rFonts w:cs="Times New Roman"/>
          <w:i/>
          <w:iCs/>
        </w:rPr>
        <w:t xml:space="preserve">Nositelj provedbe: </w:t>
      </w:r>
      <w:r w:rsidR="00056BCB" w:rsidRPr="00FC64BF">
        <w:rPr>
          <w:rFonts w:cs="Times New Roman"/>
          <w:i/>
          <w:iCs/>
        </w:rPr>
        <w:t>Ured</w:t>
      </w:r>
      <w:r w:rsidR="009B1CEB" w:rsidRPr="009B1CEB">
        <w:rPr>
          <w:rFonts w:cs="Times New Roman"/>
          <w:i/>
          <w:iCs/>
        </w:rPr>
        <w:t xml:space="preserve"> </w:t>
      </w:r>
      <w:r w:rsidR="009B1CEB">
        <w:rPr>
          <w:rFonts w:cs="Times New Roman"/>
          <w:i/>
          <w:iCs/>
        </w:rPr>
        <w:t>za ljudska prava  i prava nacionalnih manjina</w:t>
      </w:r>
      <w:r w:rsidR="00056BCB" w:rsidRPr="00FC64BF">
        <w:rPr>
          <w:rFonts w:cs="Times New Roman"/>
          <w:i/>
          <w:iCs/>
        </w:rPr>
        <w:t xml:space="preserve"> </w:t>
      </w:r>
    </w:p>
    <w:p w14:paraId="6E98A494" w14:textId="77777777" w:rsidR="00807154" w:rsidRPr="00FC64BF" w:rsidRDefault="00807154" w:rsidP="00D36147">
      <w:pPr>
        <w:spacing w:after="0" w:line="276" w:lineRule="auto"/>
        <w:jc w:val="both"/>
        <w:rPr>
          <w:rFonts w:cs="Times New Roman"/>
          <w:i/>
          <w:iCs/>
        </w:rPr>
      </w:pPr>
    </w:p>
    <w:p w14:paraId="6DC6F432" w14:textId="7E7B83C1" w:rsidR="00D430F7" w:rsidRPr="00FC64BF" w:rsidRDefault="0046652E" w:rsidP="004A3B23">
      <w:pPr>
        <w:spacing w:after="0" w:line="276" w:lineRule="auto"/>
        <w:jc w:val="both"/>
        <w:rPr>
          <w:rFonts w:cs="Times New Roman"/>
          <w:szCs w:val="20"/>
        </w:rPr>
      </w:pPr>
      <w:r w:rsidRPr="00FC64BF">
        <w:rPr>
          <w:rFonts w:cs="Times New Roman"/>
          <w:szCs w:val="20"/>
        </w:rPr>
        <w:t>Provedba a</w:t>
      </w:r>
      <w:r w:rsidR="00D430F7" w:rsidRPr="00FC64BF">
        <w:rPr>
          <w:rFonts w:cs="Times New Roman"/>
          <w:szCs w:val="20"/>
        </w:rPr>
        <w:t>ktivnost</w:t>
      </w:r>
      <w:r w:rsidRPr="00FC64BF">
        <w:rPr>
          <w:rFonts w:cs="Times New Roman"/>
          <w:szCs w:val="20"/>
        </w:rPr>
        <w:t>i</w:t>
      </w:r>
      <w:r w:rsidR="00D430F7" w:rsidRPr="00FC64BF">
        <w:rPr>
          <w:rFonts w:cs="Times New Roman"/>
          <w:szCs w:val="20"/>
        </w:rPr>
        <w:t xml:space="preserve"> planirana za 202</w:t>
      </w:r>
      <w:r w:rsidR="00BB0EAF" w:rsidRPr="00FC64BF">
        <w:rPr>
          <w:rFonts w:cs="Times New Roman"/>
          <w:szCs w:val="20"/>
        </w:rPr>
        <w:t>4</w:t>
      </w:r>
      <w:r w:rsidR="00D430F7" w:rsidRPr="00FC64BF">
        <w:rPr>
          <w:rFonts w:cs="Times New Roman"/>
          <w:szCs w:val="20"/>
        </w:rPr>
        <w:t xml:space="preserve">. </w:t>
      </w:r>
      <w:r w:rsidR="00FB55F5">
        <w:rPr>
          <w:rFonts w:cs="Times New Roman"/>
          <w:szCs w:val="20"/>
        </w:rPr>
        <w:t xml:space="preserve">godinu </w:t>
      </w:r>
      <w:r w:rsidR="00D430F7" w:rsidRPr="00FC64BF">
        <w:rPr>
          <w:rFonts w:cs="Times New Roman"/>
          <w:szCs w:val="20"/>
        </w:rPr>
        <w:t xml:space="preserve">se </w:t>
      </w:r>
      <w:r w:rsidRPr="00FC64BF">
        <w:rPr>
          <w:rFonts w:cs="Times New Roman"/>
          <w:szCs w:val="20"/>
        </w:rPr>
        <w:t>planira u 202</w:t>
      </w:r>
      <w:r w:rsidR="00BB0EAF" w:rsidRPr="00FC64BF">
        <w:rPr>
          <w:rFonts w:cs="Times New Roman"/>
          <w:szCs w:val="20"/>
        </w:rPr>
        <w:t>5</w:t>
      </w:r>
      <w:r w:rsidRPr="00FC64BF">
        <w:rPr>
          <w:rFonts w:cs="Times New Roman"/>
          <w:szCs w:val="20"/>
        </w:rPr>
        <w:t xml:space="preserve">. </w:t>
      </w:r>
      <w:r w:rsidR="00FB55F5">
        <w:rPr>
          <w:rFonts w:cs="Times New Roman"/>
          <w:szCs w:val="20"/>
        </w:rPr>
        <w:t xml:space="preserve">godini </w:t>
      </w:r>
      <w:r w:rsidR="00D430F7" w:rsidRPr="00FC64BF">
        <w:rPr>
          <w:rFonts w:cs="Times New Roman"/>
          <w:szCs w:val="20"/>
        </w:rPr>
        <w:t xml:space="preserve">radi racionalizacije provedbe. </w:t>
      </w:r>
      <w:r w:rsidR="0029037B" w:rsidRPr="00FC64BF">
        <w:rPr>
          <w:rFonts w:cs="Times New Roman"/>
          <w:szCs w:val="20"/>
        </w:rPr>
        <w:t>U 202</w:t>
      </w:r>
      <w:r w:rsidR="00BB0EAF" w:rsidRPr="00FC64BF">
        <w:rPr>
          <w:rFonts w:cs="Times New Roman"/>
          <w:szCs w:val="20"/>
        </w:rPr>
        <w:t>4</w:t>
      </w:r>
      <w:r w:rsidR="0029037B" w:rsidRPr="00FC64BF">
        <w:rPr>
          <w:rFonts w:cs="Times New Roman"/>
          <w:szCs w:val="20"/>
        </w:rPr>
        <w:t xml:space="preserve">. </w:t>
      </w:r>
      <w:r w:rsidR="00FB55F5">
        <w:rPr>
          <w:rFonts w:cs="Times New Roman"/>
          <w:szCs w:val="20"/>
        </w:rPr>
        <w:t xml:space="preserve">godini </w:t>
      </w:r>
      <w:r w:rsidR="0029037B" w:rsidRPr="00FC64BF">
        <w:rPr>
          <w:rFonts w:cs="Times New Roman"/>
          <w:szCs w:val="20"/>
        </w:rPr>
        <w:t>su provedene pripremne aktivnosti Ured</w:t>
      </w:r>
      <w:r w:rsidR="005E2040" w:rsidRPr="00FC64BF">
        <w:rPr>
          <w:rFonts w:cs="Times New Roman"/>
          <w:szCs w:val="20"/>
        </w:rPr>
        <w:t xml:space="preserve">a </w:t>
      </w:r>
      <w:r w:rsidR="0029037B" w:rsidRPr="00FC64BF">
        <w:rPr>
          <w:rFonts w:cs="Times New Roman"/>
          <w:szCs w:val="20"/>
        </w:rPr>
        <w:t xml:space="preserve">s relevantnim dionicima, vijećima i predstavnicima nacionalnih manjina, predstavnicima </w:t>
      </w:r>
      <w:r w:rsidR="00FE7B55">
        <w:rPr>
          <w:rFonts w:eastAsia="Droid Sans Fallback"/>
          <w:kern w:val="1"/>
          <w:szCs w:val="24"/>
          <w:lang w:eastAsia="zh-CN" w:bidi="hi-IN"/>
        </w:rPr>
        <w:t>JLP(R)S</w:t>
      </w:r>
      <w:r w:rsidR="0029037B" w:rsidRPr="00FC64BF">
        <w:rPr>
          <w:rFonts w:cs="Times New Roman"/>
          <w:szCs w:val="20"/>
        </w:rPr>
        <w:t xml:space="preserve">, civilnog društva i akademske zajednice. </w:t>
      </w:r>
      <w:r w:rsidR="00340D07" w:rsidRPr="00FC64BF">
        <w:rPr>
          <w:rFonts w:cs="Times New Roman"/>
        </w:rPr>
        <w:t>U tom kontekstu, potpora je pružena i udrugama uključenim u projekt E</w:t>
      </w:r>
      <w:r w:rsidR="00813943" w:rsidRPr="00FC64BF">
        <w:rPr>
          <w:rFonts w:cs="Times New Roman"/>
        </w:rPr>
        <w:t>uropske komisije</w:t>
      </w:r>
      <w:r w:rsidR="00340D07" w:rsidRPr="00FC64BF">
        <w:rPr>
          <w:rFonts w:cs="Times New Roman"/>
        </w:rPr>
        <w:t xml:space="preserve"> Roma Civil Monitoring te su predstavnici Ureda</w:t>
      </w:r>
      <w:r w:rsidR="00D20E8D" w:rsidRPr="00FC64BF">
        <w:rPr>
          <w:rFonts w:cs="Times New Roman"/>
        </w:rPr>
        <w:t xml:space="preserve"> </w:t>
      </w:r>
      <w:r w:rsidR="00340D07" w:rsidRPr="00FC64BF">
        <w:rPr>
          <w:rFonts w:cs="Times New Roman"/>
        </w:rPr>
        <w:t xml:space="preserve">održali </w:t>
      </w:r>
      <w:r w:rsidR="00BB0EAF" w:rsidRPr="00FC64BF">
        <w:rPr>
          <w:rFonts w:cs="Times New Roman"/>
        </w:rPr>
        <w:t xml:space="preserve">sastanak 29. kolovoza 2024. te </w:t>
      </w:r>
      <w:r w:rsidR="00340D07" w:rsidRPr="00FC64BF">
        <w:rPr>
          <w:rFonts w:cs="Times New Roman"/>
        </w:rPr>
        <w:t xml:space="preserve">prezentaciju na skupu </w:t>
      </w:r>
      <w:r w:rsidR="00BB0EAF" w:rsidRPr="00FC64BF">
        <w:rPr>
          <w:rStyle w:val="Emphasis"/>
          <w:bCs/>
        </w:rPr>
        <w:t xml:space="preserve">Prijedlog mjera za ravnopravan pristup obrazovanju s naglaskom na djecu romske nacionalne manjine“, </w:t>
      </w:r>
      <w:r w:rsidR="00BB0EAF" w:rsidRPr="00A440ED">
        <w:rPr>
          <w:bCs/>
        </w:rPr>
        <w:t>25. studenog 2024</w:t>
      </w:r>
      <w:r w:rsidR="003379F1">
        <w:rPr>
          <w:bCs/>
        </w:rPr>
        <w:t>.</w:t>
      </w:r>
      <w:r w:rsidR="00BB0EAF" w:rsidRPr="00A440ED">
        <w:rPr>
          <w:bCs/>
        </w:rPr>
        <w:t>, u Zagrebu</w:t>
      </w:r>
      <w:r w:rsidR="00340D07" w:rsidRPr="00FC64BF">
        <w:rPr>
          <w:rFonts w:cs="Times New Roman"/>
        </w:rPr>
        <w:t>.</w:t>
      </w:r>
      <w:r w:rsidR="006D2894" w:rsidRPr="00FC64BF">
        <w:rPr>
          <w:rFonts w:cs="Times New Roman"/>
          <w:szCs w:val="20"/>
        </w:rPr>
        <w:t xml:space="preserve"> </w:t>
      </w:r>
      <w:r w:rsidR="00BB0EAF" w:rsidRPr="00FC64BF">
        <w:rPr>
          <w:rFonts w:cs="Times New Roman"/>
          <w:szCs w:val="20"/>
        </w:rPr>
        <w:t xml:space="preserve">Također, delegacija Povjerenstva (ravnatelj </w:t>
      </w:r>
      <w:r w:rsidR="003379F1">
        <w:rPr>
          <w:rFonts w:cs="Times New Roman"/>
          <w:szCs w:val="20"/>
        </w:rPr>
        <w:t>Ureda</w:t>
      </w:r>
      <w:r w:rsidR="003379F1" w:rsidRPr="00FC64BF">
        <w:rPr>
          <w:rFonts w:cs="Times New Roman"/>
          <w:szCs w:val="20"/>
        </w:rPr>
        <w:t xml:space="preserve"> </w:t>
      </w:r>
      <w:r w:rsidR="00BB0EAF" w:rsidRPr="00FC64BF">
        <w:rPr>
          <w:rFonts w:cs="Times New Roman"/>
          <w:szCs w:val="20"/>
        </w:rPr>
        <w:t>i voditelj Radne skupine</w:t>
      </w:r>
      <w:r w:rsidR="003379F1">
        <w:rPr>
          <w:rFonts w:cs="Times New Roman"/>
          <w:szCs w:val="20"/>
        </w:rPr>
        <w:t xml:space="preserve"> Povjerenstva</w:t>
      </w:r>
      <w:r w:rsidR="00BB0EAF" w:rsidRPr="00FC64BF">
        <w:rPr>
          <w:rFonts w:cs="Times New Roman"/>
          <w:szCs w:val="20"/>
        </w:rPr>
        <w:t xml:space="preserve"> Alen Tahiri, potpredsjednik Povjerenstva i saborski zastupnik Veljko Kajtazi te predsjednica </w:t>
      </w:r>
      <w:r w:rsidR="003379F1">
        <w:rPr>
          <w:rFonts w:cs="Times New Roman"/>
          <w:szCs w:val="20"/>
        </w:rPr>
        <w:t>Saveza Roma u Republici Hrvatskoj</w:t>
      </w:r>
      <w:r w:rsidR="003379F1" w:rsidRPr="00FC64BF">
        <w:rPr>
          <w:rFonts w:cs="Times New Roman"/>
          <w:szCs w:val="20"/>
        </w:rPr>
        <w:t xml:space="preserve"> </w:t>
      </w:r>
      <w:r w:rsidR="003379F1">
        <w:rPr>
          <w:rFonts w:cs="Times New Roman"/>
          <w:szCs w:val="20"/>
        </w:rPr>
        <w:t>„</w:t>
      </w:r>
      <w:r w:rsidR="00BB0EAF" w:rsidRPr="00FC64BF">
        <w:rPr>
          <w:rFonts w:cs="Times New Roman"/>
          <w:szCs w:val="20"/>
        </w:rPr>
        <w:t>Kali Sara</w:t>
      </w:r>
      <w:r w:rsidR="003379F1">
        <w:rPr>
          <w:rFonts w:cs="Times New Roman"/>
          <w:szCs w:val="20"/>
        </w:rPr>
        <w:t>“</w:t>
      </w:r>
      <w:r w:rsidR="00BB0EAF" w:rsidRPr="00FC64BF">
        <w:rPr>
          <w:rFonts w:cs="Times New Roman"/>
          <w:szCs w:val="20"/>
        </w:rPr>
        <w:t xml:space="preserve"> Suzana Krčmar</w:t>
      </w:r>
      <w:r w:rsidR="009F406A">
        <w:rPr>
          <w:rFonts w:cs="Times New Roman"/>
          <w:szCs w:val="20"/>
        </w:rPr>
        <w:t>)</w:t>
      </w:r>
      <w:r w:rsidR="00BB0EAF" w:rsidRPr="00FC64BF">
        <w:rPr>
          <w:rFonts w:cs="Times New Roman"/>
          <w:szCs w:val="20"/>
        </w:rPr>
        <w:t xml:space="preserve"> posjetili su Općinu Pribislavec 20. prosinca 2024.</w:t>
      </w:r>
    </w:p>
    <w:p w14:paraId="049311BC" w14:textId="77777777" w:rsidR="00D430F7" w:rsidRPr="00FC64BF" w:rsidRDefault="00D430F7" w:rsidP="00D36147">
      <w:pPr>
        <w:spacing w:after="0" w:line="276" w:lineRule="auto"/>
        <w:jc w:val="both"/>
        <w:rPr>
          <w:rFonts w:cs="Times New Roman"/>
        </w:rPr>
      </w:pPr>
    </w:p>
    <w:p w14:paraId="0609F4E2" w14:textId="53EC1EE7" w:rsidR="005C1C25" w:rsidRPr="00FC64BF" w:rsidRDefault="006D2894" w:rsidP="00D36147">
      <w:pPr>
        <w:spacing w:after="0" w:line="276" w:lineRule="auto"/>
        <w:jc w:val="both"/>
        <w:rPr>
          <w:rFonts w:cs="Times New Roman"/>
          <w:szCs w:val="20"/>
        </w:rPr>
      </w:pPr>
      <w:r w:rsidRPr="00FC64BF">
        <w:rPr>
          <w:rFonts w:cs="Times New Roman"/>
          <w:szCs w:val="20"/>
        </w:rPr>
        <w:t>Objava Poziva na dostavu projektnog prijedloga kojim će se financirati ove aktivnosti, planirana je u 202</w:t>
      </w:r>
      <w:r w:rsidR="00340C45" w:rsidRPr="00FC64BF">
        <w:rPr>
          <w:rFonts w:cs="Times New Roman"/>
          <w:szCs w:val="20"/>
        </w:rPr>
        <w:t>5</w:t>
      </w:r>
      <w:r w:rsidRPr="00FC64BF">
        <w:rPr>
          <w:rFonts w:cs="Times New Roman"/>
          <w:szCs w:val="20"/>
        </w:rPr>
        <w:t>.</w:t>
      </w:r>
      <w:r w:rsidR="003379F1">
        <w:rPr>
          <w:rFonts w:cs="Times New Roman"/>
          <w:szCs w:val="20"/>
        </w:rPr>
        <w:t xml:space="preserve"> </w:t>
      </w:r>
      <w:r w:rsidR="00FB55F5">
        <w:rPr>
          <w:rFonts w:cs="Times New Roman"/>
          <w:szCs w:val="20"/>
        </w:rPr>
        <w:t>godini.</w:t>
      </w:r>
    </w:p>
    <w:p w14:paraId="21130D84" w14:textId="77777777" w:rsidR="00664C9A" w:rsidRPr="00FC64BF" w:rsidRDefault="00664C9A" w:rsidP="00D36147">
      <w:pPr>
        <w:spacing w:after="0" w:line="276" w:lineRule="auto"/>
        <w:jc w:val="both"/>
        <w:rPr>
          <w:rFonts w:cs="Times New Roman"/>
          <w:szCs w:val="20"/>
        </w:rPr>
      </w:pPr>
    </w:p>
    <w:tbl>
      <w:tblPr>
        <w:tblStyle w:val="TableGrid"/>
        <w:tblpPr w:leftFromText="180" w:rightFromText="180" w:vertAnchor="text" w:horzAnchor="margin" w:tblpY="194"/>
        <w:tblW w:w="9209" w:type="dxa"/>
        <w:tblLook w:val="04A0" w:firstRow="1" w:lastRow="0" w:firstColumn="1" w:lastColumn="0" w:noHBand="0" w:noVBand="1"/>
      </w:tblPr>
      <w:tblGrid>
        <w:gridCol w:w="2767"/>
        <w:gridCol w:w="2167"/>
        <w:gridCol w:w="2007"/>
        <w:gridCol w:w="2268"/>
      </w:tblGrid>
      <w:tr w:rsidR="00340C45" w:rsidRPr="00340C45" w14:paraId="3940C9CF" w14:textId="77777777" w:rsidTr="005D72D8">
        <w:tc>
          <w:tcPr>
            <w:tcW w:w="2767" w:type="dxa"/>
            <w:shd w:val="clear" w:color="auto" w:fill="F2F2F2" w:themeFill="background1" w:themeFillShade="F2"/>
            <w:vAlign w:val="center"/>
          </w:tcPr>
          <w:p w14:paraId="2361785B" w14:textId="6E763192" w:rsidR="00EE3B7D" w:rsidRPr="00FC64BF" w:rsidRDefault="00B510B5" w:rsidP="00D36147">
            <w:pPr>
              <w:rPr>
                <w:b/>
                <w:sz w:val="18"/>
                <w:szCs w:val="18"/>
              </w:rPr>
            </w:pPr>
            <w:r w:rsidRPr="00FC64BF">
              <w:rPr>
                <w:b/>
                <w:sz w:val="18"/>
                <w:szCs w:val="18"/>
              </w:rPr>
              <w:t>Pokazatelji provedbe i pokazatelji uspješnosti provedbe</w:t>
            </w:r>
          </w:p>
        </w:tc>
        <w:tc>
          <w:tcPr>
            <w:tcW w:w="2167" w:type="dxa"/>
            <w:shd w:val="clear" w:color="auto" w:fill="F2F2F2" w:themeFill="background1" w:themeFillShade="F2"/>
            <w:vAlign w:val="center"/>
          </w:tcPr>
          <w:p w14:paraId="6D530B3B" w14:textId="09C0FB0B" w:rsidR="00EE3B7D" w:rsidRPr="00FC64BF" w:rsidRDefault="00AB51EB" w:rsidP="00A75D55">
            <w:pPr>
              <w:jc w:val="center"/>
              <w:rPr>
                <w:b/>
                <w:sz w:val="18"/>
                <w:szCs w:val="18"/>
              </w:rPr>
            </w:pPr>
            <w:r w:rsidRPr="00FC64BF">
              <w:rPr>
                <w:b/>
                <w:sz w:val="18"/>
                <w:szCs w:val="18"/>
              </w:rPr>
              <w:t>Broj izrađenih izvješća o</w:t>
            </w:r>
            <w:r w:rsidR="00A75D55" w:rsidRPr="00FC64BF">
              <w:rPr>
                <w:b/>
                <w:sz w:val="18"/>
                <w:szCs w:val="18"/>
              </w:rPr>
              <w:t xml:space="preserve"> p</w:t>
            </w:r>
            <w:r w:rsidRPr="00FC64BF">
              <w:rPr>
                <w:b/>
                <w:sz w:val="18"/>
                <w:szCs w:val="18"/>
              </w:rPr>
              <w:t>rovedbi putem alata</w:t>
            </w:r>
            <w:r w:rsidR="00A75D55" w:rsidRPr="00FC64BF">
              <w:rPr>
                <w:b/>
                <w:sz w:val="18"/>
                <w:szCs w:val="18"/>
              </w:rPr>
              <w:t>/</w:t>
            </w:r>
            <w:r w:rsidR="00A82F9C" w:rsidRPr="00FC64BF">
              <w:rPr>
                <w:b/>
                <w:sz w:val="18"/>
                <w:szCs w:val="18"/>
              </w:rPr>
              <w:t>b</w:t>
            </w:r>
            <w:r w:rsidRPr="00FC64BF">
              <w:rPr>
                <w:b/>
                <w:sz w:val="18"/>
                <w:szCs w:val="18"/>
              </w:rPr>
              <w:t>roj istraživačkih</w:t>
            </w:r>
            <w:r w:rsidR="00A75D55" w:rsidRPr="00FC64BF">
              <w:rPr>
                <w:b/>
                <w:sz w:val="18"/>
                <w:szCs w:val="18"/>
              </w:rPr>
              <w:t xml:space="preserve"> </w:t>
            </w:r>
            <w:r w:rsidR="00A82F9C" w:rsidRPr="00FC64BF">
              <w:rPr>
                <w:b/>
                <w:sz w:val="18"/>
                <w:szCs w:val="18"/>
              </w:rPr>
              <w:t>i</w:t>
            </w:r>
            <w:r w:rsidRPr="00FC64BF">
              <w:rPr>
                <w:b/>
                <w:sz w:val="18"/>
                <w:szCs w:val="18"/>
              </w:rPr>
              <w:t>zvješća</w:t>
            </w:r>
          </w:p>
        </w:tc>
        <w:tc>
          <w:tcPr>
            <w:tcW w:w="2007" w:type="dxa"/>
            <w:shd w:val="clear" w:color="auto" w:fill="F2F2F2" w:themeFill="background1" w:themeFillShade="F2"/>
            <w:vAlign w:val="center"/>
          </w:tcPr>
          <w:p w14:paraId="25E2BDE9" w14:textId="665E1333" w:rsidR="00EE3B7D" w:rsidRPr="00FC64BF" w:rsidRDefault="00AB51EB" w:rsidP="00A75D55">
            <w:pPr>
              <w:jc w:val="center"/>
              <w:rPr>
                <w:b/>
                <w:sz w:val="18"/>
                <w:szCs w:val="18"/>
              </w:rPr>
            </w:pPr>
            <w:r w:rsidRPr="00FC64BF">
              <w:rPr>
                <w:b/>
                <w:sz w:val="18"/>
                <w:szCs w:val="18"/>
              </w:rPr>
              <w:t>Broj dionika koji su</w:t>
            </w:r>
            <w:r w:rsidR="00A75D55" w:rsidRPr="00FC64BF">
              <w:rPr>
                <w:b/>
                <w:sz w:val="18"/>
                <w:szCs w:val="18"/>
              </w:rPr>
              <w:t xml:space="preserve"> s</w:t>
            </w:r>
            <w:r w:rsidRPr="00FC64BF">
              <w:rPr>
                <w:b/>
                <w:sz w:val="18"/>
                <w:szCs w:val="18"/>
              </w:rPr>
              <w:t>udjelovali u izradi</w:t>
            </w:r>
            <w:r w:rsidR="00A75D55" w:rsidRPr="00FC64BF">
              <w:rPr>
                <w:b/>
                <w:sz w:val="18"/>
                <w:szCs w:val="18"/>
              </w:rPr>
              <w:t xml:space="preserve"> i</w:t>
            </w:r>
            <w:r w:rsidRPr="00FC64BF">
              <w:rPr>
                <w:b/>
                <w:sz w:val="18"/>
                <w:szCs w:val="18"/>
              </w:rPr>
              <w:t>zvješća putem on-line</w:t>
            </w:r>
            <w:r w:rsidR="00A75D55" w:rsidRPr="00FC64BF">
              <w:rPr>
                <w:b/>
                <w:sz w:val="18"/>
                <w:szCs w:val="18"/>
              </w:rPr>
              <w:t xml:space="preserve"> P</w:t>
            </w:r>
            <w:r w:rsidRPr="00FC64BF">
              <w:rPr>
                <w:b/>
                <w:sz w:val="18"/>
                <w:szCs w:val="18"/>
              </w:rPr>
              <w:t>latforme/broj sudionika</w:t>
            </w:r>
            <w:r w:rsidR="00A75D55" w:rsidRPr="00FC64BF">
              <w:rPr>
                <w:b/>
                <w:sz w:val="18"/>
                <w:szCs w:val="18"/>
              </w:rPr>
              <w:t xml:space="preserve"> </w:t>
            </w:r>
            <w:r w:rsidRPr="00FC64BF">
              <w:rPr>
                <w:b/>
                <w:sz w:val="18"/>
                <w:szCs w:val="18"/>
              </w:rPr>
              <w:t>istraživanja</w:t>
            </w:r>
          </w:p>
        </w:tc>
        <w:tc>
          <w:tcPr>
            <w:tcW w:w="2268" w:type="dxa"/>
            <w:shd w:val="clear" w:color="auto" w:fill="F2F2F2" w:themeFill="background1" w:themeFillShade="F2"/>
            <w:vAlign w:val="center"/>
          </w:tcPr>
          <w:p w14:paraId="069C67A5" w14:textId="5A3FDABD" w:rsidR="00EE3B7D" w:rsidRPr="00FC64BF" w:rsidRDefault="00807154" w:rsidP="00A75D55">
            <w:pPr>
              <w:jc w:val="center"/>
              <w:rPr>
                <w:b/>
                <w:sz w:val="18"/>
                <w:szCs w:val="18"/>
              </w:rPr>
            </w:pPr>
            <w:r w:rsidRPr="00FC64BF">
              <w:rPr>
                <w:b/>
                <w:sz w:val="18"/>
                <w:szCs w:val="18"/>
              </w:rPr>
              <w:t>Broj predstavnika romske</w:t>
            </w:r>
            <w:r w:rsidR="00A75D55" w:rsidRPr="00FC64BF">
              <w:rPr>
                <w:b/>
                <w:sz w:val="18"/>
                <w:szCs w:val="18"/>
              </w:rPr>
              <w:t xml:space="preserve"> </w:t>
            </w:r>
            <w:r w:rsidRPr="00FC64BF">
              <w:rPr>
                <w:b/>
                <w:sz w:val="18"/>
                <w:szCs w:val="18"/>
              </w:rPr>
              <w:t>nacionalne manjine koji su sudjelovali u izradi</w:t>
            </w:r>
            <w:r w:rsidR="00A75D55" w:rsidRPr="00FC64BF">
              <w:rPr>
                <w:b/>
                <w:sz w:val="18"/>
                <w:szCs w:val="18"/>
              </w:rPr>
              <w:t xml:space="preserve"> </w:t>
            </w:r>
            <w:r w:rsidRPr="00FC64BF">
              <w:rPr>
                <w:b/>
                <w:sz w:val="18"/>
                <w:szCs w:val="18"/>
              </w:rPr>
              <w:t>izvješća/broj sudionika iz</w:t>
            </w:r>
            <w:r w:rsidR="00A75D55" w:rsidRPr="00FC64BF">
              <w:rPr>
                <w:b/>
                <w:sz w:val="18"/>
                <w:szCs w:val="18"/>
              </w:rPr>
              <w:t xml:space="preserve"> r</w:t>
            </w:r>
            <w:r w:rsidRPr="00FC64BF">
              <w:rPr>
                <w:b/>
                <w:sz w:val="18"/>
                <w:szCs w:val="18"/>
              </w:rPr>
              <w:t>edova romske nacionalne</w:t>
            </w:r>
            <w:r w:rsidR="00A75D55" w:rsidRPr="00FC64BF">
              <w:rPr>
                <w:b/>
                <w:sz w:val="18"/>
                <w:szCs w:val="18"/>
              </w:rPr>
              <w:t xml:space="preserve"> </w:t>
            </w:r>
            <w:r w:rsidRPr="00FC64BF">
              <w:rPr>
                <w:b/>
                <w:sz w:val="18"/>
                <w:szCs w:val="18"/>
              </w:rPr>
              <w:t>manjine</w:t>
            </w:r>
            <w:r w:rsidRPr="00FC64BF" w:rsidDel="00807154">
              <w:rPr>
                <w:b/>
                <w:sz w:val="18"/>
                <w:szCs w:val="18"/>
              </w:rPr>
              <w:t xml:space="preserve"> </w:t>
            </w:r>
          </w:p>
        </w:tc>
      </w:tr>
      <w:tr w:rsidR="00340C45" w:rsidRPr="00340C45" w14:paraId="01B04FF4" w14:textId="77777777" w:rsidTr="005D72D8">
        <w:tc>
          <w:tcPr>
            <w:tcW w:w="2767" w:type="dxa"/>
            <w:shd w:val="clear" w:color="auto" w:fill="F2F2F2" w:themeFill="background1" w:themeFillShade="F2"/>
            <w:vAlign w:val="center"/>
          </w:tcPr>
          <w:p w14:paraId="53C7B4C5" w14:textId="0D8C354A" w:rsidR="00715EB3" w:rsidRPr="00FC64BF" w:rsidRDefault="00715EB3" w:rsidP="009B1CEB">
            <w:pPr>
              <w:spacing w:line="276" w:lineRule="auto"/>
              <w:rPr>
                <w:rFonts w:cs="Times New Roman"/>
                <w:sz w:val="20"/>
                <w:szCs w:val="20"/>
              </w:rPr>
            </w:pPr>
            <w:r w:rsidRPr="00FC64BF">
              <w:rPr>
                <w:rFonts w:cs="Times New Roman"/>
                <w:sz w:val="20"/>
                <w:szCs w:val="20"/>
              </w:rPr>
              <w:t xml:space="preserve">Planirani ishodi za pokazatelje </w:t>
            </w:r>
            <w:r w:rsidR="0018416B" w:rsidRPr="00FC64BF">
              <w:rPr>
                <w:rFonts w:cs="Times New Roman"/>
                <w:sz w:val="20"/>
                <w:szCs w:val="20"/>
              </w:rPr>
              <w:t>provedbe u 202</w:t>
            </w:r>
            <w:r w:rsidR="00340C45">
              <w:rPr>
                <w:rFonts w:cs="Times New Roman"/>
                <w:sz w:val="20"/>
                <w:szCs w:val="20"/>
              </w:rPr>
              <w:t>4</w:t>
            </w:r>
          </w:p>
        </w:tc>
        <w:tc>
          <w:tcPr>
            <w:tcW w:w="2167" w:type="dxa"/>
            <w:vAlign w:val="center"/>
          </w:tcPr>
          <w:p w14:paraId="2F6EDC48" w14:textId="4AFFECFB" w:rsidR="00715EB3" w:rsidRPr="00FC64BF" w:rsidRDefault="00340C45" w:rsidP="00340C45">
            <w:pPr>
              <w:spacing w:line="276" w:lineRule="auto"/>
              <w:jc w:val="center"/>
              <w:rPr>
                <w:rFonts w:cs="Times New Roman"/>
                <w:sz w:val="20"/>
                <w:szCs w:val="20"/>
              </w:rPr>
            </w:pPr>
            <w:r w:rsidRPr="00FC64BF">
              <w:rPr>
                <w:rFonts w:cs="Times New Roman"/>
                <w:sz w:val="20"/>
                <w:szCs w:val="20"/>
              </w:rPr>
              <w:t>n/p</w:t>
            </w:r>
          </w:p>
        </w:tc>
        <w:tc>
          <w:tcPr>
            <w:tcW w:w="2007" w:type="dxa"/>
            <w:vAlign w:val="center"/>
          </w:tcPr>
          <w:p w14:paraId="4B059384" w14:textId="57334022" w:rsidR="00715EB3" w:rsidRPr="00FC64BF" w:rsidRDefault="00357526" w:rsidP="00340C45">
            <w:pPr>
              <w:spacing w:line="276" w:lineRule="auto"/>
              <w:jc w:val="center"/>
              <w:rPr>
                <w:rFonts w:cs="Times New Roman"/>
                <w:sz w:val="20"/>
                <w:szCs w:val="20"/>
              </w:rPr>
            </w:pPr>
            <w:r w:rsidRPr="00FC64BF">
              <w:rPr>
                <w:rFonts w:cs="Times New Roman"/>
                <w:sz w:val="20"/>
                <w:szCs w:val="20"/>
              </w:rPr>
              <w:t>n/p</w:t>
            </w:r>
          </w:p>
        </w:tc>
        <w:tc>
          <w:tcPr>
            <w:tcW w:w="2268" w:type="dxa"/>
            <w:vAlign w:val="center"/>
          </w:tcPr>
          <w:p w14:paraId="2FF9153B" w14:textId="64304838" w:rsidR="00715EB3" w:rsidRPr="00FC64BF" w:rsidRDefault="00357526" w:rsidP="00340C45">
            <w:pPr>
              <w:spacing w:line="276" w:lineRule="auto"/>
              <w:jc w:val="center"/>
              <w:rPr>
                <w:rFonts w:cs="Times New Roman"/>
                <w:sz w:val="20"/>
                <w:szCs w:val="20"/>
              </w:rPr>
            </w:pPr>
            <w:r w:rsidRPr="00FC64BF">
              <w:rPr>
                <w:rFonts w:cs="Times New Roman"/>
                <w:sz w:val="20"/>
                <w:szCs w:val="20"/>
              </w:rPr>
              <w:t>n/p</w:t>
            </w:r>
          </w:p>
        </w:tc>
      </w:tr>
      <w:tr w:rsidR="00340C45" w:rsidRPr="00340C45" w14:paraId="1B27ED4F" w14:textId="77777777" w:rsidTr="005D72D8">
        <w:tc>
          <w:tcPr>
            <w:tcW w:w="2767" w:type="dxa"/>
            <w:shd w:val="clear" w:color="auto" w:fill="F2F2F2" w:themeFill="background1" w:themeFillShade="F2"/>
            <w:vAlign w:val="center"/>
          </w:tcPr>
          <w:p w14:paraId="058ACBC4" w14:textId="56E51E8A" w:rsidR="00715EB3" w:rsidRPr="00FC64BF" w:rsidRDefault="00715EB3" w:rsidP="009B1CEB">
            <w:pPr>
              <w:spacing w:line="276" w:lineRule="auto"/>
              <w:rPr>
                <w:rFonts w:cs="Times New Roman"/>
                <w:sz w:val="20"/>
                <w:szCs w:val="20"/>
              </w:rPr>
            </w:pPr>
            <w:r w:rsidRPr="00FC64BF">
              <w:rPr>
                <w:rFonts w:cs="Times New Roman"/>
                <w:sz w:val="20"/>
                <w:szCs w:val="20"/>
              </w:rPr>
              <w:t xml:space="preserve">Ostvareni ishodi za pokazatelje </w:t>
            </w:r>
            <w:r w:rsidR="0018416B" w:rsidRPr="00FC64BF">
              <w:rPr>
                <w:rFonts w:cs="Times New Roman"/>
                <w:sz w:val="20"/>
                <w:szCs w:val="20"/>
              </w:rPr>
              <w:t>provedbe u 202</w:t>
            </w:r>
            <w:r w:rsidR="00340C45">
              <w:rPr>
                <w:rFonts w:cs="Times New Roman"/>
                <w:sz w:val="20"/>
                <w:szCs w:val="20"/>
              </w:rPr>
              <w:t>4</w:t>
            </w:r>
            <w:r w:rsidR="0018416B" w:rsidRPr="00FC64BF">
              <w:rPr>
                <w:rFonts w:cs="Times New Roman"/>
                <w:sz w:val="20"/>
                <w:szCs w:val="20"/>
              </w:rPr>
              <w:t xml:space="preserve">. </w:t>
            </w:r>
          </w:p>
        </w:tc>
        <w:tc>
          <w:tcPr>
            <w:tcW w:w="2167" w:type="dxa"/>
            <w:vAlign w:val="center"/>
          </w:tcPr>
          <w:p w14:paraId="38B7CF35" w14:textId="2126BE34" w:rsidR="00715EB3" w:rsidRPr="00FC64BF" w:rsidRDefault="00340C45" w:rsidP="00340C45">
            <w:pPr>
              <w:spacing w:line="276" w:lineRule="auto"/>
              <w:jc w:val="center"/>
              <w:rPr>
                <w:rFonts w:cs="Times New Roman"/>
                <w:sz w:val="20"/>
                <w:szCs w:val="20"/>
              </w:rPr>
            </w:pPr>
            <w:r w:rsidRPr="00FC64BF">
              <w:rPr>
                <w:rFonts w:cs="Times New Roman"/>
                <w:sz w:val="20"/>
                <w:szCs w:val="20"/>
              </w:rPr>
              <w:t>n/p</w:t>
            </w:r>
          </w:p>
        </w:tc>
        <w:tc>
          <w:tcPr>
            <w:tcW w:w="2007" w:type="dxa"/>
            <w:vAlign w:val="center"/>
          </w:tcPr>
          <w:p w14:paraId="7E94F626" w14:textId="665B9A2B" w:rsidR="00715EB3" w:rsidRPr="00FC64BF" w:rsidRDefault="00340C45" w:rsidP="00340C45">
            <w:pPr>
              <w:spacing w:line="276" w:lineRule="auto"/>
              <w:jc w:val="center"/>
              <w:rPr>
                <w:rFonts w:cs="Times New Roman"/>
                <w:sz w:val="20"/>
                <w:szCs w:val="20"/>
              </w:rPr>
            </w:pPr>
            <w:r w:rsidRPr="00FC64BF">
              <w:rPr>
                <w:rFonts w:cs="Times New Roman"/>
                <w:sz w:val="20"/>
                <w:szCs w:val="20"/>
              </w:rPr>
              <w:t xml:space="preserve">n/p </w:t>
            </w:r>
          </w:p>
        </w:tc>
        <w:tc>
          <w:tcPr>
            <w:tcW w:w="2268" w:type="dxa"/>
            <w:vAlign w:val="center"/>
          </w:tcPr>
          <w:p w14:paraId="33B3FE1A" w14:textId="6336562F" w:rsidR="00715EB3" w:rsidRPr="00FC64BF" w:rsidRDefault="00340C45" w:rsidP="00340C45">
            <w:pPr>
              <w:spacing w:line="276" w:lineRule="auto"/>
              <w:jc w:val="center"/>
              <w:rPr>
                <w:rFonts w:cs="Times New Roman"/>
                <w:sz w:val="20"/>
                <w:szCs w:val="20"/>
              </w:rPr>
            </w:pPr>
            <w:r w:rsidRPr="00FC64BF">
              <w:rPr>
                <w:rFonts w:cs="Times New Roman"/>
                <w:sz w:val="20"/>
                <w:szCs w:val="20"/>
              </w:rPr>
              <w:t xml:space="preserve">n/p </w:t>
            </w:r>
          </w:p>
        </w:tc>
      </w:tr>
      <w:tr w:rsidR="00340C45" w:rsidRPr="00340C45" w14:paraId="7FED7007" w14:textId="77777777" w:rsidTr="005D72D8">
        <w:tc>
          <w:tcPr>
            <w:tcW w:w="2767" w:type="dxa"/>
            <w:shd w:val="clear" w:color="auto" w:fill="F2F2F2" w:themeFill="background1" w:themeFillShade="F2"/>
            <w:vAlign w:val="center"/>
          </w:tcPr>
          <w:p w14:paraId="65C7BC93" w14:textId="1F1E6B87" w:rsidR="00545EC2" w:rsidRPr="00FC64BF" w:rsidRDefault="00545EC2" w:rsidP="004A3B23">
            <w:pPr>
              <w:spacing w:line="276" w:lineRule="auto"/>
              <w:rPr>
                <w:rFonts w:cs="Times New Roman"/>
                <w:b/>
                <w:sz w:val="20"/>
                <w:szCs w:val="20"/>
              </w:rPr>
            </w:pPr>
            <w:r w:rsidRPr="00FC64BF">
              <w:rPr>
                <w:rFonts w:cs="Times New Roman"/>
                <w:b/>
                <w:sz w:val="20"/>
                <w:szCs w:val="20"/>
              </w:rPr>
              <w:t>IZVORI FINANCIRANJA</w:t>
            </w:r>
          </w:p>
        </w:tc>
        <w:tc>
          <w:tcPr>
            <w:tcW w:w="2167" w:type="dxa"/>
            <w:vAlign w:val="center"/>
          </w:tcPr>
          <w:p w14:paraId="49DD1D24" w14:textId="7B57AE96" w:rsidR="00545EC2" w:rsidRPr="00FC64BF" w:rsidRDefault="00545EC2" w:rsidP="00D36147">
            <w:pPr>
              <w:spacing w:line="276" w:lineRule="auto"/>
              <w:jc w:val="center"/>
              <w:rPr>
                <w:rFonts w:cs="Times New Roman"/>
                <w:b/>
                <w:sz w:val="20"/>
                <w:szCs w:val="20"/>
              </w:rPr>
            </w:pPr>
            <w:r w:rsidRPr="00FC64BF">
              <w:rPr>
                <w:rFonts w:cs="Times New Roman"/>
                <w:b/>
                <w:sz w:val="20"/>
                <w:szCs w:val="20"/>
              </w:rPr>
              <w:t>Državni proračun (</w:t>
            </w:r>
            <w:r w:rsidR="00AB51EB" w:rsidRPr="00FC64BF">
              <w:rPr>
                <w:rFonts w:cs="Times New Roman"/>
                <w:b/>
                <w:sz w:val="20"/>
                <w:szCs w:val="20"/>
              </w:rPr>
              <w:t>EUR</w:t>
            </w:r>
            <w:r w:rsidRPr="00FC64BF">
              <w:rPr>
                <w:rFonts w:cs="Times New Roman"/>
                <w:b/>
                <w:sz w:val="20"/>
                <w:szCs w:val="20"/>
              </w:rPr>
              <w:t>)</w:t>
            </w:r>
          </w:p>
        </w:tc>
        <w:tc>
          <w:tcPr>
            <w:tcW w:w="2007" w:type="dxa"/>
            <w:vAlign w:val="center"/>
          </w:tcPr>
          <w:p w14:paraId="0614D388" w14:textId="6DD1A6F4" w:rsidR="00545EC2" w:rsidRPr="00FC64BF" w:rsidRDefault="00023F92" w:rsidP="00D36147">
            <w:pPr>
              <w:spacing w:line="276" w:lineRule="auto"/>
              <w:jc w:val="center"/>
              <w:rPr>
                <w:rFonts w:cs="Times New Roman"/>
                <w:b/>
                <w:sz w:val="20"/>
                <w:szCs w:val="20"/>
              </w:rPr>
            </w:pPr>
            <w:r w:rsidRPr="00FC64BF">
              <w:rPr>
                <w:rFonts w:cs="Times New Roman"/>
                <w:b/>
                <w:sz w:val="20"/>
                <w:szCs w:val="20"/>
              </w:rPr>
              <w:t>EU financiranje (</w:t>
            </w:r>
            <w:r w:rsidR="00AB51EB" w:rsidRPr="00FC64BF">
              <w:rPr>
                <w:rFonts w:cs="Times New Roman"/>
                <w:b/>
                <w:sz w:val="20"/>
                <w:szCs w:val="20"/>
              </w:rPr>
              <w:t>EUR</w:t>
            </w:r>
            <w:r w:rsidRPr="00FC64BF">
              <w:rPr>
                <w:rFonts w:cs="Times New Roman"/>
                <w:b/>
                <w:sz w:val="20"/>
                <w:szCs w:val="20"/>
              </w:rPr>
              <w:t>)</w:t>
            </w:r>
          </w:p>
        </w:tc>
        <w:tc>
          <w:tcPr>
            <w:tcW w:w="2268" w:type="dxa"/>
            <w:vAlign w:val="center"/>
          </w:tcPr>
          <w:p w14:paraId="6FC1FC00" w14:textId="1EFEBF3A" w:rsidR="00545EC2" w:rsidRPr="00FC64BF" w:rsidRDefault="00023F92" w:rsidP="00D36147">
            <w:pPr>
              <w:spacing w:line="276" w:lineRule="auto"/>
              <w:jc w:val="center"/>
              <w:rPr>
                <w:rFonts w:cs="Times New Roman"/>
                <w:b/>
                <w:sz w:val="20"/>
                <w:szCs w:val="20"/>
              </w:rPr>
            </w:pPr>
            <w:r w:rsidRPr="00FC64BF">
              <w:rPr>
                <w:rFonts w:cs="Times New Roman"/>
                <w:b/>
                <w:sz w:val="20"/>
                <w:szCs w:val="20"/>
              </w:rPr>
              <w:t>Drugi izvori (</w:t>
            </w:r>
            <w:r w:rsidR="00AB51EB" w:rsidRPr="00FC64BF">
              <w:rPr>
                <w:rFonts w:cs="Times New Roman"/>
                <w:b/>
                <w:sz w:val="20"/>
                <w:szCs w:val="20"/>
              </w:rPr>
              <w:t>EUR</w:t>
            </w:r>
            <w:r w:rsidRPr="00FC64BF">
              <w:rPr>
                <w:rFonts w:cs="Times New Roman"/>
                <w:b/>
                <w:sz w:val="20"/>
                <w:szCs w:val="20"/>
              </w:rPr>
              <w:t>)</w:t>
            </w:r>
          </w:p>
        </w:tc>
      </w:tr>
      <w:tr w:rsidR="00CE622A" w:rsidRPr="00340C45" w14:paraId="1B4DA8E4" w14:textId="77777777" w:rsidTr="005D72D8">
        <w:tc>
          <w:tcPr>
            <w:tcW w:w="2767" w:type="dxa"/>
            <w:shd w:val="clear" w:color="auto" w:fill="F2F2F2" w:themeFill="background1" w:themeFillShade="F2"/>
            <w:vAlign w:val="center"/>
          </w:tcPr>
          <w:p w14:paraId="52EFA943" w14:textId="133BF746" w:rsidR="00452FEB" w:rsidRPr="00FC64BF" w:rsidRDefault="00452FEB" w:rsidP="009B1CEB">
            <w:pPr>
              <w:spacing w:line="276" w:lineRule="auto"/>
              <w:rPr>
                <w:rFonts w:cs="Times New Roman"/>
                <w:sz w:val="20"/>
                <w:szCs w:val="20"/>
              </w:rPr>
            </w:pPr>
            <w:r w:rsidRPr="00FC64BF">
              <w:rPr>
                <w:rFonts w:cs="Times New Roman"/>
                <w:sz w:val="20"/>
                <w:szCs w:val="20"/>
              </w:rPr>
              <w:t xml:space="preserve">Izvori </w:t>
            </w:r>
            <w:r w:rsidR="0018416B" w:rsidRPr="00FC64BF">
              <w:rPr>
                <w:rFonts w:cs="Times New Roman"/>
                <w:sz w:val="20"/>
                <w:szCs w:val="20"/>
              </w:rPr>
              <w:t xml:space="preserve">financiranja u </w:t>
            </w:r>
            <w:r w:rsidRPr="00FC64BF">
              <w:rPr>
                <w:rFonts w:cs="Times New Roman"/>
                <w:sz w:val="20"/>
                <w:szCs w:val="20"/>
              </w:rPr>
              <w:t>godini (proračunska pozicija i predviđeni iznos sredstava)</w:t>
            </w:r>
          </w:p>
        </w:tc>
        <w:tc>
          <w:tcPr>
            <w:tcW w:w="2167" w:type="dxa"/>
            <w:vAlign w:val="center"/>
          </w:tcPr>
          <w:p w14:paraId="740D55AA" w14:textId="5515EB4C" w:rsidR="00357526" w:rsidRPr="00FC64BF" w:rsidRDefault="00357526" w:rsidP="00D36147">
            <w:pPr>
              <w:spacing w:line="276" w:lineRule="auto"/>
              <w:jc w:val="center"/>
              <w:rPr>
                <w:rFonts w:cs="Times New Roman"/>
                <w:sz w:val="20"/>
                <w:szCs w:val="20"/>
              </w:rPr>
            </w:pPr>
            <w:r w:rsidRPr="00FC64BF">
              <w:rPr>
                <w:rFonts w:cs="Times New Roman"/>
                <w:sz w:val="20"/>
                <w:szCs w:val="20"/>
              </w:rPr>
              <w:t xml:space="preserve">A681000 </w:t>
            </w:r>
            <w:r w:rsidR="00CD78EF" w:rsidRPr="00FC64BF">
              <w:rPr>
                <w:rFonts w:cs="Times New Roman"/>
                <w:sz w:val="20"/>
                <w:szCs w:val="20"/>
              </w:rPr>
              <w:t>-</w:t>
            </w:r>
          </w:p>
          <w:p w14:paraId="3E9C4C80" w14:textId="77777777" w:rsidR="00357526" w:rsidRPr="00FC64BF" w:rsidRDefault="00357526" w:rsidP="00D36147">
            <w:pPr>
              <w:spacing w:line="276" w:lineRule="auto"/>
              <w:jc w:val="center"/>
              <w:rPr>
                <w:rFonts w:cs="Times New Roman"/>
                <w:sz w:val="20"/>
                <w:szCs w:val="20"/>
              </w:rPr>
            </w:pPr>
            <w:r w:rsidRPr="00FC64BF">
              <w:rPr>
                <w:rFonts w:cs="Times New Roman"/>
                <w:sz w:val="20"/>
                <w:szCs w:val="20"/>
              </w:rPr>
              <w:t>Administracija i</w:t>
            </w:r>
          </w:p>
          <w:p w14:paraId="5A831880" w14:textId="50AA4E61" w:rsidR="00452FEB" w:rsidRPr="00FC64BF" w:rsidRDefault="003231E8" w:rsidP="00D36147">
            <w:pPr>
              <w:spacing w:line="276" w:lineRule="auto"/>
              <w:jc w:val="center"/>
              <w:rPr>
                <w:rFonts w:cs="Times New Roman"/>
                <w:sz w:val="20"/>
                <w:szCs w:val="20"/>
              </w:rPr>
            </w:pPr>
            <w:r w:rsidRPr="00FC64BF">
              <w:rPr>
                <w:rFonts w:cs="Times New Roman"/>
                <w:sz w:val="20"/>
                <w:szCs w:val="20"/>
              </w:rPr>
              <w:t>u</w:t>
            </w:r>
            <w:r w:rsidR="00357526" w:rsidRPr="00FC64BF">
              <w:rPr>
                <w:rFonts w:cs="Times New Roman"/>
                <w:sz w:val="20"/>
                <w:szCs w:val="20"/>
              </w:rPr>
              <w:t>pravljanje</w:t>
            </w:r>
          </w:p>
        </w:tc>
        <w:tc>
          <w:tcPr>
            <w:tcW w:w="2007" w:type="dxa"/>
            <w:vAlign w:val="center"/>
          </w:tcPr>
          <w:p w14:paraId="724FD3E5" w14:textId="7134296B" w:rsidR="00452FEB" w:rsidRPr="00FC64BF" w:rsidRDefault="00807154" w:rsidP="00D36147">
            <w:pPr>
              <w:spacing w:line="276" w:lineRule="auto"/>
              <w:jc w:val="center"/>
              <w:rPr>
                <w:rFonts w:cs="Times New Roman"/>
                <w:sz w:val="20"/>
                <w:szCs w:val="20"/>
              </w:rPr>
            </w:pPr>
            <w:r w:rsidRPr="00FC64BF">
              <w:rPr>
                <w:rFonts w:cs="Times New Roman"/>
                <w:sz w:val="20"/>
                <w:szCs w:val="20"/>
              </w:rPr>
              <w:t>0,00</w:t>
            </w:r>
          </w:p>
        </w:tc>
        <w:tc>
          <w:tcPr>
            <w:tcW w:w="2268" w:type="dxa"/>
            <w:vAlign w:val="center"/>
          </w:tcPr>
          <w:p w14:paraId="7B80E7E8" w14:textId="5DCADCBA" w:rsidR="00452FEB" w:rsidRPr="00FC64BF" w:rsidRDefault="00452FEB" w:rsidP="00D36147">
            <w:pPr>
              <w:spacing w:line="276" w:lineRule="auto"/>
              <w:jc w:val="center"/>
              <w:rPr>
                <w:rFonts w:cs="Times New Roman"/>
                <w:sz w:val="20"/>
                <w:szCs w:val="20"/>
              </w:rPr>
            </w:pPr>
            <w:r w:rsidRPr="00FC64BF">
              <w:rPr>
                <w:rFonts w:cs="Times New Roman"/>
                <w:sz w:val="20"/>
                <w:szCs w:val="20"/>
              </w:rPr>
              <w:t xml:space="preserve">0,00 </w:t>
            </w:r>
          </w:p>
        </w:tc>
      </w:tr>
      <w:tr w:rsidR="00CE622A" w:rsidRPr="00340C45" w14:paraId="69AE20AB" w14:textId="77777777" w:rsidTr="005D72D8">
        <w:tc>
          <w:tcPr>
            <w:tcW w:w="2767" w:type="dxa"/>
            <w:vMerge w:val="restart"/>
            <w:shd w:val="clear" w:color="auto" w:fill="F2F2F2" w:themeFill="background1" w:themeFillShade="F2"/>
            <w:vAlign w:val="center"/>
          </w:tcPr>
          <w:p w14:paraId="11B45ABB" w14:textId="6D0FE9C4" w:rsidR="00A94FD6" w:rsidRPr="00FC64BF" w:rsidRDefault="00A94FD6" w:rsidP="004A3B23">
            <w:pPr>
              <w:spacing w:line="276" w:lineRule="auto"/>
              <w:rPr>
                <w:rFonts w:cs="Times New Roman"/>
                <w:b/>
                <w:sz w:val="20"/>
                <w:szCs w:val="20"/>
              </w:rPr>
            </w:pPr>
            <w:r w:rsidRPr="00FC64BF">
              <w:rPr>
                <w:rFonts w:cs="Times New Roman"/>
                <w:b/>
                <w:sz w:val="20"/>
                <w:szCs w:val="20"/>
              </w:rPr>
              <w:t xml:space="preserve">UKUPNO </w:t>
            </w:r>
            <w:r w:rsidR="00715EB3" w:rsidRPr="00FC64BF">
              <w:rPr>
                <w:rFonts w:cs="Times New Roman"/>
                <w:b/>
                <w:sz w:val="20"/>
                <w:szCs w:val="20"/>
              </w:rPr>
              <w:t>UTRO</w:t>
            </w:r>
            <w:r w:rsidR="00357526" w:rsidRPr="00FC64BF">
              <w:rPr>
                <w:rFonts w:cs="Times New Roman"/>
                <w:b/>
                <w:sz w:val="20"/>
                <w:szCs w:val="20"/>
              </w:rPr>
              <w:t>Š</w:t>
            </w:r>
            <w:r w:rsidR="00715EB3" w:rsidRPr="00FC64BF">
              <w:rPr>
                <w:rFonts w:cs="Times New Roman"/>
                <w:b/>
                <w:sz w:val="20"/>
                <w:szCs w:val="20"/>
              </w:rPr>
              <w:t>ENA</w:t>
            </w:r>
            <w:r w:rsidRPr="00FC64BF">
              <w:rPr>
                <w:rFonts w:cs="Times New Roman"/>
                <w:b/>
                <w:sz w:val="20"/>
                <w:szCs w:val="20"/>
              </w:rPr>
              <w:t xml:space="preserve"> SREDSTVA PO IZVORU</w:t>
            </w:r>
          </w:p>
        </w:tc>
        <w:tc>
          <w:tcPr>
            <w:tcW w:w="2167" w:type="dxa"/>
            <w:vAlign w:val="center"/>
          </w:tcPr>
          <w:p w14:paraId="4F096112" w14:textId="37D56FD3" w:rsidR="00A94FD6" w:rsidRPr="00FC64BF" w:rsidRDefault="00A94FD6" w:rsidP="00D36147">
            <w:pPr>
              <w:spacing w:line="276" w:lineRule="auto"/>
              <w:jc w:val="center"/>
              <w:rPr>
                <w:rFonts w:cs="Times New Roman"/>
                <w:b/>
                <w:sz w:val="20"/>
                <w:szCs w:val="20"/>
              </w:rPr>
            </w:pPr>
            <w:r w:rsidRPr="00FC64BF">
              <w:rPr>
                <w:rFonts w:cs="Times New Roman"/>
                <w:b/>
                <w:sz w:val="20"/>
                <w:szCs w:val="20"/>
              </w:rPr>
              <w:t>Državni proračun (</w:t>
            </w:r>
            <w:r w:rsidR="00AB51EB" w:rsidRPr="00FC64BF">
              <w:rPr>
                <w:rFonts w:cs="Times New Roman"/>
                <w:b/>
                <w:sz w:val="20"/>
                <w:szCs w:val="20"/>
              </w:rPr>
              <w:t>EUR</w:t>
            </w:r>
            <w:r w:rsidRPr="00FC64BF">
              <w:rPr>
                <w:rFonts w:cs="Times New Roman"/>
                <w:b/>
                <w:sz w:val="20"/>
                <w:szCs w:val="20"/>
              </w:rPr>
              <w:t>)</w:t>
            </w:r>
          </w:p>
        </w:tc>
        <w:tc>
          <w:tcPr>
            <w:tcW w:w="2007" w:type="dxa"/>
            <w:vAlign w:val="center"/>
          </w:tcPr>
          <w:p w14:paraId="35DDBEAA" w14:textId="122FCD11" w:rsidR="00A94FD6" w:rsidRPr="00FC64BF" w:rsidRDefault="00A94FD6" w:rsidP="00D36147">
            <w:pPr>
              <w:spacing w:line="276" w:lineRule="auto"/>
              <w:jc w:val="center"/>
              <w:rPr>
                <w:rFonts w:cs="Times New Roman"/>
                <w:b/>
                <w:sz w:val="20"/>
                <w:szCs w:val="20"/>
              </w:rPr>
            </w:pPr>
            <w:r w:rsidRPr="00FC64BF">
              <w:rPr>
                <w:rFonts w:cs="Times New Roman"/>
                <w:b/>
                <w:sz w:val="20"/>
                <w:szCs w:val="20"/>
              </w:rPr>
              <w:t>EU financiranje (</w:t>
            </w:r>
            <w:r w:rsidR="00AB51EB" w:rsidRPr="00FC64BF">
              <w:rPr>
                <w:rFonts w:cs="Times New Roman"/>
                <w:b/>
                <w:sz w:val="20"/>
                <w:szCs w:val="20"/>
              </w:rPr>
              <w:t>EUR</w:t>
            </w:r>
            <w:r w:rsidRPr="00FC64BF">
              <w:rPr>
                <w:rFonts w:cs="Times New Roman"/>
                <w:b/>
                <w:sz w:val="20"/>
                <w:szCs w:val="20"/>
              </w:rPr>
              <w:t>)</w:t>
            </w:r>
          </w:p>
        </w:tc>
        <w:tc>
          <w:tcPr>
            <w:tcW w:w="2268" w:type="dxa"/>
            <w:vAlign w:val="center"/>
          </w:tcPr>
          <w:p w14:paraId="16E85268" w14:textId="3B600882" w:rsidR="00A94FD6" w:rsidRPr="00FC64BF" w:rsidRDefault="00A94FD6" w:rsidP="00D36147">
            <w:pPr>
              <w:spacing w:line="276" w:lineRule="auto"/>
              <w:jc w:val="center"/>
              <w:rPr>
                <w:rFonts w:cs="Times New Roman"/>
                <w:b/>
                <w:sz w:val="20"/>
                <w:szCs w:val="20"/>
              </w:rPr>
            </w:pPr>
            <w:r w:rsidRPr="00FC64BF">
              <w:rPr>
                <w:rFonts w:cs="Times New Roman"/>
                <w:b/>
                <w:sz w:val="20"/>
                <w:szCs w:val="20"/>
              </w:rPr>
              <w:t>Drugi izvori (</w:t>
            </w:r>
            <w:r w:rsidR="00357526" w:rsidRPr="00FC64BF">
              <w:rPr>
                <w:rFonts w:cs="Times New Roman"/>
                <w:b/>
                <w:sz w:val="20"/>
                <w:szCs w:val="20"/>
              </w:rPr>
              <w:t>EUR</w:t>
            </w:r>
            <w:r w:rsidRPr="00FC64BF">
              <w:rPr>
                <w:rFonts w:cs="Times New Roman"/>
                <w:b/>
                <w:sz w:val="20"/>
                <w:szCs w:val="20"/>
              </w:rPr>
              <w:t>)</w:t>
            </w:r>
          </w:p>
        </w:tc>
      </w:tr>
      <w:tr w:rsidR="00CE622A" w:rsidRPr="00340C45" w14:paraId="0205095D" w14:textId="77777777" w:rsidTr="005D72D8">
        <w:tc>
          <w:tcPr>
            <w:tcW w:w="2767" w:type="dxa"/>
            <w:vMerge/>
            <w:shd w:val="clear" w:color="auto" w:fill="F2F2F2" w:themeFill="background1" w:themeFillShade="F2"/>
            <w:vAlign w:val="center"/>
          </w:tcPr>
          <w:p w14:paraId="5828257F" w14:textId="77777777" w:rsidR="006D2AB1" w:rsidRPr="00FC64BF" w:rsidRDefault="006D2AB1" w:rsidP="00D36147">
            <w:pPr>
              <w:spacing w:line="276" w:lineRule="auto"/>
              <w:rPr>
                <w:rFonts w:cs="Times New Roman"/>
                <w:b/>
                <w:sz w:val="20"/>
                <w:szCs w:val="20"/>
              </w:rPr>
            </w:pPr>
          </w:p>
        </w:tc>
        <w:tc>
          <w:tcPr>
            <w:tcW w:w="2167" w:type="dxa"/>
            <w:vAlign w:val="center"/>
          </w:tcPr>
          <w:p w14:paraId="7BC60662" w14:textId="615D8F07" w:rsidR="006D2894" w:rsidRPr="00FC64BF" w:rsidRDefault="006D2894" w:rsidP="00D36147">
            <w:pPr>
              <w:spacing w:line="276" w:lineRule="auto"/>
              <w:jc w:val="center"/>
              <w:rPr>
                <w:rFonts w:cs="Times New Roman"/>
                <w:sz w:val="20"/>
                <w:szCs w:val="20"/>
              </w:rPr>
            </w:pPr>
            <w:r w:rsidRPr="00FC64BF">
              <w:rPr>
                <w:rFonts w:cs="Times New Roman"/>
                <w:sz w:val="20"/>
                <w:szCs w:val="20"/>
              </w:rPr>
              <w:t>A681000</w:t>
            </w:r>
            <w:r w:rsidR="00CD78EF" w:rsidRPr="00FC64BF">
              <w:rPr>
                <w:rFonts w:cs="Times New Roman"/>
                <w:sz w:val="20"/>
                <w:szCs w:val="20"/>
              </w:rPr>
              <w:t xml:space="preserve"> -</w:t>
            </w:r>
          </w:p>
          <w:p w14:paraId="76EFC5C0" w14:textId="77777777" w:rsidR="006D2894" w:rsidRPr="00FC64BF" w:rsidRDefault="006D2894" w:rsidP="00D36147">
            <w:pPr>
              <w:spacing w:line="276" w:lineRule="auto"/>
              <w:jc w:val="center"/>
              <w:rPr>
                <w:rFonts w:cs="Times New Roman"/>
                <w:sz w:val="20"/>
                <w:szCs w:val="20"/>
              </w:rPr>
            </w:pPr>
            <w:r w:rsidRPr="00FC64BF">
              <w:rPr>
                <w:rFonts w:cs="Times New Roman"/>
                <w:sz w:val="20"/>
                <w:szCs w:val="20"/>
              </w:rPr>
              <w:t>Administracija i</w:t>
            </w:r>
          </w:p>
          <w:p w14:paraId="3163E7C0" w14:textId="77777777" w:rsidR="006D2894" w:rsidRPr="00FC64BF" w:rsidRDefault="006D2894" w:rsidP="00D36147">
            <w:pPr>
              <w:spacing w:line="276" w:lineRule="auto"/>
              <w:jc w:val="center"/>
              <w:rPr>
                <w:rFonts w:cs="Times New Roman"/>
                <w:sz w:val="20"/>
                <w:szCs w:val="20"/>
              </w:rPr>
            </w:pPr>
            <w:r w:rsidRPr="00FC64BF">
              <w:rPr>
                <w:rFonts w:cs="Times New Roman"/>
                <w:sz w:val="20"/>
                <w:szCs w:val="20"/>
              </w:rPr>
              <w:t xml:space="preserve">upravljanje </w:t>
            </w:r>
          </w:p>
          <w:p w14:paraId="17337020" w14:textId="60BE7010" w:rsidR="006D2AB1" w:rsidRPr="00FC64BF" w:rsidRDefault="00357526" w:rsidP="00D36147">
            <w:pPr>
              <w:spacing w:line="276" w:lineRule="auto"/>
              <w:jc w:val="center"/>
              <w:rPr>
                <w:rFonts w:cs="Times New Roman"/>
                <w:b/>
                <w:bCs/>
                <w:sz w:val="20"/>
                <w:szCs w:val="20"/>
              </w:rPr>
            </w:pPr>
            <w:r w:rsidRPr="00FC64BF">
              <w:rPr>
                <w:rFonts w:cs="Times New Roman"/>
                <w:b/>
                <w:sz w:val="20"/>
                <w:szCs w:val="20"/>
              </w:rPr>
              <w:t>0,00</w:t>
            </w:r>
          </w:p>
        </w:tc>
        <w:tc>
          <w:tcPr>
            <w:tcW w:w="2007" w:type="dxa"/>
            <w:vAlign w:val="center"/>
          </w:tcPr>
          <w:p w14:paraId="2B614030" w14:textId="252CF59F" w:rsidR="006D2AB1" w:rsidRPr="00FC64BF" w:rsidRDefault="0029037B" w:rsidP="00D36147">
            <w:pPr>
              <w:spacing w:line="276" w:lineRule="auto"/>
              <w:jc w:val="center"/>
              <w:rPr>
                <w:rFonts w:cs="Times New Roman"/>
                <w:bCs/>
                <w:sz w:val="20"/>
                <w:szCs w:val="20"/>
              </w:rPr>
            </w:pPr>
            <w:r w:rsidRPr="00FC64BF">
              <w:rPr>
                <w:rFonts w:cs="Times New Roman"/>
                <w:bCs/>
                <w:sz w:val="20"/>
                <w:szCs w:val="20"/>
              </w:rPr>
              <w:t>0,00</w:t>
            </w:r>
          </w:p>
        </w:tc>
        <w:tc>
          <w:tcPr>
            <w:tcW w:w="2268" w:type="dxa"/>
            <w:vAlign w:val="center"/>
          </w:tcPr>
          <w:p w14:paraId="4CE82CA1" w14:textId="0B135DB1" w:rsidR="006D2AB1" w:rsidRPr="00FC64BF" w:rsidRDefault="006D2AB1" w:rsidP="00D36147">
            <w:pPr>
              <w:spacing w:line="276" w:lineRule="auto"/>
              <w:jc w:val="center"/>
              <w:rPr>
                <w:rFonts w:cs="Times New Roman"/>
                <w:bCs/>
                <w:sz w:val="20"/>
                <w:szCs w:val="20"/>
              </w:rPr>
            </w:pPr>
            <w:r w:rsidRPr="00FC64BF">
              <w:rPr>
                <w:rFonts w:cs="Times New Roman"/>
                <w:bCs/>
                <w:sz w:val="20"/>
                <w:szCs w:val="20"/>
              </w:rPr>
              <w:t xml:space="preserve">0,00 </w:t>
            </w:r>
          </w:p>
        </w:tc>
      </w:tr>
      <w:tr w:rsidR="00CE622A" w:rsidRPr="00340C45" w14:paraId="7DAB55BE" w14:textId="77777777" w:rsidTr="005D72D8">
        <w:trPr>
          <w:trHeight w:val="354"/>
        </w:trPr>
        <w:tc>
          <w:tcPr>
            <w:tcW w:w="2767" w:type="dxa"/>
            <w:shd w:val="clear" w:color="auto" w:fill="F2F2F2" w:themeFill="background1" w:themeFillShade="F2"/>
            <w:vAlign w:val="center"/>
          </w:tcPr>
          <w:p w14:paraId="1644E557" w14:textId="56531938" w:rsidR="00A94FD6" w:rsidRPr="00FC64BF" w:rsidRDefault="00A94FD6" w:rsidP="004A3B23">
            <w:pPr>
              <w:spacing w:line="276" w:lineRule="auto"/>
              <w:rPr>
                <w:rFonts w:cs="Times New Roman"/>
                <w:sz w:val="20"/>
                <w:szCs w:val="20"/>
              </w:rPr>
            </w:pPr>
            <w:r w:rsidRPr="00FC64BF">
              <w:rPr>
                <w:rFonts w:cs="Times New Roman"/>
                <w:sz w:val="20"/>
                <w:szCs w:val="20"/>
              </w:rPr>
              <w:t xml:space="preserve">ROK PROVEDBE </w:t>
            </w:r>
            <w:r w:rsidR="0004140C" w:rsidRPr="00FC64BF">
              <w:rPr>
                <w:rFonts w:cs="Times New Roman"/>
                <w:sz w:val="20"/>
                <w:szCs w:val="20"/>
              </w:rPr>
              <w:t>A</w:t>
            </w:r>
            <w:r w:rsidRPr="00FC64BF">
              <w:rPr>
                <w:rFonts w:cs="Times New Roman"/>
                <w:sz w:val="20"/>
                <w:szCs w:val="20"/>
              </w:rPr>
              <w:t>KTIVNOSTI</w:t>
            </w:r>
          </w:p>
        </w:tc>
        <w:tc>
          <w:tcPr>
            <w:tcW w:w="6442" w:type="dxa"/>
            <w:gridSpan w:val="3"/>
            <w:vAlign w:val="center"/>
          </w:tcPr>
          <w:p w14:paraId="6C1F090E" w14:textId="2CF0F021" w:rsidR="00A94FD6" w:rsidRPr="00FC64BF" w:rsidRDefault="00357526" w:rsidP="00D36147">
            <w:pPr>
              <w:spacing w:line="276" w:lineRule="auto"/>
              <w:rPr>
                <w:rFonts w:cs="Times New Roman"/>
                <w:sz w:val="20"/>
                <w:szCs w:val="20"/>
              </w:rPr>
            </w:pPr>
            <w:r w:rsidRPr="00FC64BF">
              <w:rPr>
                <w:rFonts w:cs="Times New Roman"/>
                <w:sz w:val="20"/>
                <w:szCs w:val="20"/>
              </w:rPr>
              <w:t>IV. kvartal 2025.</w:t>
            </w:r>
          </w:p>
        </w:tc>
      </w:tr>
    </w:tbl>
    <w:p w14:paraId="6620B948" w14:textId="77777777" w:rsidR="006D2894" w:rsidRDefault="006D2894" w:rsidP="00D36147">
      <w:pPr>
        <w:spacing w:after="0" w:line="276" w:lineRule="auto"/>
        <w:rPr>
          <w:rFonts w:cs="Times New Roman"/>
          <w:b/>
          <w:bCs/>
          <w:szCs w:val="24"/>
        </w:rPr>
      </w:pPr>
    </w:p>
    <w:p w14:paraId="27AB443E" w14:textId="77777777" w:rsidR="003379F1" w:rsidRPr="005346B3" w:rsidRDefault="003379F1" w:rsidP="00D36147">
      <w:pPr>
        <w:spacing w:after="0" w:line="276" w:lineRule="auto"/>
        <w:rPr>
          <w:rFonts w:cs="Times New Roman"/>
          <w:b/>
          <w:bCs/>
          <w:szCs w:val="24"/>
        </w:rPr>
      </w:pPr>
    </w:p>
    <w:p w14:paraId="3086BFC2" w14:textId="5099CFC0" w:rsidR="00FE037F" w:rsidRPr="00FC64BF" w:rsidRDefault="00FE037F" w:rsidP="00D36147">
      <w:pPr>
        <w:spacing w:after="0" w:line="276" w:lineRule="auto"/>
        <w:rPr>
          <w:rFonts w:cs="Times New Roman"/>
          <w:b/>
          <w:bCs/>
          <w:szCs w:val="24"/>
        </w:rPr>
      </w:pPr>
      <w:r w:rsidRPr="005346B3">
        <w:rPr>
          <w:rFonts w:cs="Times New Roman"/>
          <w:b/>
          <w:bCs/>
          <w:szCs w:val="24"/>
        </w:rPr>
        <w:t>M</w:t>
      </w:r>
      <w:r w:rsidRPr="00FC64BF">
        <w:rPr>
          <w:rFonts w:cs="Times New Roman"/>
          <w:b/>
          <w:bCs/>
          <w:szCs w:val="24"/>
        </w:rPr>
        <w:t>jera 3.2. Poticanje povećanja udjela Roma koji podnose pritužbe na diskriminaciju</w:t>
      </w:r>
    </w:p>
    <w:p w14:paraId="7925F2CA" w14:textId="77777777" w:rsidR="00807154" w:rsidRPr="00FC64BF" w:rsidRDefault="00807154" w:rsidP="004A3B23">
      <w:pPr>
        <w:spacing w:after="0" w:line="276" w:lineRule="auto"/>
        <w:jc w:val="both"/>
        <w:rPr>
          <w:rFonts w:cs="Times New Roman"/>
          <w:i/>
          <w:szCs w:val="24"/>
        </w:rPr>
      </w:pPr>
    </w:p>
    <w:p w14:paraId="2740EEB0" w14:textId="5ADA96A6" w:rsidR="00357526" w:rsidRPr="00FC64BF" w:rsidRDefault="00717573" w:rsidP="004A3B23">
      <w:pPr>
        <w:spacing w:after="0" w:line="276" w:lineRule="auto"/>
        <w:jc w:val="both"/>
        <w:rPr>
          <w:rFonts w:cs="Times New Roman"/>
          <w:i/>
          <w:szCs w:val="24"/>
        </w:rPr>
      </w:pPr>
      <w:r w:rsidRPr="00FC64BF">
        <w:rPr>
          <w:rFonts w:cs="Times New Roman"/>
          <w:i/>
          <w:szCs w:val="24"/>
        </w:rPr>
        <w:t>Aktivnost 3.2.1. Pružanje besplatne pravne pomoći pripadnicima osjetljivih društvenih skupina (uključujući pripadnicima romske nacionalne manjine)</w:t>
      </w:r>
    </w:p>
    <w:p w14:paraId="52325C73" w14:textId="1EC6F6B9" w:rsidR="00B73A70" w:rsidRPr="00FC64BF" w:rsidRDefault="00717573" w:rsidP="00D36147">
      <w:pPr>
        <w:spacing w:after="0" w:line="276" w:lineRule="auto"/>
        <w:jc w:val="both"/>
        <w:rPr>
          <w:rFonts w:cs="Times New Roman"/>
          <w:i/>
          <w:szCs w:val="24"/>
        </w:rPr>
      </w:pPr>
      <w:r w:rsidRPr="00FC64BF">
        <w:rPr>
          <w:rFonts w:cs="Times New Roman"/>
          <w:i/>
          <w:szCs w:val="24"/>
        </w:rPr>
        <w:lastRenderedPageBreak/>
        <w:t>Nositelj provedbe</w:t>
      </w:r>
      <w:r w:rsidRPr="00FC64BF">
        <w:rPr>
          <w:rFonts w:cs="Times New Roman"/>
          <w:bCs/>
          <w:szCs w:val="24"/>
        </w:rPr>
        <w:t xml:space="preserve">: </w:t>
      </w:r>
      <w:r w:rsidRPr="00FC64BF">
        <w:rPr>
          <w:rFonts w:cs="Times New Roman"/>
          <w:i/>
          <w:szCs w:val="24"/>
        </w:rPr>
        <w:t>Ministarstvo pravosuđa</w:t>
      </w:r>
      <w:r w:rsidR="003379F1">
        <w:rPr>
          <w:rFonts w:cs="Times New Roman"/>
          <w:i/>
          <w:szCs w:val="24"/>
        </w:rPr>
        <w:t xml:space="preserve">, </w:t>
      </w:r>
      <w:r w:rsidRPr="00FC64BF">
        <w:rPr>
          <w:rFonts w:cs="Times New Roman"/>
          <w:i/>
          <w:szCs w:val="24"/>
        </w:rPr>
        <w:t>uprave</w:t>
      </w:r>
      <w:r w:rsidR="003379F1">
        <w:rPr>
          <w:rFonts w:cs="Times New Roman"/>
          <w:i/>
          <w:szCs w:val="24"/>
        </w:rPr>
        <w:t xml:space="preserve"> i digitalne transformacije</w:t>
      </w:r>
    </w:p>
    <w:p w14:paraId="7B9542A2" w14:textId="637A8F9A" w:rsidR="00FE037F" w:rsidRPr="00FC64BF" w:rsidRDefault="00717573" w:rsidP="00D36147">
      <w:pPr>
        <w:spacing w:after="0" w:line="276" w:lineRule="auto"/>
        <w:jc w:val="both"/>
        <w:rPr>
          <w:rFonts w:cs="Times New Roman"/>
          <w:i/>
          <w:szCs w:val="24"/>
        </w:rPr>
      </w:pPr>
      <w:r w:rsidRPr="00FC64BF">
        <w:rPr>
          <w:rFonts w:cs="Times New Roman"/>
          <w:i/>
          <w:szCs w:val="24"/>
        </w:rPr>
        <w:t>Partneri: Ovlaštene udruge i prav</w:t>
      </w:r>
      <w:r w:rsidR="0046652E" w:rsidRPr="00FC64BF">
        <w:rPr>
          <w:rFonts w:cs="Times New Roman"/>
          <w:i/>
          <w:szCs w:val="24"/>
        </w:rPr>
        <w:t>n</w:t>
      </w:r>
      <w:r w:rsidR="008A31DC" w:rsidRPr="00FC64BF">
        <w:rPr>
          <w:rFonts w:cs="Times New Roman"/>
          <w:i/>
          <w:szCs w:val="24"/>
        </w:rPr>
        <w:t>i fakulteti</w:t>
      </w:r>
      <w:r w:rsidRPr="00FC64BF">
        <w:rPr>
          <w:rFonts w:cs="Times New Roman"/>
          <w:i/>
          <w:szCs w:val="24"/>
        </w:rPr>
        <w:t xml:space="preserve"> </w:t>
      </w:r>
    </w:p>
    <w:p w14:paraId="1378666E" w14:textId="77777777" w:rsidR="00B73A70" w:rsidRPr="00FC64BF" w:rsidRDefault="00B73A70" w:rsidP="00D36147">
      <w:pPr>
        <w:spacing w:after="0" w:line="276" w:lineRule="auto"/>
        <w:jc w:val="both"/>
        <w:rPr>
          <w:rFonts w:cs="Times New Roman"/>
          <w:szCs w:val="24"/>
        </w:rPr>
      </w:pPr>
    </w:p>
    <w:p w14:paraId="2FBF30BA" w14:textId="15828D14" w:rsidR="005C1C25" w:rsidRPr="00FC64BF" w:rsidRDefault="00772DD7" w:rsidP="00D36147">
      <w:pPr>
        <w:spacing w:after="0" w:line="276" w:lineRule="auto"/>
        <w:jc w:val="both"/>
        <w:rPr>
          <w:rFonts w:cs="Times New Roman"/>
          <w:szCs w:val="24"/>
        </w:rPr>
      </w:pPr>
      <w:r>
        <w:rPr>
          <w:rFonts w:cs="Times New Roman"/>
          <w:szCs w:val="24"/>
        </w:rPr>
        <w:t xml:space="preserve">U 2024. </w:t>
      </w:r>
      <w:r w:rsidR="00FB55F5">
        <w:rPr>
          <w:rFonts w:cs="Times New Roman"/>
          <w:szCs w:val="24"/>
        </w:rPr>
        <w:t xml:space="preserve">godini </w:t>
      </w:r>
      <w:r w:rsidR="00717573" w:rsidRPr="00FC64BF">
        <w:rPr>
          <w:rFonts w:cs="Times New Roman"/>
          <w:szCs w:val="24"/>
        </w:rPr>
        <w:t>Ministarstvo pravosuđa</w:t>
      </w:r>
      <w:r w:rsidR="003379F1">
        <w:rPr>
          <w:rFonts w:cs="Times New Roman"/>
          <w:szCs w:val="24"/>
        </w:rPr>
        <w:t xml:space="preserve">, </w:t>
      </w:r>
      <w:r w:rsidR="00717573" w:rsidRPr="00FC64BF">
        <w:rPr>
          <w:rFonts w:cs="Times New Roman"/>
          <w:szCs w:val="24"/>
        </w:rPr>
        <w:t>uprave</w:t>
      </w:r>
      <w:r w:rsidR="003379F1">
        <w:rPr>
          <w:rFonts w:cs="Times New Roman"/>
          <w:szCs w:val="24"/>
        </w:rPr>
        <w:t xml:space="preserve"> i digitalne transformacije </w:t>
      </w:r>
      <w:r w:rsidR="00717573" w:rsidRPr="00FC64BF">
        <w:rPr>
          <w:rFonts w:cs="Times New Roman"/>
          <w:szCs w:val="24"/>
        </w:rPr>
        <w:t xml:space="preserve">je </w:t>
      </w:r>
      <w:r>
        <w:rPr>
          <w:rFonts w:cs="Times New Roman"/>
          <w:szCs w:val="24"/>
        </w:rPr>
        <w:t xml:space="preserve">nastavilo s financiranjem </w:t>
      </w:r>
      <w:r w:rsidR="00717573" w:rsidRPr="00FC64BF">
        <w:rPr>
          <w:rFonts w:cs="Times New Roman"/>
          <w:szCs w:val="24"/>
        </w:rPr>
        <w:t>23 projekta pružanja primarne pravne pomoći ovlaštenih udruga i pravnih fakulteta</w:t>
      </w:r>
      <w:r>
        <w:rPr>
          <w:rFonts w:cs="Times New Roman"/>
          <w:szCs w:val="24"/>
        </w:rPr>
        <w:t xml:space="preserve"> koji su u 2023. </w:t>
      </w:r>
      <w:r w:rsidR="00FB55F5">
        <w:rPr>
          <w:rFonts w:cs="Times New Roman"/>
          <w:szCs w:val="24"/>
        </w:rPr>
        <w:t xml:space="preserve">godini </w:t>
      </w:r>
      <w:r>
        <w:rPr>
          <w:rFonts w:cs="Times New Roman"/>
          <w:szCs w:val="24"/>
        </w:rPr>
        <w:t>odabrani za financiranje u trogodišnjem razdoblju od 2023. do 2025.</w:t>
      </w:r>
      <w:r w:rsidR="00FB55F5">
        <w:rPr>
          <w:rFonts w:cs="Times New Roman"/>
          <w:szCs w:val="24"/>
        </w:rPr>
        <w:t xml:space="preserve"> godine</w:t>
      </w:r>
      <w:r>
        <w:rPr>
          <w:rFonts w:cs="Times New Roman"/>
          <w:szCs w:val="24"/>
        </w:rPr>
        <w:t>, a među njima je s</w:t>
      </w:r>
      <w:r w:rsidR="00717573" w:rsidRPr="00FC64BF">
        <w:rPr>
          <w:rFonts w:cs="Times New Roman"/>
          <w:szCs w:val="24"/>
        </w:rPr>
        <w:t xml:space="preserve">edam projekata </w:t>
      </w:r>
      <w:r>
        <w:rPr>
          <w:rFonts w:cs="Times New Roman"/>
          <w:szCs w:val="24"/>
        </w:rPr>
        <w:t xml:space="preserve">koji </w:t>
      </w:r>
      <w:r w:rsidR="00717573" w:rsidRPr="00FC64BF">
        <w:rPr>
          <w:rFonts w:cs="Times New Roman"/>
          <w:szCs w:val="24"/>
        </w:rPr>
        <w:t>predviđa</w:t>
      </w:r>
      <w:r>
        <w:rPr>
          <w:rFonts w:cs="Times New Roman"/>
          <w:szCs w:val="24"/>
        </w:rPr>
        <w:t>ju</w:t>
      </w:r>
      <w:r w:rsidR="00717573" w:rsidRPr="00FC64BF">
        <w:rPr>
          <w:rFonts w:cs="Times New Roman"/>
          <w:szCs w:val="24"/>
        </w:rPr>
        <w:t xml:space="preserve"> pružanje primarne pravne pomoći Romima. Zemljopisna područja koja su obuhvaćena projektima uključ</w:t>
      </w:r>
      <w:r>
        <w:rPr>
          <w:rFonts w:cs="Times New Roman"/>
          <w:szCs w:val="24"/>
        </w:rPr>
        <w:t>ivala su</w:t>
      </w:r>
      <w:r w:rsidR="00717573" w:rsidRPr="00FC64BF">
        <w:rPr>
          <w:rFonts w:cs="Times New Roman"/>
          <w:szCs w:val="24"/>
        </w:rPr>
        <w:t>: Osječko-baranjsku županiju (Grad Osijek, Grad Beli Manastir, općina Darda, područje Baranje), Grad Zagreb, Brodsko-posavsku županiju, Požeško-slavonsku županiju,</w:t>
      </w:r>
      <w:r w:rsidR="008E1F12" w:rsidRPr="00FC64BF">
        <w:rPr>
          <w:rFonts w:cs="Times New Roman"/>
          <w:szCs w:val="24"/>
        </w:rPr>
        <w:t xml:space="preserve"> </w:t>
      </w:r>
      <w:r w:rsidR="00717573" w:rsidRPr="00FC64BF">
        <w:rPr>
          <w:rFonts w:cs="Times New Roman"/>
          <w:szCs w:val="24"/>
        </w:rPr>
        <w:t>Sisačko-moslavačku županiju, Karlovačku županiju (gradovi Karlovac, Slunj, Duga Resa, općine Krnjak, Vojnić, Lasinja i Barilović</w:t>
      </w:r>
      <w:r w:rsidR="001B48A1" w:rsidRPr="00FC64BF">
        <w:rPr>
          <w:rFonts w:cs="Times New Roman"/>
          <w:szCs w:val="24"/>
        </w:rPr>
        <w:t>).</w:t>
      </w:r>
      <w:r w:rsidR="00DD14F3" w:rsidRPr="00FC64BF">
        <w:rPr>
          <w:rFonts w:cs="Times New Roman"/>
          <w:szCs w:val="24"/>
        </w:rPr>
        <w:t xml:space="preserve"> Za </w:t>
      </w:r>
      <w:r w:rsidR="00AE329D">
        <w:rPr>
          <w:rFonts w:cs="Times New Roman"/>
          <w:szCs w:val="24"/>
        </w:rPr>
        <w:t xml:space="preserve">navedene </w:t>
      </w:r>
      <w:r w:rsidR="00DD14F3" w:rsidRPr="00FC64BF">
        <w:rPr>
          <w:rFonts w:cs="Times New Roman"/>
          <w:szCs w:val="24"/>
        </w:rPr>
        <w:t xml:space="preserve">projekte u kojima se predviđa pružanje primarne pravne pomoći Romima dodijeljeno je ukupno 283.081,62 </w:t>
      </w:r>
      <w:r w:rsidR="003379F1">
        <w:rPr>
          <w:rFonts w:cs="Times New Roman"/>
          <w:szCs w:val="24"/>
        </w:rPr>
        <w:t>EUR</w:t>
      </w:r>
      <w:r w:rsidR="00DD14F3" w:rsidRPr="00FC64BF">
        <w:rPr>
          <w:rFonts w:cs="Times New Roman"/>
          <w:szCs w:val="24"/>
        </w:rPr>
        <w:t>,</w:t>
      </w:r>
      <w:r w:rsidR="00DD14F3" w:rsidRPr="00A440ED">
        <w:rPr>
          <w:rFonts w:cs="Times New Roman"/>
          <w:i/>
          <w:szCs w:val="24"/>
        </w:rPr>
        <w:t xml:space="preserve"> </w:t>
      </w:r>
      <w:r w:rsidR="00DD14F3" w:rsidRPr="00A440ED">
        <w:rPr>
          <w:rFonts w:cs="Times New Roman"/>
          <w:szCs w:val="24"/>
        </w:rPr>
        <w:t xml:space="preserve">odnosno </w:t>
      </w:r>
      <w:r w:rsidR="00DD14F3" w:rsidRPr="00FC64BF">
        <w:rPr>
          <w:rFonts w:cs="Times New Roman"/>
          <w:szCs w:val="24"/>
        </w:rPr>
        <w:t xml:space="preserve">30 % </w:t>
      </w:r>
      <w:r w:rsidR="00DD14F3" w:rsidRPr="00A440ED">
        <w:rPr>
          <w:rFonts w:cs="Times New Roman"/>
          <w:szCs w:val="24"/>
        </w:rPr>
        <w:t xml:space="preserve">više </w:t>
      </w:r>
      <w:r w:rsidR="00DD14F3" w:rsidRPr="00FC64BF">
        <w:rPr>
          <w:rFonts w:cs="Times New Roman"/>
          <w:szCs w:val="24"/>
        </w:rPr>
        <w:t>u odnosu na 2023</w:t>
      </w:r>
      <w:r w:rsidR="003379F1">
        <w:rPr>
          <w:rFonts w:cs="Times New Roman"/>
          <w:szCs w:val="24"/>
        </w:rPr>
        <w:t>.</w:t>
      </w:r>
      <w:r w:rsidR="00FB55F5">
        <w:rPr>
          <w:rFonts w:cs="Times New Roman"/>
          <w:szCs w:val="24"/>
        </w:rPr>
        <w:t xml:space="preserve"> godinu.</w:t>
      </w:r>
    </w:p>
    <w:p w14:paraId="587A8EEC" w14:textId="77777777" w:rsidR="00005D9B" w:rsidRPr="00FC64BF" w:rsidRDefault="00005D9B" w:rsidP="00D36147">
      <w:pPr>
        <w:spacing w:after="0" w:line="276" w:lineRule="auto"/>
        <w:jc w:val="both"/>
        <w:rPr>
          <w:rFonts w:cs="Times New Roman"/>
          <w:szCs w:val="24"/>
        </w:rPr>
      </w:pPr>
    </w:p>
    <w:tbl>
      <w:tblPr>
        <w:tblStyle w:val="TableGrid"/>
        <w:tblpPr w:leftFromText="180" w:rightFromText="180" w:vertAnchor="text" w:horzAnchor="margin" w:tblpY="194"/>
        <w:tblW w:w="5000" w:type="pct"/>
        <w:tblLayout w:type="fixed"/>
        <w:tblLook w:val="04A0" w:firstRow="1" w:lastRow="0" w:firstColumn="1" w:lastColumn="0" w:noHBand="0" w:noVBand="1"/>
      </w:tblPr>
      <w:tblGrid>
        <w:gridCol w:w="2690"/>
        <w:gridCol w:w="2664"/>
        <w:gridCol w:w="2334"/>
        <w:gridCol w:w="1374"/>
      </w:tblGrid>
      <w:tr w:rsidR="00CE622A" w:rsidRPr="00A440ED" w14:paraId="1E67EF65" w14:textId="77777777" w:rsidTr="002A04BF">
        <w:tc>
          <w:tcPr>
            <w:tcW w:w="1484" w:type="pct"/>
            <w:shd w:val="clear" w:color="auto" w:fill="F2F2F2" w:themeFill="background1" w:themeFillShade="F2"/>
            <w:vAlign w:val="center"/>
          </w:tcPr>
          <w:p w14:paraId="55E18FDB" w14:textId="608C53D2" w:rsidR="00357526" w:rsidRPr="00FC64BF" w:rsidRDefault="00B510B5" w:rsidP="002A04BF">
            <w:pPr>
              <w:rPr>
                <w:rFonts w:cs="Times New Roman"/>
                <w:b/>
                <w:sz w:val="20"/>
                <w:szCs w:val="20"/>
              </w:rPr>
            </w:pPr>
            <w:r w:rsidRPr="00FC64BF">
              <w:rPr>
                <w:rFonts w:cs="Times New Roman"/>
                <w:b/>
                <w:sz w:val="20"/>
                <w:szCs w:val="20"/>
              </w:rPr>
              <w:t>Pokazatelji provedbe i pokazatelji uspješnosti provedbe</w:t>
            </w:r>
          </w:p>
        </w:tc>
        <w:tc>
          <w:tcPr>
            <w:tcW w:w="1470" w:type="pct"/>
            <w:shd w:val="clear" w:color="auto" w:fill="F2F2F2" w:themeFill="background1" w:themeFillShade="F2"/>
            <w:vAlign w:val="center"/>
          </w:tcPr>
          <w:p w14:paraId="1A65B6B6" w14:textId="289449B1" w:rsidR="00357526" w:rsidRPr="00FC64BF" w:rsidRDefault="00357526" w:rsidP="00A75D55">
            <w:pPr>
              <w:jc w:val="center"/>
              <w:rPr>
                <w:sz w:val="20"/>
                <w:szCs w:val="20"/>
              </w:rPr>
            </w:pPr>
            <w:r w:rsidRPr="00FC64BF">
              <w:rPr>
                <w:b/>
                <w:sz w:val="20"/>
                <w:szCs w:val="20"/>
              </w:rPr>
              <w:t>Udio pripadnika romska</w:t>
            </w:r>
            <w:r w:rsidR="00A75D55" w:rsidRPr="00FC64BF">
              <w:rPr>
                <w:b/>
                <w:sz w:val="20"/>
                <w:szCs w:val="20"/>
              </w:rPr>
              <w:t xml:space="preserve"> </w:t>
            </w:r>
            <w:r w:rsidRPr="00FC64BF">
              <w:rPr>
                <w:b/>
                <w:sz w:val="20"/>
                <w:szCs w:val="20"/>
              </w:rPr>
              <w:t>nacionalne manjine u</w:t>
            </w:r>
            <w:r w:rsidR="00A75D55" w:rsidRPr="00FC64BF">
              <w:rPr>
                <w:b/>
                <w:sz w:val="20"/>
                <w:szCs w:val="20"/>
              </w:rPr>
              <w:t xml:space="preserve"> </w:t>
            </w:r>
            <w:r w:rsidRPr="00FC64BF">
              <w:rPr>
                <w:b/>
                <w:sz w:val="20"/>
                <w:szCs w:val="20"/>
              </w:rPr>
              <w:t>ukupnom broju korisnika</w:t>
            </w:r>
            <w:r w:rsidR="00A75D55" w:rsidRPr="00FC64BF">
              <w:rPr>
                <w:b/>
                <w:sz w:val="20"/>
                <w:szCs w:val="20"/>
              </w:rPr>
              <w:t xml:space="preserve"> </w:t>
            </w:r>
            <w:r w:rsidRPr="00FC64BF">
              <w:rPr>
                <w:b/>
                <w:sz w:val="20"/>
                <w:szCs w:val="20"/>
              </w:rPr>
              <w:t>u projektima koji</w:t>
            </w:r>
            <w:r w:rsidR="00A75D55" w:rsidRPr="00FC64BF">
              <w:rPr>
                <w:b/>
                <w:sz w:val="20"/>
                <w:szCs w:val="20"/>
              </w:rPr>
              <w:t xml:space="preserve"> </w:t>
            </w:r>
            <w:r w:rsidRPr="00FC64BF">
              <w:rPr>
                <w:b/>
                <w:sz w:val="20"/>
                <w:szCs w:val="20"/>
              </w:rPr>
              <w:t>predviđaju pružanje</w:t>
            </w:r>
            <w:r w:rsidR="00A75D55" w:rsidRPr="00FC64BF">
              <w:rPr>
                <w:b/>
                <w:sz w:val="20"/>
                <w:szCs w:val="20"/>
              </w:rPr>
              <w:t xml:space="preserve"> </w:t>
            </w:r>
            <w:r w:rsidRPr="00FC64BF">
              <w:rPr>
                <w:b/>
                <w:sz w:val="20"/>
                <w:szCs w:val="20"/>
              </w:rPr>
              <w:t>primarne pravne pomoći</w:t>
            </w:r>
            <w:r w:rsidR="00A75D55" w:rsidRPr="00FC64BF">
              <w:rPr>
                <w:b/>
                <w:sz w:val="20"/>
                <w:szCs w:val="20"/>
              </w:rPr>
              <w:t xml:space="preserve"> R</w:t>
            </w:r>
            <w:r w:rsidRPr="00FC64BF">
              <w:rPr>
                <w:b/>
                <w:sz w:val="20"/>
                <w:szCs w:val="20"/>
              </w:rPr>
              <w:t>omima i žrtvama</w:t>
            </w:r>
            <w:r w:rsidR="001D6DA1" w:rsidRPr="00FC64BF">
              <w:rPr>
                <w:b/>
                <w:sz w:val="20"/>
                <w:szCs w:val="20"/>
              </w:rPr>
              <w:t xml:space="preserve"> diskriminacije</w:t>
            </w:r>
          </w:p>
        </w:tc>
        <w:tc>
          <w:tcPr>
            <w:tcW w:w="1288" w:type="pct"/>
            <w:shd w:val="clear" w:color="auto" w:fill="F2F2F2" w:themeFill="background1" w:themeFillShade="F2"/>
            <w:vAlign w:val="center"/>
          </w:tcPr>
          <w:p w14:paraId="052976FF" w14:textId="1E1D85D0" w:rsidR="00357526" w:rsidRPr="00FC64BF" w:rsidRDefault="00357526" w:rsidP="002A04BF">
            <w:pPr>
              <w:jc w:val="center"/>
              <w:rPr>
                <w:rFonts w:cs="Times New Roman"/>
                <w:b/>
                <w:sz w:val="20"/>
                <w:szCs w:val="20"/>
              </w:rPr>
            </w:pPr>
            <w:r w:rsidRPr="00FC64BF">
              <w:rPr>
                <w:rFonts w:cs="Times New Roman"/>
                <w:b/>
                <w:sz w:val="20"/>
                <w:szCs w:val="20"/>
              </w:rPr>
              <w:t>Broj financiranih</w:t>
            </w:r>
            <w:r w:rsidR="00A75D55" w:rsidRPr="00FC64BF">
              <w:rPr>
                <w:rFonts w:cs="Times New Roman"/>
                <w:b/>
                <w:sz w:val="20"/>
                <w:szCs w:val="20"/>
              </w:rPr>
              <w:t xml:space="preserve"> p</w:t>
            </w:r>
            <w:r w:rsidRPr="00FC64BF">
              <w:rPr>
                <w:rFonts w:cs="Times New Roman"/>
                <w:b/>
                <w:sz w:val="20"/>
                <w:szCs w:val="20"/>
              </w:rPr>
              <w:t>rojekata koji u svojim</w:t>
            </w:r>
          </w:p>
          <w:p w14:paraId="22C6B9E1" w14:textId="77777777" w:rsidR="00357526" w:rsidRPr="00FC64BF" w:rsidRDefault="00357526" w:rsidP="002A04BF">
            <w:pPr>
              <w:jc w:val="center"/>
              <w:rPr>
                <w:rFonts w:cs="Times New Roman"/>
                <w:b/>
                <w:sz w:val="20"/>
                <w:szCs w:val="20"/>
              </w:rPr>
            </w:pPr>
            <w:r w:rsidRPr="00FC64BF">
              <w:rPr>
                <w:rFonts w:cs="Times New Roman"/>
                <w:b/>
                <w:sz w:val="20"/>
                <w:szCs w:val="20"/>
              </w:rPr>
              <w:t>prioritetnim područjima</w:t>
            </w:r>
          </w:p>
          <w:p w14:paraId="3CD5AAC8" w14:textId="77777777" w:rsidR="00357526" w:rsidRPr="00FC64BF" w:rsidRDefault="00357526" w:rsidP="002A04BF">
            <w:pPr>
              <w:jc w:val="center"/>
              <w:rPr>
                <w:rFonts w:cs="Times New Roman"/>
                <w:b/>
                <w:sz w:val="20"/>
                <w:szCs w:val="20"/>
              </w:rPr>
            </w:pPr>
            <w:r w:rsidRPr="00FC64BF">
              <w:rPr>
                <w:rFonts w:cs="Times New Roman"/>
                <w:b/>
                <w:sz w:val="20"/>
                <w:szCs w:val="20"/>
              </w:rPr>
              <w:t>djelovanja predviđaju</w:t>
            </w:r>
          </w:p>
          <w:p w14:paraId="6C057D6A" w14:textId="77777777" w:rsidR="00357526" w:rsidRPr="00FC64BF" w:rsidRDefault="00357526" w:rsidP="002A04BF">
            <w:pPr>
              <w:jc w:val="center"/>
              <w:rPr>
                <w:rFonts w:cs="Times New Roman"/>
                <w:b/>
                <w:sz w:val="20"/>
                <w:szCs w:val="20"/>
              </w:rPr>
            </w:pPr>
            <w:r w:rsidRPr="00FC64BF">
              <w:rPr>
                <w:rFonts w:cs="Times New Roman"/>
                <w:b/>
                <w:sz w:val="20"/>
                <w:szCs w:val="20"/>
              </w:rPr>
              <w:t>pružanje primarne</w:t>
            </w:r>
          </w:p>
          <w:p w14:paraId="3FFF91A8" w14:textId="6DA33E7F" w:rsidR="00357526" w:rsidRPr="00FC64BF" w:rsidRDefault="00357526" w:rsidP="00A75D55">
            <w:pPr>
              <w:jc w:val="center"/>
              <w:rPr>
                <w:rFonts w:cs="Times New Roman"/>
                <w:b/>
                <w:sz w:val="20"/>
                <w:szCs w:val="20"/>
              </w:rPr>
            </w:pPr>
            <w:r w:rsidRPr="00FC64BF">
              <w:rPr>
                <w:rFonts w:cs="Times New Roman"/>
                <w:b/>
                <w:sz w:val="20"/>
                <w:szCs w:val="20"/>
              </w:rPr>
              <w:t xml:space="preserve">pravne pomoći Romima </w:t>
            </w:r>
            <w:r w:rsidR="00FF0704" w:rsidRPr="00FC64BF">
              <w:rPr>
                <w:rFonts w:cs="Times New Roman"/>
                <w:b/>
                <w:sz w:val="20"/>
                <w:szCs w:val="20"/>
              </w:rPr>
              <w:t>i</w:t>
            </w:r>
            <w:r w:rsidR="00A75D55" w:rsidRPr="00FC64BF">
              <w:rPr>
                <w:rFonts w:cs="Times New Roman"/>
                <w:b/>
                <w:sz w:val="20"/>
                <w:szCs w:val="20"/>
              </w:rPr>
              <w:t xml:space="preserve"> </w:t>
            </w:r>
            <w:r w:rsidRPr="00FC64BF">
              <w:rPr>
                <w:rFonts w:cs="Times New Roman"/>
                <w:b/>
                <w:sz w:val="20"/>
                <w:szCs w:val="20"/>
              </w:rPr>
              <w:t>žrtvama diskriminacije</w:t>
            </w:r>
          </w:p>
        </w:tc>
        <w:tc>
          <w:tcPr>
            <w:tcW w:w="758" w:type="pct"/>
            <w:shd w:val="clear" w:color="auto" w:fill="F2F2F2" w:themeFill="background1" w:themeFillShade="F2"/>
            <w:vAlign w:val="center"/>
          </w:tcPr>
          <w:p w14:paraId="4C8827B4" w14:textId="2F2E9B5F" w:rsidR="00357526" w:rsidRPr="00FC64BF" w:rsidRDefault="00357526" w:rsidP="002A04BF">
            <w:pPr>
              <w:jc w:val="center"/>
              <w:rPr>
                <w:rFonts w:cs="Times New Roman"/>
                <w:b/>
                <w:sz w:val="20"/>
                <w:szCs w:val="20"/>
              </w:rPr>
            </w:pPr>
          </w:p>
        </w:tc>
      </w:tr>
      <w:tr w:rsidR="00CE622A" w:rsidRPr="00A440ED" w14:paraId="2A57E63A" w14:textId="77777777" w:rsidTr="002A04BF">
        <w:tc>
          <w:tcPr>
            <w:tcW w:w="1484" w:type="pct"/>
            <w:shd w:val="clear" w:color="auto" w:fill="F2F2F2" w:themeFill="background1" w:themeFillShade="F2"/>
            <w:vAlign w:val="center"/>
          </w:tcPr>
          <w:p w14:paraId="1457C8B7" w14:textId="2EB78AED" w:rsidR="00357526" w:rsidRPr="00FC64BF" w:rsidRDefault="00357526" w:rsidP="009B1CEB">
            <w:pPr>
              <w:rPr>
                <w:rFonts w:cs="Times New Roman"/>
                <w:sz w:val="20"/>
                <w:szCs w:val="20"/>
              </w:rPr>
            </w:pPr>
            <w:r w:rsidRPr="00FC64BF">
              <w:rPr>
                <w:rFonts w:cs="Times New Roman"/>
                <w:sz w:val="20"/>
                <w:szCs w:val="20"/>
              </w:rPr>
              <w:t>Planirani ishodi za pokazatelje provedbe u 202</w:t>
            </w:r>
            <w:r w:rsidR="00DD14F3" w:rsidRPr="00FC64BF">
              <w:rPr>
                <w:rFonts w:cs="Times New Roman"/>
                <w:sz w:val="20"/>
                <w:szCs w:val="20"/>
              </w:rPr>
              <w:t>4</w:t>
            </w:r>
            <w:r w:rsidRPr="00FC64BF">
              <w:rPr>
                <w:rFonts w:cs="Times New Roman"/>
                <w:sz w:val="20"/>
                <w:szCs w:val="20"/>
              </w:rPr>
              <w:t xml:space="preserve">. </w:t>
            </w:r>
          </w:p>
        </w:tc>
        <w:tc>
          <w:tcPr>
            <w:tcW w:w="1470" w:type="pct"/>
            <w:vAlign w:val="center"/>
          </w:tcPr>
          <w:p w14:paraId="06BBD1DA" w14:textId="42C79423" w:rsidR="00357526" w:rsidRPr="00FC64BF" w:rsidRDefault="00357526" w:rsidP="002A04BF">
            <w:pPr>
              <w:jc w:val="center"/>
              <w:rPr>
                <w:rFonts w:cs="Times New Roman"/>
                <w:sz w:val="20"/>
                <w:szCs w:val="20"/>
              </w:rPr>
            </w:pPr>
            <w:r w:rsidRPr="00FC64BF">
              <w:rPr>
                <w:rFonts w:cs="Times New Roman"/>
                <w:sz w:val="20"/>
                <w:szCs w:val="20"/>
              </w:rPr>
              <w:t>5-10</w:t>
            </w:r>
            <w:r w:rsidR="00A0675B" w:rsidRPr="00FC64BF">
              <w:rPr>
                <w:rFonts w:cs="Times New Roman"/>
                <w:sz w:val="20"/>
                <w:szCs w:val="20"/>
              </w:rPr>
              <w:t xml:space="preserve"> </w:t>
            </w:r>
            <w:r w:rsidRPr="00FC64BF">
              <w:rPr>
                <w:rFonts w:cs="Times New Roman"/>
                <w:sz w:val="20"/>
                <w:szCs w:val="20"/>
              </w:rPr>
              <w:t xml:space="preserve">% </w:t>
            </w:r>
          </w:p>
        </w:tc>
        <w:tc>
          <w:tcPr>
            <w:tcW w:w="1288" w:type="pct"/>
            <w:vAlign w:val="center"/>
          </w:tcPr>
          <w:p w14:paraId="6E6E429A" w14:textId="19B1985C" w:rsidR="00357526" w:rsidRPr="00FC64BF" w:rsidRDefault="00357526" w:rsidP="002A04BF">
            <w:pPr>
              <w:jc w:val="center"/>
              <w:rPr>
                <w:rFonts w:cs="Times New Roman"/>
                <w:sz w:val="20"/>
                <w:szCs w:val="20"/>
              </w:rPr>
            </w:pPr>
            <w:r w:rsidRPr="00FC64BF">
              <w:rPr>
                <w:rFonts w:cs="Times New Roman"/>
                <w:sz w:val="20"/>
                <w:szCs w:val="20"/>
              </w:rPr>
              <w:t>5-6</w:t>
            </w:r>
          </w:p>
        </w:tc>
        <w:tc>
          <w:tcPr>
            <w:tcW w:w="758" w:type="pct"/>
            <w:vAlign w:val="center"/>
          </w:tcPr>
          <w:p w14:paraId="16FE06CF" w14:textId="77BF27FD" w:rsidR="00357526" w:rsidRPr="00FC64BF" w:rsidRDefault="00357526" w:rsidP="002A04BF">
            <w:pPr>
              <w:jc w:val="center"/>
              <w:rPr>
                <w:rFonts w:cs="Times New Roman"/>
                <w:sz w:val="20"/>
                <w:szCs w:val="20"/>
              </w:rPr>
            </w:pPr>
          </w:p>
        </w:tc>
      </w:tr>
      <w:tr w:rsidR="00CE622A" w:rsidRPr="00A440ED" w14:paraId="2253FDCE" w14:textId="77777777" w:rsidTr="002A04BF">
        <w:tc>
          <w:tcPr>
            <w:tcW w:w="1484" w:type="pct"/>
            <w:shd w:val="clear" w:color="auto" w:fill="F2F2F2" w:themeFill="background1" w:themeFillShade="F2"/>
            <w:vAlign w:val="center"/>
          </w:tcPr>
          <w:p w14:paraId="09280D4D" w14:textId="5259693C" w:rsidR="00357526" w:rsidRPr="00FC64BF" w:rsidRDefault="00357526" w:rsidP="009B1CEB">
            <w:pPr>
              <w:rPr>
                <w:rFonts w:cs="Times New Roman"/>
                <w:sz w:val="20"/>
                <w:szCs w:val="20"/>
              </w:rPr>
            </w:pPr>
            <w:r w:rsidRPr="00FC64BF">
              <w:rPr>
                <w:rFonts w:cs="Times New Roman"/>
                <w:sz w:val="20"/>
                <w:szCs w:val="20"/>
              </w:rPr>
              <w:t>Ostvareni ishodi za pokazatelje provedbe u 202</w:t>
            </w:r>
            <w:r w:rsidR="00DD14F3" w:rsidRPr="00FC64BF">
              <w:rPr>
                <w:rFonts w:cs="Times New Roman"/>
                <w:sz w:val="20"/>
                <w:szCs w:val="20"/>
              </w:rPr>
              <w:t>4</w:t>
            </w:r>
            <w:r w:rsidRPr="00FC64BF">
              <w:rPr>
                <w:rFonts w:cs="Times New Roman"/>
                <w:sz w:val="20"/>
                <w:szCs w:val="20"/>
              </w:rPr>
              <w:t xml:space="preserve">. </w:t>
            </w:r>
          </w:p>
        </w:tc>
        <w:tc>
          <w:tcPr>
            <w:tcW w:w="1470" w:type="pct"/>
            <w:vAlign w:val="center"/>
          </w:tcPr>
          <w:p w14:paraId="6092E85C" w14:textId="3EBEA82B" w:rsidR="00357526" w:rsidRPr="00FC64BF" w:rsidRDefault="00F710F0" w:rsidP="002A04BF">
            <w:pPr>
              <w:jc w:val="center"/>
              <w:rPr>
                <w:rFonts w:cs="Times New Roman"/>
                <w:sz w:val="20"/>
                <w:szCs w:val="20"/>
              </w:rPr>
            </w:pPr>
            <w:r w:rsidRPr="00FC64BF">
              <w:rPr>
                <w:rFonts w:cs="Times New Roman"/>
                <w:sz w:val="20"/>
                <w:szCs w:val="20"/>
              </w:rPr>
              <w:t>8,31 %</w:t>
            </w:r>
          </w:p>
        </w:tc>
        <w:tc>
          <w:tcPr>
            <w:tcW w:w="1288" w:type="pct"/>
            <w:vAlign w:val="center"/>
          </w:tcPr>
          <w:p w14:paraId="7EE903C2" w14:textId="1DEF9505" w:rsidR="00357526" w:rsidRPr="00FC64BF" w:rsidRDefault="00F710F0" w:rsidP="002A04BF">
            <w:pPr>
              <w:jc w:val="center"/>
              <w:rPr>
                <w:rFonts w:cs="Times New Roman"/>
                <w:sz w:val="20"/>
                <w:szCs w:val="20"/>
              </w:rPr>
            </w:pPr>
            <w:r w:rsidRPr="00FC64BF">
              <w:rPr>
                <w:rFonts w:cs="Times New Roman"/>
                <w:sz w:val="20"/>
                <w:szCs w:val="20"/>
              </w:rPr>
              <w:t>7</w:t>
            </w:r>
          </w:p>
        </w:tc>
        <w:tc>
          <w:tcPr>
            <w:tcW w:w="758" w:type="pct"/>
            <w:vAlign w:val="center"/>
          </w:tcPr>
          <w:p w14:paraId="4C4230B9" w14:textId="7B6E1DF3" w:rsidR="00357526" w:rsidRPr="00FC64BF" w:rsidRDefault="00357526" w:rsidP="002A04BF">
            <w:pPr>
              <w:jc w:val="center"/>
              <w:rPr>
                <w:rFonts w:cs="Times New Roman"/>
                <w:sz w:val="20"/>
                <w:szCs w:val="20"/>
              </w:rPr>
            </w:pPr>
          </w:p>
        </w:tc>
      </w:tr>
      <w:tr w:rsidR="00CE622A" w:rsidRPr="00A440ED" w14:paraId="29914BAA" w14:textId="77777777" w:rsidTr="002A04BF">
        <w:tc>
          <w:tcPr>
            <w:tcW w:w="1484" w:type="pct"/>
            <w:shd w:val="clear" w:color="auto" w:fill="F2F2F2" w:themeFill="background1" w:themeFillShade="F2"/>
            <w:vAlign w:val="center"/>
          </w:tcPr>
          <w:p w14:paraId="0B3C7E16" w14:textId="77777777" w:rsidR="00357526" w:rsidRPr="00FC64BF" w:rsidRDefault="00357526" w:rsidP="002A04BF">
            <w:pPr>
              <w:rPr>
                <w:rFonts w:cs="Times New Roman"/>
                <w:b/>
                <w:sz w:val="20"/>
                <w:szCs w:val="20"/>
              </w:rPr>
            </w:pPr>
            <w:r w:rsidRPr="00FC64BF">
              <w:rPr>
                <w:rFonts w:cs="Times New Roman"/>
                <w:b/>
                <w:sz w:val="20"/>
                <w:szCs w:val="20"/>
              </w:rPr>
              <w:t xml:space="preserve">IZVORI FINANCIRANJA </w:t>
            </w:r>
          </w:p>
        </w:tc>
        <w:tc>
          <w:tcPr>
            <w:tcW w:w="1470" w:type="pct"/>
            <w:vAlign w:val="center"/>
          </w:tcPr>
          <w:p w14:paraId="2ABDD8F3" w14:textId="77777777" w:rsidR="00357526" w:rsidRPr="00FC64BF" w:rsidRDefault="00357526" w:rsidP="002A04BF">
            <w:pPr>
              <w:jc w:val="center"/>
              <w:rPr>
                <w:rFonts w:cs="Times New Roman"/>
                <w:b/>
                <w:sz w:val="20"/>
                <w:szCs w:val="20"/>
              </w:rPr>
            </w:pPr>
            <w:r w:rsidRPr="00FC64BF">
              <w:rPr>
                <w:rFonts w:cs="Times New Roman"/>
                <w:b/>
                <w:sz w:val="20"/>
                <w:szCs w:val="20"/>
              </w:rPr>
              <w:t>Državni proračun (EUR)</w:t>
            </w:r>
          </w:p>
        </w:tc>
        <w:tc>
          <w:tcPr>
            <w:tcW w:w="1288" w:type="pct"/>
            <w:vAlign w:val="center"/>
          </w:tcPr>
          <w:p w14:paraId="5038BCA4" w14:textId="77777777" w:rsidR="00357526" w:rsidRPr="00FC64BF" w:rsidRDefault="00357526" w:rsidP="002A04BF">
            <w:pPr>
              <w:jc w:val="center"/>
              <w:rPr>
                <w:rFonts w:cs="Times New Roman"/>
                <w:b/>
                <w:sz w:val="20"/>
                <w:szCs w:val="20"/>
              </w:rPr>
            </w:pPr>
            <w:r w:rsidRPr="00FC64BF">
              <w:rPr>
                <w:rFonts w:cs="Times New Roman"/>
                <w:b/>
                <w:sz w:val="20"/>
                <w:szCs w:val="20"/>
              </w:rPr>
              <w:t>EU financiranje (EUR)</w:t>
            </w:r>
          </w:p>
        </w:tc>
        <w:tc>
          <w:tcPr>
            <w:tcW w:w="758" w:type="pct"/>
            <w:vAlign w:val="center"/>
          </w:tcPr>
          <w:p w14:paraId="2BA9BBAB" w14:textId="77777777" w:rsidR="00357526" w:rsidRPr="00FC64BF" w:rsidRDefault="00357526" w:rsidP="002A04BF">
            <w:pPr>
              <w:jc w:val="center"/>
              <w:rPr>
                <w:rFonts w:cs="Times New Roman"/>
                <w:b/>
                <w:sz w:val="20"/>
                <w:szCs w:val="20"/>
              </w:rPr>
            </w:pPr>
            <w:r w:rsidRPr="00FC64BF">
              <w:rPr>
                <w:rFonts w:cs="Times New Roman"/>
                <w:b/>
                <w:sz w:val="20"/>
                <w:szCs w:val="20"/>
              </w:rPr>
              <w:t>Drugi izvori (EUR)</w:t>
            </w:r>
          </w:p>
        </w:tc>
      </w:tr>
      <w:tr w:rsidR="00CE622A" w:rsidRPr="00A440ED" w14:paraId="5E5096A7" w14:textId="77777777" w:rsidTr="002A04BF">
        <w:tc>
          <w:tcPr>
            <w:tcW w:w="1484" w:type="pct"/>
            <w:shd w:val="clear" w:color="auto" w:fill="F2F2F2" w:themeFill="background1" w:themeFillShade="F2"/>
            <w:vAlign w:val="center"/>
          </w:tcPr>
          <w:p w14:paraId="4610899B" w14:textId="4B26F30B" w:rsidR="00357526" w:rsidRPr="00FC64BF" w:rsidRDefault="00357526" w:rsidP="009B1CEB">
            <w:pPr>
              <w:rPr>
                <w:rFonts w:cs="Times New Roman"/>
                <w:sz w:val="20"/>
                <w:szCs w:val="20"/>
              </w:rPr>
            </w:pPr>
            <w:r w:rsidRPr="00FC64BF">
              <w:rPr>
                <w:rFonts w:cs="Times New Roman"/>
                <w:sz w:val="20"/>
                <w:szCs w:val="20"/>
              </w:rPr>
              <w:t>Izvori financiranja u 202</w:t>
            </w:r>
            <w:r w:rsidR="00DD14F3" w:rsidRPr="00FC64BF">
              <w:rPr>
                <w:rFonts w:cs="Times New Roman"/>
                <w:sz w:val="20"/>
                <w:szCs w:val="20"/>
              </w:rPr>
              <w:t>4</w:t>
            </w:r>
            <w:r w:rsidRPr="00FC64BF">
              <w:rPr>
                <w:rFonts w:cs="Times New Roman"/>
                <w:sz w:val="20"/>
                <w:szCs w:val="20"/>
              </w:rPr>
              <w:t>. (proračunska pozicija i predviđeni iznos sredstava)</w:t>
            </w:r>
          </w:p>
        </w:tc>
        <w:tc>
          <w:tcPr>
            <w:tcW w:w="1470" w:type="pct"/>
            <w:vAlign w:val="center"/>
          </w:tcPr>
          <w:p w14:paraId="1CE93415" w14:textId="11F87BB4" w:rsidR="00E23278" w:rsidRPr="00FC64BF" w:rsidRDefault="00F710F0" w:rsidP="002A04BF">
            <w:pPr>
              <w:jc w:val="center"/>
              <w:rPr>
                <w:rFonts w:cs="Times New Roman"/>
                <w:sz w:val="20"/>
                <w:szCs w:val="20"/>
              </w:rPr>
            </w:pPr>
            <w:r w:rsidRPr="00FC64BF">
              <w:rPr>
                <w:rFonts w:cs="Times New Roman"/>
                <w:sz w:val="20"/>
                <w:szCs w:val="20"/>
              </w:rPr>
              <w:t>A630048</w:t>
            </w:r>
            <w:r w:rsidR="00BE32D7" w:rsidRPr="00FC64BF">
              <w:rPr>
                <w:rFonts w:cs="Times New Roman"/>
                <w:sz w:val="20"/>
                <w:szCs w:val="20"/>
              </w:rPr>
              <w:t xml:space="preserve"> </w:t>
            </w:r>
            <w:r w:rsidR="0046652E" w:rsidRPr="00FC64BF">
              <w:rPr>
                <w:rFonts w:cs="Times New Roman"/>
                <w:sz w:val="20"/>
                <w:szCs w:val="20"/>
              </w:rPr>
              <w:t>–</w:t>
            </w:r>
            <w:r w:rsidR="00BE32D7" w:rsidRPr="00FC64BF">
              <w:rPr>
                <w:rFonts w:cs="Times New Roman"/>
                <w:sz w:val="20"/>
                <w:szCs w:val="20"/>
              </w:rPr>
              <w:t xml:space="preserve"> </w:t>
            </w:r>
            <w:r w:rsidRPr="00FC64BF">
              <w:rPr>
                <w:rFonts w:cs="Times New Roman"/>
                <w:sz w:val="20"/>
                <w:szCs w:val="20"/>
              </w:rPr>
              <w:t>Besplatna</w:t>
            </w:r>
            <w:r w:rsidR="0046652E" w:rsidRPr="00FC64BF">
              <w:rPr>
                <w:rFonts w:cs="Times New Roman"/>
                <w:sz w:val="20"/>
                <w:szCs w:val="20"/>
              </w:rPr>
              <w:t xml:space="preserve"> </w:t>
            </w:r>
            <w:r w:rsidRPr="00FC64BF">
              <w:rPr>
                <w:rFonts w:cs="Times New Roman"/>
                <w:sz w:val="20"/>
                <w:szCs w:val="20"/>
              </w:rPr>
              <w:t>pravna pomoć</w:t>
            </w:r>
          </w:p>
          <w:p w14:paraId="1B5D0842" w14:textId="1A040FEE" w:rsidR="00357526" w:rsidRPr="00FC64BF" w:rsidRDefault="00F710F0" w:rsidP="002A04BF">
            <w:pPr>
              <w:jc w:val="center"/>
              <w:rPr>
                <w:rFonts w:cs="Times New Roman"/>
                <w:sz w:val="20"/>
                <w:szCs w:val="20"/>
              </w:rPr>
            </w:pPr>
            <w:r w:rsidRPr="00FC64BF">
              <w:rPr>
                <w:rFonts w:cs="Times New Roman"/>
                <w:sz w:val="20"/>
                <w:szCs w:val="20"/>
              </w:rPr>
              <w:t>140.000</w:t>
            </w:r>
            <w:r w:rsidR="00E63507" w:rsidRPr="00FC64BF">
              <w:rPr>
                <w:rFonts w:cs="Times New Roman"/>
                <w:sz w:val="20"/>
                <w:szCs w:val="20"/>
              </w:rPr>
              <w:t>,00</w:t>
            </w:r>
          </w:p>
        </w:tc>
        <w:tc>
          <w:tcPr>
            <w:tcW w:w="1288" w:type="pct"/>
            <w:vAlign w:val="center"/>
          </w:tcPr>
          <w:p w14:paraId="5B129854" w14:textId="518C725B" w:rsidR="00357526" w:rsidRPr="00FC64BF" w:rsidRDefault="00F710F0" w:rsidP="002A04BF">
            <w:pPr>
              <w:jc w:val="center"/>
              <w:rPr>
                <w:rFonts w:cs="Times New Roman"/>
                <w:sz w:val="20"/>
                <w:szCs w:val="20"/>
              </w:rPr>
            </w:pPr>
            <w:r w:rsidRPr="00FC64BF">
              <w:rPr>
                <w:rFonts w:cs="Times New Roman"/>
                <w:sz w:val="20"/>
                <w:szCs w:val="20"/>
              </w:rPr>
              <w:t>0,00</w:t>
            </w:r>
          </w:p>
        </w:tc>
        <w:tc>
          <w:tcPr>
            <w:tcW w:w="758" w:type="pct"/>
            <w:vAlign w:val="center"/>
          </w:tcPr>
          <w:p w14:paraId="736AABE0" w14:textId="1382D441" w:rsidR="00357526" w:rsidRPr="00FC64BF" w:rsidRDefault="00F710F0" w:rsidP="002A04BF">
            <w:pPr>
              <w:jc w:val="center"/>
              <w:rPr>
                <w:rFonts w:cs="Times New Roman"/>
                <w:sz w:val="20"/>
                <w:szCs w:val="20"/>
              </w:rPr>
            </w:pPr>
            <w:r w:rsidRPr="00FC64BF">
              <w:rPr>
                <w:rFonts w:cs="Times New Roman"/>
                <w:sz w:val="20"/>
                <w:szCs w:val="20"/>
              </w:rPr>
              <w:t xml:space="preserve">0,00 </w:t>
            </w:r>
          </w:p>
        </w:tc>
      </w:tr>
      <w:tr w:rsidR="00CE622A" w:rsidRPr="00A440ED" w14:paraId="34BE87C3" w14:textId="77777777" w:rsidTr="002A04BF">
        <w:tc>
          <w:tcPr>
            <w:tcW w:w="1484" w:type="pct"/>
            <w:vMerge w:val="restart"/>
            <w:shd w:val="clear" w:color="auto" w:fill="F2F2F2" w:themeFill="background1" w:themeFillShade="F2"/>
            <w:vAlign w:val="center"/>
          </w:tcPr>
          <w:p w14:paraId="54B05C42" w14:textId="77777777" w:rsidR="00357526" w:rsidRPr="00FC64BF" w:rsidRDefault="00357526" w:rsidP="002A04BF">
            <w:pPr>
              <w:rPr>
                <w:rFonts w:cs="Times New Roman"/>
                <w:b/>
                <w:sz w:val="20"/>
                <w:szCs w:val="20"/>
              </w:rPr>
            </w:pPr>
            <w:r w:rsidRPr="00FC64BF">
              <w:rPr>
                <w:rFonts w:cs="Times New Roman"/>
                <w:b/>
                <w:sz w:val="20"/>
                <w:szCs w:val="20"/>
              </w:rPr>
              <w:t xml:space="preserve">UKUPNO UTROŠENA SREDSTVA PO IZVORU </w:t>
            </w:r>
          </w:p>
        </w:tc>
        <w:tc>
          <w:tcPr>
            <w:tcW w:w="1470" w:type="pct"/>
            <w:vAlign w:val="center"/>
          </w:tcPr>
          <w:p w14:paraId="0CD036C8" w14:textId="77777777" w:rsidR="00357526" w:rsidRPr="00FC64BF" w:rsidRDefault="00357526" w:rsidP="002A04BF">
            <w:pPr>
              <w:jc w:val="center"/>
              <w:rPr>
                <w:rFonts w:cs="Times New Roman"/>
                <w:b/>
                <w:sz w:val="20"/>
                <w:szCs w:val="20"/>
              </w:rPr>
            </w:pPr>
            <w:r w:rsidRPr="00FC64BF">
              <w:rPr>
                <w:rFonts w:cs="Times New Roman"/>
                <w:b/>
                <w:sz w:val="20"/>
                <w:szCs w:val="20"/>
              </w:rPr>
              <w:t>Državni proračun (EUR)</w:t>
            </w:r>
          </w:p>
        </w:tc>
        <w:tc>
          <w:tcPr>
            <w:tcW w:w="1288" w:type="pct"/>
            <w:vAlign w:val="center"/>
          </w:tcPr>
          <w:p w14:paraId="2AD2523A" w14:textId="77777777" w:rsidR="00357526" w:rsidRPr="00FC64BF" w:rsidRDefault="00357526" w:rsidP="002A04BF">
            <w:pPr>
              <w:jc w:val="center"/>
              <w:rPr>
                <w:rFonts w:cs="Times New Roman"/>
                <w:b/>
                <w:sz w:val="20"/>
                <w:szCs w:val="20"/>
              </w:rPr>
            </w:pPr>
            <w:r w:rsidRPr="00FC64BF">
              <w:rPr>
                <w:rFonts w:cs="Times New Roman"/>
                <w:b/>
                <w:sz w:val="20"/>
                <w:szCs w:val="20"/>
              </w:rPr>
              <w:t>EU financiranje (EUR)</w:t>
            </w:r>
          </w:p>
        </w:tc>
        <w:tc>
          <w:tcPr>
            <w:tcW w:w="758" w:type="pct"/>
            <w:vAlign w:val="center"/>
          </w:tcPr>
          <w:p w14:paraId="61A93E0E" w14:textId="77777777" w:rsidR="00357526" w:rsidRPr="00FC64BF" w:rsidRDefault="00357526" w:rsidP="002A04BF">
            <w:pPr>
              <w:jc w:val="center"/>
              <w:rPr>
                <w:rFonts w:cs="Times New Roman"/>
                <w:b/>
                <w:sz w:val="20"/>
                <w:szCs w:val="20"/>
              </w:rPr>
            </w:pPr>
            <w:r w:rsidRPr="00FC64BF">
              <w:rPr>
                <w:rFonts w:cs="Times New Roman"/>
                <w:b/>
                <w:sz w:val="20"/>
                <w:szCs w:val="20"/>
              </w:rPr>
              <w:t>Drugi izvori (EUR)</w:t>
            </w:r>
          </w:p>
        </w:tc>
      </w:tr>
      <w:tr w:rsidR="00CE622A" w:rsidRPr="00A440ED" w14:paraId="6FADCAE2" w14:textId="77777777" w:rsidTr="002A04BF">
        <w:tc>
          <w:tcPr>
            <w:tcW w:w="1484" w:type="pct"/>
            <w:vMerge/>
            <w:shd w:val="clear" w:color="auto" w:fill="F2F2F2" w:themeFill="background1" w:themeFillShade="F2"/>
            <w:vAlign w:val="center"/>
          </w:tcPr>
          <w:p w14:paraId="0C6B142B" w14:textId="77777777" w:rsidR="00357526" w:rsidRPr="00FC64BF" w:rsidRDefault="00357526" w:rsidP="002A04BF">
            <w:pPr>
              <w:rPr>
                <w:rFonts w:cs="Times New Roman"/>
                <w:b/>
                <w:sz w:val="20"/>
                <w:szCs w:val="20"/>
              </w:rPr>
            </w:pPr>
          </w:p>
        </w:tc>
        <w:tc>
          <w:tcPr>
            <w:tcW w:w="1470" w:type="pct"/>
            <w:vAlign w:val="center"/>
          </w:tcPr>
          <w:p w14:paraId="4751C8EC" w14:textId="2EAB54F8" w:rsidR="00815BE4" w:rsidRPr="00FC64BF" w:rsidRDefault="00815BE4" w:rsidP="002A04BF">
            <w:pPr>
              <w:jc w:val="center"/>
              <w:rPr>
                <w:rFonts w:cs="Times New Roman"/>
                <w:sz w:val="20"/>
                <w:szCs w:val="20"/>
              </w:rPr>
            </w:pPr>
            <w:r w:rsidRPr="00FC64BF">
              <w:rPr>
                <w:rFonts w:cs="Times New Roman"/>
                <w:sz w:val="20"/>
                <w:szCs w:val="20"/>
              </w:rPr>
              <w:t>A630048</w:t>
            </w:r>
            <w:r w:rsidR="00BE32D7" w:rsidRPr="00FC64BF">
              <w:rPr>
                <w:rFonts w:cs="Times New Roman"/>
                <w:sz w:val="20"/>
                <w:szCs w:val="20"/>
              </w:rPr>
              <w:t xml:space="preserve"> </w:t>
            </w:r>
            <w:r w:rsidR="0046652E" w:rsidRPr="00FC64BF">
              <w:rPr>
                <w:rFonts w:cs="Times New Roman"/>
                <w:sz w:val="20"/>
                <w:szCs w:val="20"/>
              </w:rPr>
              <w:t>–</w:t>
            </w:r>
            <w:r w:rsidR="00BE32D7" w:rsidRPr="00FC64BF">
              <w:rPr>
                <w:rFonts w:cs="Times New Roman"/>
                <w:sz w:val="20"/>
                <w:szCs w:val="20"/>
              </w:rPr>
              <w:t xml:space="preserve"> </w:t>
            </w:r>
            <w:r w:rsidRPr="00FC64BF">
              <w:rPr>
                <w:rFonts w:cs="Times New Roman"/>
                <w:sz w:val="20"/>
                <w:szCs w:val="20"/>
              </w:rPr>
              <w:t>Besplatna</w:t>
            </w:r>
            <w:r w:rsidR="0046652E" w:rsidRPr="00FC64BF">
              <w:rPr>
                <w:rFonts w:cs="Times New Roman"/>
                <w:sz w:val="20"/>
                <w:szCs w:val="20"/>
              </w:rPr>
              <w:t xml:space="preserve"> </w:t>
            </w:r>
            <w:r w:rsidR="00B73A70" w:rsidRPr="00FC64BF">
              <w:rPr>
                <w:rFonts w:cs="Times New Roman"/>
                <w:sz w:val="20"/>
                <w:szCs w:val="20"/>
              </w:rPr>
              <w:t>p</w:t>
            </w:r>
            <w:r w:rsidRPr="00FC64BF">
              <w:rPr>
                <w:rFonts w:cs="Times New Roman"/>
                <w:sz w:val="20"/>
                <w:szCs w:val="20"/>
              </w:rPr>
              <w:t>ravna pomoć</w:t>
            </w:r>
          </w:p>
          <w:p w14:paraId="02F15E50" w14:textId="0D1C9BBE" w:rsidR="00357526" w:rsidRPr="00FC64BF" w:rsidRDefault="00DD14F3" w:rsidP="00DD14F3">
            <w:pPr>
              <w:jc w:val="center"/>
              <w:rPr>
                <w:rFonts w:cs="Times New Roman"/>
                <w:b/>
                <w:bCs/>
                <w:sz w:val="20"/>
                <w:szCs w:val="20"/>
              </w:rPr>
            </w:pPr>
            <w:r w:rsidRPr="00FC64BF">
              <w:rPr>
                <w:rFonts w:cs="Times New Roman"/>
                <w:b/>
                <w:sz w:val="20"/>
                <w:szCs w:val="20"/>
              </w:rPr>
              <w:t>283.081,62</w:t>
            </w:r>
          </w:p>
        </w:tc>
        <w:tc>
          <w:tcPr>
            <w:tcW w:w="1288" w:type="pct"/>
            <w:vAlign w:val="center"/>
          </w:tcPr>
          <w:p w14:paraId="00BBC862" w14:textId="675ACFAA" w:rsidR="00357526" w:rsidRPr="00FC64BF" w:rsidRDefault="00F710F0" w:rsidP="002A04BF">
            <w:pPr>
              <w:jc w:val="center"/>
              <w:rPr>
                <w:rFonts w:cs="Times New Roman"/>
                <w:bCs/>
                <w:sz w:val="20"/>
                <w:szCs w:val="20"/>
              </w:rPr>
            </w:pPr>
            <w:r w:rsidRPr="00FC64BF">
              <w:rPr>
                <w:rFonts w:cs="Times New Roman"/>
                <w:bCs/>
                <w:sz w:val="20"/>
                <w:szCs w:val="20"/>
              </w:rPr>
              <w:t>0,00</w:t>
            </w:r>
          </w:p>
        </w:tc>
        <w:tc>
          <w:tcPr>
            <w:tcW w:w="758" w:type="pct"/>
            <w:vAlign w:val="center"/>
          </w:tcPr>
          <w:p w14:paraId="3F02F640" w14:textId="77777777" w:rsidR="00357526" w:rsidRPr="00FC64BF" w:rsidRDefault="00357526" w:rsidP="002A04BF">
            <w:pPr>
              <w:jc w:val="center"/>
              <w:rPr>
                <w:rFonts w:cs="Times New Roman"/>
                <w:bCs/>
                <w:sz w:val="20"/>
                <w:szCs w:val="20"/>
              </w:rPr>
            </w:pPr>
            <w:r w:rsidRPr="00FC64BF">
              <w:rPr>
                <w:rFonts w:cs="Times New Roman"/>
                <w:bCs/>
                <w:sz w:val="20"/>
                <w:szCs w:val="20"/>
              </w:rPr>
              <w:t xml:space="preserve">0,00 </w:t>
            </w:r>
          </w:p>
        </w:tc>
      </w:tr>
      <w:tr w:rsidR="00CE622A" w:rsidRPr="00A440ED" w14:paraId="74AB5180" w14:textId="77777777" w:rsidTr="002A04BF">
        <w:trPr>
          <w:trHeight w:val="312"/>
        </w:trPr>
        <w:tc>
          <w:tcPr>
            <w:tcW w:w="1484" w:type="pct"/>
            <w:shd w:val="clear" w:color="auto" w:fill="F2F2F2" w:themeFill="background1" w:themeFillShade="F2"/>
            <w:vAlign w:val="center"/>
          </w:tcPr>
          <w:p w14:paraId="794D44CC" w14:textId="5EACC439" w:rsidR="00357526" w:rsidRPr="00FC64BF" w:rsidRDefault="00357526" w:rsidP="002A04BF">
            <w:pPr>
              <w:rPr>
                <w:rFonts w:cs="Times New Roman"/>
                <w:sz w:val="20"/>
                <w:szCs w:val="20"/>
              </w:rPr>
            </w:pPr>
            <w:r w:rsidRPr="00FC64BF">
              <w:rPr>
                <w:rFonts w:cs="Times New Roman"/>
                <w:sz w:val="20"/>
                <w:szCs w:val="20"/>
              </w:rPr>
              <w:t xml:space="preserve">ROK PROVEDBE </w:t>
            </w:r>
            <w:r w:rsidR="0004140C" w:rsidRPr="00FC64BF">
              <w:rPr>
                <w:rFonts w:cs="Times New Roman"/>
                <w:sz w:val="20"/>
                <w:szCs w:val="20"/>
              </w:rPr>
              <w:t>A</w:t>
            </w:r>
            <w:r w:rsidRPr="00FC64BF">
              <w:rPr>
                <w:rFonts w:cs="Times New Roman"/>
                <w:sz w:val="20"/>
                <w:szCs w:val="20"/>
              </w:rPr>
              <w:t>KTIVNOSTI</w:t>
            </w:r>
          </w:p>
        </w:tc>
        <w:tc>
          <w:tcPr>
            <w:tcW w:w="3516" w:type="pct"/>
            <w:gridSpan w:val="3"/>
            <w:vAlign w:val="center"/>
          </w:tcPr>
          <w:p w14:paraId="24553A53" w14:textId="77777777" w:rsidR="00357526" w:rsidRPr="00FC64BF" w:rsidRDefault="00357526" w:rsidP="002A04BF">
            <w:pPr>
              <w:rPr>
                <w:rFonts w:cs="Times New Roman"/>
                <w:sz w:val="20"/>
                <w:szCs w:val="20"/>
              </w:rPr>
            </w:pPr>
            <w:r w:rsidRPr="00FC64BF">
              <w:rPr>
                <w:rFonts w:cs="Times New Roman"/>
                <w:sz w:val="20"/>
                <w:szCs w:val="20"/>
              </w:rPr>
              <w:t>IV. kvartal 2025.</w:t>
            </w:r>
          </w:p>
        </w:tc>
      </w:tr>
    </w:tbl>
    <w:p w14:paraId="695B8A87" w14:textId="77777777" w:rsidR="00621441" w:rsidRDefault="00621441" w:rsidP="00D36147">
      <w:pPr>
        <w:spacing w:after="0" w:line="276" w:lineRule="auto"/>
        <w:rPr>
          <w:rFonts w:cs="Times New Roman"/>
        </w:rPr>
      </w:pPr>
    </w:p>
    <w:p w14:paraId="0DF5FCFA" w14:textId="77777777" w:rsidR="003379F1" w:rsidRPr="00FC64BF" w:rsidRDefault="003379F1" w:rsidP="00D36147">
      <w:pPr>
        <w:spacing w:after="0" w:line="276" w:lineRule="auto"/>
        <w:rPr>
          <w:rFonts w:cs="Times New Roman"/>
        </w:rPr>
      </w:pPr>
    </w:p>
    <w:p w14:paraId="345328D2" w14:textId="2003EB8A" w:rsidR="00E1104B" w:rsidRPr="00FC64BF" w:rsidRDefault="00E1104B" w:rsidP="00D36147">
      <w:pPr>
        <w:pStyle w:val="Heading2"/>
        <w:spacing w:line="276" w:lineRule="auto"/>
        <w:rPr>
          <w:rFonts w:cs="Times New Roman"/>
          <w:sz w:val="18"/>
          <w:szCs w:val="18"/>
        </w:rPr>
      </w:pPr>
      <w:r w:rsidRPr="00FC64BF">
        <w:rPr>
          <w:rFonts w:cs="Times New Roman"/>
        </w:rPr>
        <w:t>Mjera 3.3. Poticanje sudjelovanja Roma, posebno žena i mladih, u društvenom, kulturnom i političkom životu na lokalnoj, regionalnoj, nacionalnoj i EU razini</w:t>
      </w:r>
    </w:p>
    <w:p w14:paraId="52F0F888" w14:textId="77777777" w:rsidR="00BE32D7" w:rsidRPr="00FC64BF" w:rsidRDefault="00BE32D7" w:rsidP="004A3B23">
      <w:pPr>
        <w:spacing w:after="0" w:line="276" w:lineRule="auto"/>
        <w:jc w:val="both"/>
        <w:rPr>
          <w:rFonts w:cs="Times New Roman"/>
          <w:i/>
          <w:szCs w:val="24"/>
        </w:rPr>
      </w:pPr>
    </w:p>
    <w:p w14:paraId="35BE87FC" w14:textId="003D83AB" w:rsidR="00FE037F" w:rsidRPr="00FC64BF" w:rsidRDefault="00FE037F" w:rsidP="00D36147">
      <w:pPr>
        <w:spacing w:after="0" w:line="276" w:lineRule="auto"/>
        <w:jc w:val="both"/>
        <w:rPr>
          <w:rFonts w:cs="Times New Roman"/>
          <w:i/>
          <w:szCs w:val="24"/>
        </w:rPr>
      </w:pPr>
      <w:r w:rsidRPr="00FC64BF">
        <w:rPr>
          <w:rFonts w:cs="Times New Roman"/>
          <w:i/>
          <w:szCs w:val="24"/>
        </w:rPr>
        <w:t>Aktivnost 3.3.1. Educirati romske udruge iz područja sporta za uključivanje u natječaje za sufinanciranje sportskih programa koje provodi Ministarstvo turizma i sporta</w:t>
      </w:r>
    </w:p>
    <w:p w14:paraId="69738F0F" w14:textId="77777777" w:rsidR="00FE037F" w:rsidRPr="00FC64BF" w:rsidRDefault="00FE037F" w:rsidP="00D36147">
      <w:pPr>
        <w:spacing w:after="0" w:line="276" w:lineRule="auto"/>
        <w:jc w:val="both"/>
        <w:rPr>
          <w:rFonts w:cs="Times New Roman"/>
          <w:i/>
          <w:szCs w:val="24"/>
        </w:rPr>
      </w:pPr>
      <w:r w:rsidRPr="00FC64BF">
        <w:rPr>
          <w:rFonts w:cs="Times New Roman"/>
          <w:i/>
          <w:szCs w:val="24"/>
        </w:rPr>
        <w:t>Nositelj provedbe: Ministarstvo turizma i sporta</w:t>
      </w:r>
    </w:p>
    <w:p w14:paraId="1994C283" w14:textId="77777777" w:rsidR="00D36147" w:rsidRPr="00FC64BF" w:rsidRDefault="00D36147" w:rsidP="00D36147">
      <w:pPr>
        <w:spacing w:after="0" w:line="276" w:lineRule="auto"/>
        <w:jc w:val="both"/>
        <w:rPr>
          <w:rFonts w:cs="Times New Roman"/>
          <w:i/>
          <w:szCs w:val="24"/>
        </w:rPr>
      </w:pPr>
    </w:p>
    <w:p w14:paraId="11441B5A" w14:textId="60F901ED" w:rsidR="00FE037F" w:rsidRPr="00FC64BF" w:rsidRDefault="00FB45B0" w:rsidP="00D36147">
      <w:pPr>
        <w:spacing w:after="0" w:line="276" w:lineRule="auto"/>
        <w:jc w:val="both"/>
        <w:rPr>
          <w:rFonts w:eastAsia="Times New Roman" w:cs="Times New Roman"/>
          <w:lang w:eastAsia="hr-HR"/>
        </w:rPr>
      </w:pPr>
      <w:r w:rsidRPr="00FC64BF">
        <w:rPr>
          <w:rFonts w:eastAsia="Times New Roman" w:cs="Times New Roman"/>
          <w:lang w:eastAsia="hr-HR"/>
        </w:rPr>
        <w:t>Ministarstvo turizma i sporta putem natječaja za sufinanciranje sportskih programa</w:t>
      </w:r>
      <w:r w:rsidR="007F54D0" w:rsidRPr="00FC64BF">
        <w:rPr>
          <w:rFonts w:eastAsia="Times New Roman" w:cs="Times New Roman"/>
          <w:lang w:eastAsia="hr-HR"/>
        </w:rPr>
        <w:t xml:space="preserve"> omogućava</w:t>
      </w:r>
      <w:r w:rsidRPr="00FC64BF">
        <w:rPr>
          <w:rFonts w:eastAsia="Times New Roman" w:cs="Times New Roman"/>
          <w:lang w:eastAsia="hr-HR"/>
        </w:rPr>
        <w:t xml:space="preserve"> što većem broju korisnika svakodnevno bavljenje organiziranom tjelesnom aktivnošću </w:t>
      </w:r>
      <w:r w:rsidR="007F54D0" w:rsidRPr="00FC64BF">
        <w:rPr>
          <w:rFonts w:eastAsia="Times New Roman" w:cs="Times New Roman"/>
          <w:lang w:eastAsia="hr-HR"/>
        </w:rPr>
        <w:t xml:space="preserve">koja </w:t>
      </w:r>
      <w:r w:rsidRPr="00FC64BF">
        <w:rPr>
          <w:rFonts w:eastAsia="Times New Roman" w:cs="Times New Roman"/>
          <w:lang w:eastAsia="hr-HR"/>
        </w:rPr>
        <w:lastRenderedPageBreak/>
        <w:t>pridon</w:t>
      </w:r>
      <w:r w:rsidR="007F54D0" w:rsidRPr="00FC64BF">
        <w:rPr>
          <w:rFonts w:eastAsia="Times New Roman" w:cs="Times New Roman"/>
          <w:lang w:eastAsia="hr-HR"/>
        </w:rPr>
        <w:t>osi</w:t>
      </w:r>
      <w:r w:rsidRPr="00FC64BF">
        <w:rPr>
          <w:rFonts w:eastAsia="Times New Roman" w:cs="Times New Roman"/>
          <w:lang w:eastAsia="hr-HR"/>
        </w:rPr>
        <w:t xml:space="preserve"> očuvanju i </w:t>
      </w:r>
      <w:r w:rsidR="00B73A70" w:rsidRPr="00FC64BF">
        <w:rPr>
          <w:rFonts w:eastAsia="Times New Roman" w:cs="Times New Roman"/>
          <w:lang w:eastAsia="hr-HR"/>
        </w:rPr>
        <w:t>unaprjeđenju</w:t>
      </w:r>
      <w:r w:rsidRPr="00FC64BF">
        <w:rPr>
          <w:rFonts w:eastAsia="Times New Roman" w:cs="Times New Roman"/>
          <w:lang w:eastAsia="hr-HR"/>
        </w:rPr>
        <w:t xml:space="preserve"> psihofizičkih sposobnosti i zdravlja kroz stvaranje uvjeta za bavljenje sportom na cjelokupnom području Republike Hrvatske, a u skladu sa svojim interesima i sposobnostima. Kroz organizaciju informativnih radionica za romske </w:t>
      </w:r>
      <w:r w:rsidR="00FA52AD">
        <w:rPr>
          <w:rFonts w:eastAsia="Times New Roman" w:cs="Times New Roman"/>
          <w:lang w:eastAsia="hr-HR"/>
        </w:rPr>
        <w:t xml:space="preserve"> udruge </w:t>
      </w:r>
      <w:r w:rsidR="007F54D0" w:rsidRPr="00FC64BF">
        <w:rPr>
          <w:rFonts w:eastAsia="Times New Roman" w:cs="Times New Roman"/>
          <w:lang w:eastAsia="hr-HR"/>
        </w:rPr>
        <w:t xml:space="preserve">uključuju se i educiraju </w:t>
      </w:r>
      <w:r w:rsidRPr="00FC64BF">
        <w:rPr>
          <w:rFonts w:eastAsia="Times New Roman" w:cs="Times New Roman"/>
          <w:lang w:eastAsia="hr-HR"/>
        </w:rPr>
        <w:t xml:space="preserve">romske udruge iz područja sporta kao potencijalne prijavitelje na natječaje za sufinanciranje sportskih programa. Na radionicama </w:t>
      </w:r>
      <w:r w:rsidR="00D16FFB" w:rsidRPr="00FC64BF">
        <w:rPr>
          <w:rFonts w:eastAsia="Times New Roman" w:cs="Times New Roman"/>
          <w:lang w:eastAsia="hr-HR"/>
        </w:rPr>
        <w:t>je pojašnjena</w:t>
      </w:r>
      <w:r w:rsidRPr="00FC64BF">
        <w:rPr>
          <w:rFonts w:eastAsia="Times New Roman" w:cs="Times New Roman"/>
          <w:lang w:eastAsia="hr-HR"/>
        </w:rPr>
        <w:t xml:space="preserve"> svrha i uvjeti prijave na natječaje s ciljem pružanja</w:t>
      </w:r>
      <w:r w:rsidR="0045485B" w:rsidRPr="00FC64BF">
        <w:rPr>
          <w:rFonts w:eastAsia="Times New Roman" w:cs="Times New Roman"/>
          <w:lang w:eastAsia="hr-HR"/>
        </w:rPr>
        <w:t xml:space="preserve"> </w:t>
      </w:r>
      <w:r w:rsidRPr="00FC64BF">
        <w:rPr>
          <w:rFonts w:eastAsia="Times New Roman" w:cs="Times New Roman"/>
          <w:lang w:eastAsia="hr-HR"/>
        </w:rPr>
        <w:t>relevantnih informacija o natječajima i postupku prijave. Na taj način</w:t>
      </w:r>
      <w:r w:rsidR="00D16FFB" w:rsidRPr="00FC64BF">
        <w:rPr>
          <w:rFonts w:eastAsia="Times New Roman" w:cs="Times New Roman"/>
          <w:lang w:eastAsia="hr-HR"/>
        </w:rPr>
        <w:t xml:space="preserve"> se stvaraju </w:t>
      </w:r>
      <w:r w:rsidRPr="00FC64BF">
        <w:rPr>
          <w:rFonts w:eastAsia="Times New Roman" w:cs="Times New Roman"/>
          <w:lang w:eastAsia="hr-HR"/>
        </w:rPr>
        <w:t xml:space="preserve">preduvjeti za prijavu i uključivanje što većeg broja romskih </w:t>
      </w:r>
      <w:r w:rsidR="0045485B" w:rsidRPr="00FC64BF">
        <w:rPr>
          <w:rFonts w:eastAsia="Times New Roman" w:cs="Times New Roman"/>
          <w:lang w:eastAsia="hr-HR"/>
        </w:rPr>
        <w:t>udruga</w:t>
      </w:r>
      <w:r w:rsidRPr="00FC64BF">
        <w:rPr>
          <w:rFonts w:eastAsia="Times New Roman" w:cs="Times New Roman"/>
          <w:lang w:eastAsia="hr-HR"/>
        </w:rPr>
        <w:t xml:space="preserve"> u sufinanciranje sportskih programa.</w:t>
      </w:r>
    </w:p>
    <w:p w14:paraId="7AF6CE9D" w14:textId="65D6E69F" w:rsidR="00D36147" w:rsidRPr="00A440ED" w:rsidRDefault="004602F6" w:rsidP="00D36147">
      <w:pPr>
        <w:spacing w:after="0" w:line="276" w:lineRule="auto"/>
        <w:jc w:val="both"/>
      </w:pPr>
      <w:r w:rsidRPr="00A440ED">
        <w:t xml:space="preserve">Ministarstvo turizma i sporta, u siječnju 2024. </w:t>
      </w:r>
      <w:r w:rsidR="009B1CEB" w:rsidRPr="00A440ED">
        <w:t xml:space="preserve"> </w:t>
      </w:r>
      <w:r w:rsidRPr="00A440ED">
        <w:t>provelo je tri radionice u suradnji sa županijskim sportskim savezima. Na radionice su bile pozvane sve pravne osobe iz sustava sporta, članice županijskih sportskih saveza pa tako i romske udruge koje djeluju u području sporta.</w:t>
      </w:r>
    </w:p>
    <w:p w14:paraId="573E6F10" w14:textId="77777777" w:rsidR="00D36147" w:rsidRPr="00CE622A" w:rsidRDefault="00D36147" w:rsidP="00D36147">
      <w:pPr>
        <w:spacing w:after="0" w:line="276" w:lineRule="auto"/>
        <w:jc w:val="both"/>
        <w:rPr>
          <w:rFonts w:cs="Times New Roman"/>
          <w:color w:val="FF0000"/>
        </w:rPr>
      </w:pPr>
    </w:p>
    <w:tbl>
      <w:tblPr>
        <w:tblStyle w:val="TableGrid"/>
        <w:tblW w:w="5000" w:type="pct"/>
        <w:tblLayout w:type="fixed"/>
        <w:tblLook w:val="04A0" w:firstRow="1" w:lastRow="0" w:firstColumn="1" w:lastColumn="0" w:noHBand="0" w:noVBand="1"/>
      </w:tblPr>
      <w:tblGrid>
        <w:gridCol w:w="3540"/>
        <w:gridCol w:w="1843"/>
        <w:gridCol w:w="1841"/>
        <w:gridCol w:w="1838"/>
      </w:tblGrid>
      <w:tr w:rsidR="00CE622A" w:rsidRPr="00CE622A" w14:paraId="3C21A760" w14:textId="77777777" w:rsidTr="00035F44">
        <w:trPr>
          <w:trHeight w:hRule="exact" w:val="791"/>
        </w:trPr>
        <w:tc>
          <w:tcPr>
            <w:tcW w:w="1953" w:type="pct"/>
            <w:shd w:val="clear" w:color="auto" w:fill="D9D9D9" w:themeFill="background1" w:themeFillShade="D9"/>
            <w:vAlign w:val="center"/>
          </w:tcPr>
          <w:p w14:paraId="2828B980" w14:textId="6724269C" w:rsidR="00F710F0" w:rsidRPr="00FC64BF" w:rsidRDefault="00B510B5" w:rsidP="004A3B23">
            <w:pPr>
              <w:spacing w:line="276" w:lineRule="auto"/>
              <w:rPr>
                <w:rFonts w:cs="Times New Roman"/>
                <w:b/>
                <w:sz w:val="20"/>
                <w:szCs w:val="18"/>
              </w:rPr>
            </w:pPr>
            <w:bookmarkStart w:id="31" w:name="_Hlk164159395"/>
            <w:r w:rsidRPr="00FC64BF">
              <w:rPr>
                <w:rFonts w:cs="Times New Roman"/>
                <w:b/>
                <w:sz w:val="20"/>
                <w:szCs w:val="18"/>
              </w:rPr>
              <w:t>Pokazatelji provedbe i pokazatelji uspješnosti provedbe</w:t>
            </w:r>
          </w:p>
        </w:tc>
        <w:tc>
          <w:tcPr>
            <w:tcW w:w="1017" w:type="pct"/>
            <w:shd w:val="clear" w:color="auto" w:fill="D9D9D9" w:themeFill="background1" w:themeFillShade="D9"/>
            <w:vAlign w:val="center"/>
          </w:tcPr>
          <w:p w14:paraId="1E66BF26" w14:textId="75358A79" w:rsidR="00F710F0" w:rsidRPr="00FC64BF" w:rsidRDefault="00F710F0" w:rsidP="00D36147">
            <w:pPr>
              <w:spacing w:line="276" w:lineRule="auto"/>
              <w:jc w:val="center"/>
              <w:rPr>
                <w:rFonts w:cs="Times New Roman"/>
                <w:b/>
                <w:sz w:val="20"/>
                <w:szCs w:val="18"/>
              </w:rPr>
            </w:pPr>
            <w:r w:rsidRPr="00FC64BF">
              <w:rPr>
                <w:rFonts w:cs="Times New Roman"/>
                <w:b/>
                <w:sz w:val="20"/>
                <w:szCs w:val="18"/>
              </w:rPr>
              <w:t>Organizirana informativna radionica</w:t>
            </w:r>
          </w:p>
        </w:tc>
        <w:tc>
          <w:tcPr>
            <w:tcW w:w="1016" w:type="pct"/>
            <w:shd w:val="clear" w:color="auto" w:fill="D9D9D9" w:themeFill="background1" w:themeFillShade="D9"/>
            <w:vAlign w:val="center"/>
          </w:tcPr>
          <w:p w14:paraId="3ED120C0" w14:textId="6D4D51BC" w:rsidR="00F710F0" w:rsidRPr="00FC64BF" w:rsidRDefault="00F710F0" w:rsidP="00D36147">
            <w:pPr>
              <w:spacing w:line="276" w:lineRule="auto"/>
              <w:jc w:val="center"/>
              <w:rPr>
                <w:rFonts w:cs="Times New Roman"/>
                <w:b/>
                <w:sz w:val="20"/>
                <w:szCs w:val="18"/>
              </w:rPr>
            </w:pPr>
          </w:p>
        </w:tc>
        <w:tc>
          <w:tcPr>
            <w:tcW w:w="1014" w:type="pct"/>
            <w:shd w:val="clear" w:color="auto" w:fill="D9D9D9" w:themeFill="background1" w:themeFillShade="D9"/>
            <w:vAlign w:val="center"/>
          </w:tcPr>
          <w:p w14:paraId="77E2353F" w14:textId="77777777" w:rsidR="00F710F0" w:rsidRPr="00FC64BF" w:rsidRDefault="00F710F0" w:rsidP="00D36147">
            <w:pPr>
              <w:spacing w:line="276" w:lineRule="auto"/>
              <w:jc w:val="center"/>
              <w:rPr>
                <w:rFonts w:cs="Times New Roman"/>
                <w:b/>
                <w:sz w:val="20"/>
                <w:szCs w:val="18"/>
              </w:rPr>
            </w:pPr>
          </w:p>
        </w:tc>
      </w:tr>
      <w:tr w:rsidR="00CE622A" w:rsidRPr="00CE622A" w14:paraId="15662C76" w14:textId="77777777" w:rsidTr="00035F44">
        <w:tc>
          <w:tcPr>
            <w:tcW w:w="1953" w:type="pct"/>
            <w:shd w:val="clear" w:color="auto" w:fill="F2F2F2" w:themeFill="background1" w:themeFillShade="F2"/>
            <w:vAlign w:val="center"/>
          </w:tcPr>
          <w:p w14:paraId="721EE085" w14:textId="295D4DDA" w:rsidR="00F710F0" w:rsidRPr="00FC64BF" w:rsidRDefault="00F710F0" w:rsidP="009B1CEB">
            <w:pPr>
              <w:spacing w:line="276" w:lineRule="auto"/>
              <w:rPr>
                <w:rFonts w:cs="Times New Roman"/>
                <w:sz w:val="20"/>
                <w:szCs w:val="18"/>
              </w:rPr>
            </w:pPr>
            <w:r w:rsidRPr="00FC64BF">
              <w:rPr>
                <w:rFonts w:cs="Times New Roman"/>
                <w:sz w:val="20"/>
                <w:szCs w:val="18"/>
              </w:rPr>
              <w:t>Planirani ishodi za pokazatelje provedbe u 202</w:t>
            </w:r>
            <w:r w:rsidR="00324016">
              <w:rPr>
                <w:rFonts w:cs="Times New Roman"/>
                <w:sz w:val="20"/>
                <w:szCs w:val="18"/>
              </w:rPr>
              <w:t>4</w:t>
            </w:r>
            <w:r w:rsidRPr="00FC64BF">
              <w:rPr>
                <w:rFonts w:cs="Times New Roman"/>
                <w:sz w:val="20"/>
                <w:szCs w:val="18"/>
              </w:rPr>
              <w:t xml:space="preserve">. </w:t>
            </w:r>
          </w:p>
        </w:tc>
        <w:tc>
          <w:tcPr>
            <w:tcW w:w="1017" w:type="pct"/>
            <w:vAlign w:val="center"/>
          </w:tcPr>
          <w:p w14:paraId="25983592" w14:textId="45798B68" w:rsidR="00F710F0" w:rsidRPr="00FC64BF" w:rsidRDefault="00F710F0" w:rsidP="00D36147">
            <w:pPr>
              <w:spacing w:line="276" w:lineRule="auto"/>
              <w:jc w:val="center"/>
              <w:rPr>
                <w:rFonts w:cs="Times New Roman"/>
                <w:sz w:val="20"/>
                <w:szCs w:val="18"/>
              </w:rPr>
            </w:pPr>
            <w:r w:rsidRPr="00FC64BF">
              <w:rPr>
                <w:rFonts w:cs="Times New Roman"/>
                <w:sz w:val="20"/>
                <w:szCs w:val="18"/>
              </w:rPr>
              <w:t>1</w:t>
            </w:r>
          </w:p>
        </w:tc>
        <w:tc>
          <w:tcPr>
            <w:tcW w:w="1016" w:type="pct"/>
            <w:vAlign w:val="center"/>
          </w:tcPr>
          <w:p w14:paraId="5B4BE134" w14:textId="4A45996D" w:rsidR="00F710F0" w:rsidRPr="00FC64BF" w:rsidRDefault="00F710F0" w:rsidP="00D36147">
            <w:pPr>
              <w:spacing w:line="276" w:lineRule="auto"/>
              <w:jc w:val="center"/>
              <w:rPr>
                <w:rFonts w:cs="Times New Roman"/>
                <w:sz w:val="20"/>
                <w:szCs w:val="18"/>
              </w:rPr>
            </w:pPr>
          </w:p>
        </w:tc>
        <w:tc>
          <w:tcPr>
            <w:tcW w:w="1014" w:type="pct"/>
            <w:vAlign w:val="center"/>
          </w:tcPr>
          <w:p w14:paraId="090B6674" w14:textId="77777777" w:rsidR="00F710F0" w:rsidRPr="00FC64BF" w:rsidRDefault="00F710F0" w:rsidP="00D36147">
            <w:pPr>
              <w:spacing w:line="276" w:lineRule="auto"/>
              <w:jc w:val="center"/>
              <w:rPr>
                <w:rFonts w:cs="Times New Roman"/>
                <w:sz w:val="20"/>
                <w:szCs w:val="18"/>
              </w:rPr>
            </w:pPr>
          </w:p>
        </w:tc>
      </w:tr>
      <w:tr w:rsidR="00CE622A" w:rsidRPr="00CE622A" w14:paraId="6199CD3D" w14:textId="77777777" w:rsidTr="00035F44">
        <w:tc>
          <w:tcPr>
            <w:tcW w:w="1953" w:type="pct"/>
            <w:shd w:val="clear" w:color="auto" w:fill="F2F2F2" w:themeFill="background1" w:themeFillShade="F2"/>
            <w:vAlign w:val="center"/>
          </w:tcPr>
          <w:p w14:paraId="0BC466D0" w14:textId="7B8068D4" w:rsidR="00F710F0" w:rsidRPr="00FC64BF" w:rsidRDefault="00F710F0" w:rsidP="009B1CEB">
            <w:pPr>
              <w:spacing w:line="276" w:lineRule="auto"/>
              <w:rPr>
                <w:rFonts w:cs="Times New Roman"/>
                <w:sz w:val="20"/>
                <w:szCs w:val="18"/>
              </w:rPr>
            </w:pPr>
            <w:r w:rsidRPr="00FC64BF">
              <w:rPr>
                <w:rFonts w:cs="Times New Roman"/>
                <w:sz w:val="20"/>
                <w:szCs w:val="18"/>
              </w:rPr>
              <w:t>Ostvareni ishodi za pokazatelje provedbe u 202</w:t>
            </w:r>
            <w:r w:rsidR="00324016">
              <w:rPr>
                <w:rFonts w:cs="Times New Roman"/>
                <w:sz w:val="20"/>
                <w:szCs w:val="18"/>
              </w:rPr>
              <w:t>4</w:t>
            </w:r>
          </w:p>
        </w:tc>
        <w:tc>
          <w:tcPr>
            <w:tcW w:w="1017" w:type="pct"/>
            <w:vAlign w:val="center"/>
          </w:tcPr>
          <w:p w14:paraId="08A8F908" w14:textId="1593789F" w:rsidR="00F710F0" w:rsidRPr="00FC64BF" w:rsidRDefault="00324016" w:rsidP="00D36147">
            <w:pPr>
              <w:spacing w:line="276" w:lineRule="auto"/>
              <w:jc w:val="center"/>
              <w:rPr>
                <w:rFonts w:cs="Times New Roman"/>
                <w:sz w:val="20"/>
                <w:szCs w:val="18"/>
              </w:rPr>
            </w:pPr>
            <w:r w:rsidRPr="00FC64BF">
              <w:rPr>
                <w:rFonts w:cs="Times New Roman"/>
                <w:sz w:val="20"/>
                <w:szCs w:val="18"/>
              </w:rPr>
              <w:t>3</w:t>
            </w:r>
          </w:p>
        </w:tc>
        <w:tc>
          <w:tcPr>
            <w:tcW w:w="1016" w:type="pct"/>
            <w:vAlign w:val="center"/>
          </w:tcPr>
          <w:p w14:paraId="5566559D" w14:textId="6B1BB573" w:rsidR="00F710F0" w:rsidRPr="00FC64BF" w:rsidRDefault="00F710F0" w:rsidP="00D36147">
            <w:pPr>
              <w:spacing w:line="276" w:lineRule="auto"/>
              <w:jc w:val="center"/>
              <w:rPr>
                <w:rFonts w:cs="Times New Roman"/>
                <w:sz w:val="20"/>
                <w:szCs w:val="18"/>
              </w:rPr>
            </w:pPr>
          </w:p>
        </w:tc>
        <w:tc>
          <w:tcPr>
            <w:tcW w:w="1014" w:type="pct"/>
            <w:vAlign w:val="center"/>
          </w:tcPr>
          <w:p w14:paraId="51EF3A3B" w14:textId="77777777" w:rsidR="00F710F0" w:rsidRPr="00FC64BF" w:rsidRDefault="00F710F0" w:rsidP="00D36147">
            <w:pPr>
              <w:spacing w:line="276" w:lineRule="auto"/>
              <w:jc w:val="center"/>
              <w:rPr>
                <w:rFonts w:cs="Times New Roman"/>
                <w:sz w:val="20"/>
                <w:szCs w:val="18"/>
              </w:rPr>
            </w:pPr>
          </w:p>
        </w:tc>
      </w:tr>
      <w:tr w:rsidR="00CE622A" w:rsidRPr="00CE622A" w14:paraId="40D1E75E" w14:textId="77777777" w:rsidTr="00035F44">
        <w:tc>
          <w:tcPr>
            <w:tcW w:w="1953" w:type="pct"/>
            <w:shd w:val="clear" w:color="auto" w:fill="F2F2F2" w:themeFill="background1" w:themeFillShade="F2"/>
            <w:vAlign w:val="center"/>
          </w:tcPr>
          <w:p w14:paraId="646374E6" w14:textId="77777777" w:rsidR="00F710F0" w:rsidRPr="00FC64BF" w:rsidRDefault="00F710F0" w:rsidP="004A3B23">
            <w:pPr>
              <w:spacing w:line="276" w:lineRule="auto"/>
              <w:rPr>
                <w:rFonts w:cs="Times New Roman"/>
                <w:b/>
                <w:sz w:val="20"/>
                <w:szCs w:val="18"/>
              </w:rPr>
            </w:pPr>
            <w:r w:rsidRPr="00FC64BF">
              <w:rPr>
                <w:rFonts w:cs="Times New Roman"/>
                <w:b/>
                <w:sz w:val="20"/>
                <w:szCs w:val="18"/>
              </w:rPr>
              <w:t xml:space="preserve">IZVORI FINANCIRANJA </w:t>
            </w:r>
          </w:p>
        </w:tc>
        <w:tc>
          <w:tcPr>
            <w:tcW w:w="1017" w:type="pct"/>
            <w:vAlign w:val="center"/>
          </w:tcPr>
          <w:p w14:paraId="5688904B" w14:textId="77777777" w:rsidR="00F710F0" w:rsidRPr="00FC64BF" w:rsidRDefault="00F710F0" w:rsidP="00D36147">
            <w:pPr>
              <w:spacing w:line="276" w:lineRule="auto"/>
              <w:jc w:val="center"/>
              <w:rPr>
                <w:rFonts w:cs="Times New Roman"/>
                <w:b/>
                <w:sz w:val="20"/>
                <w:szCs w:val="18"/>
              </w:rPr>
            </w:pPr>
            <w:r w:rsidRPr="00FC64BF">
              <w:rPr>
                <w:rFonts w:cs="Times New Roman"/>
                <w:b/>
                <w:sz w:val="20"/>
                <w:szCs w:val="18"/>
              </w:rPr>
              <w:t>Državni proračun (EUR)</w:t>
            </w:r>
          </w:p>
        </w:tc>
        <w:tc>
          <w:tcPr>
            <w:tcW w:w="1016" w:type="pct"/>
            <w:vAlign w:val="center"/>
          </w:tcPr>
          <w:p w14:paraId="501466EF" w14:textId="77777777" w:rsidR="00F710F0" w:rsidRPr="00FC64BF" w:rsidRDefault="00F710F0" w:rsidP="00D36147">
            <w:pPr>
              <w:spacing w:line="276" w:lineRule="auto"/>
              <w:jc w:val="center"/>
              <w:rPr>
                <w:rFonts w:cs="Times New Roman"/>
                <w:b/>
                <w:sz w:val="20"/>
                <w:szCs w:val="18"/>
              </w:rPr>
            </w:pPr>
            <w:r w:rsidRPr="00FC64BF">
              <w:rPr>
                <w:rFonts w:cs="Times New Roman"/>
                <w:b/>
                <w:sz w:val="20"/>
                <w:szCs w:val="18"/>
              </w:rPr>
              <w:t>EU financiranje (EUR)</w:t>
            </w:r>
          </w:p>
        </w:tc>
        <w:tc>
          <w:tcPr>
            <w:tcW w:w="1014" w:type="pct"/>
            <w:vAlign w:val="center"/>
          </w:tcPr>
          <w:p w14:paraId="39BDC8EC" w14:textId="77777777" w:rsidR="00F710F0" w:rsidRPr="00FC64BF" w:rsidRDefault="00F710F0"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CE622A" w14:paraId="0733D8E6" w14:textId="77777777" w:rsidTr="00035F44">
        <w:tc>
          <w:tcPr>
            <w:tcW w:w="1953" w:type="pct"/>
            <w:shd w:val="clear" w:color="auto" w:fill="F2F2F2" w:themeFill="background1" w:themeFillShade="F2"/>
            <w:vAlign w:val="center"/>
          </w:tcPr>
          <w:p w14:paraId="4FA5CEA0" w14:textId="0842758B" w:rsidR="00F710F0" w:rsidRPr="00FC64BF" w:rsidRDefault="00F710F0" w:rsidP="009B1CEB">
            <w:pPr>
              <w:spacing w:line="276" w:lineRule="auto"/>
              <w:rPr>
                <w:rFonts w:cs="Times New Roman"/>
                <w:sz w:val="20"/>
                <w:szCs w:val="18"/>
              </w:rPr>
            </w:pPr>
            <w:r w:rsidRPr="00FC64BF">
              <w:rPr>
                <w:rFonts w:cs="Times New Roman"/>
                <w:sz w:val="20"/>
                <w:szCs w:val="18"/>
              </w:rPr>
              <w:t>Izvori financiranja u 202</w:t>
            </w:r>
            <w:r w:rsidR="00324016">
              <w:rPr>
                <w:rFonts w:cs="Times New Roman"/>
                <w:sz w:val="20"/>
                <w:szCs w:val="18"/>
              </w:rPr>
              <w:t>4</w:t>
            </w:r>
            <w:r w:rsidRPr="00FC64BF">
              <w:rPr>
                <w:rFonts w:cs="Times New Roman"/>
                <w:sz w:val="20"/>
                <w:szCs w:val="18"/>
              </w:rPr>
              <w:t>. (proračunska pozicija i predviđeni iznos sredstava)</w:t>
            </w:r>
          </w:p>
        </w:tc>
        <w:tc>
          <w:tcPr>
            <w:tcW w:w="1017" w:type="pct"/>
            <w:vAlign w:val="center"/>
          </w:tcPr>
          <w:p w14:paraId="51C65DAA" w14:textId="21EBD661" w:rsidR="00F710F0" w:rsidRPr="00FC64BF" w:rsidRDefault="00F710F0" w:rsidP="000470E7">
            <w:pPr>
              <w:spacing w:line="276" w:lineRule="auto"/>
              <w:jc w:val="center"/>
              <w:rPr>
                <w:rFonts w:cs="Times New Roman"/>
                <w:sz w:val="20"/>
                <w:szCs w:val="18"/>
              </w:rPr>
            </w:pPr>
            <w:r w:rsidRPr="00FC64BF">
              <w:rPr>
                <w:rFonts w:cs="Times New Roman"/>
                <w:sz w:val="20"/>
                <w:szCs w:val="18"/>
              </w:rPr>
              <w:t>A761016 –</w:t>
            </w:r>
            <w:r w:rsidR="00A0675B" w:rsidRPr="00FC64BF">
              <w:rPr>
                <w:rFonts w:cs="Times New Roman"/>
                <w:sz w:val="20"/>
                <w:szCs w:val="18"/>
              </w:rPr>
              <w:t xml:space="preserve"> </w:t>
            </w:r>
            <w:r w:rsidRPr="00FC64BF">
              <w:rPr>
                <w:rFonts w:cs="Times New Roman"/>
                <w:sz w:val="20"/>
                <w:szCs w:val="18"/>
              </w:rPr>
              <w:t>Administracija i</w:t>
            </w:r>
            <w:r w:rsidR="000470E7">
              <w:rPr>
                <w:rFonts w:cs="Times New Roman"/>
                <w:sz w:val="20"/>
                <w:szCs w:val="18"/>
              </w:rPr>
              <w:t xml:space="preserve"> </w:t>
            </w:r>
            <w:r w:rsidRPr="00FC64BF">
              <w:rPr>
                <w:rFonts w:cs="Times New Roman"/>
                <w:sz w:val="20"/>
                <w:szCs w:val="18"/>
              </w:rPr>
              <w:t>upravljanje</w:t>
            </w:r>
            <w:r w:rsidR="00AC0902" w:rsidRPr="00FC64BF">
              <w:rPr>
                <w:rFonts w:cs="Times New Roman"/>
                <w:sz w:val="20"/>
                <w:szCs w:val="18"/>
              </w:rPr>
              <w:t xml:space="preserve"> </w:t>
            </w:r>
          </w:p>
        </w:tc>
        <w:tc>
          <w:tcPr>
            <w:tcW w:w="1016" w:type="pct"/>
            <w:vAlign w:val="center"/>
          </w:tcPr>
          <w:p w14:paraId="42042178" w14:textId="77777777" w:rsidR="00F710F0" w:rsidRPr="00FC64BF" w:rsidRDefault="00F710F0" w:rsidP="00D36147">
            <w:pPr>
              <w:spacing w:line="276" w:lineRule="auto"/>
              <w:jc w:val="center"/>
              <w:rPr>
                <w:rFonts w:cs="Times New Roman"/>
                <w:sz w:val="20"/>
                <w:szCs w:val="18"/>
              </w:rPr>
            </w:pPr>
            <w:r w:rsidRPr="00FC64BF">
              <w:rPr>
                <w:rFonts w:cs="Times New Roman"/>
                <w:sz w:val="20"/>
                <w:szCs w:val="18"/>
              </w:rPr>
              <w:t>0,00</w:t>
            </w:r>
          </w:p>
        </w:tc>
        <w:tc>
          <w:tcPr>
            <w:tcW w:w="1014" w:type="pct"/>
            <w:vAlign w:val="center"/>
          </w:tcPr>
          <w:p w14:paraId="3384C2D9" w14:textId="77777777" w:rsidR="00F710F0" w:rsidRPr="00FC64BF" w:rsidRDefault="00F710F0" w:rsidP="00D36147">
            <w:pPr>
              <w:spacing w:line="276" w:lineRule="auto"/>
              <w:jc w:val="center"/>
              <w:rPr>
                <w:rFonts w:cs="Times New Roman"/>
                <w:sz w:val="20"/>
                <w:szCs w:val="18"/>
              </w:rPr>
            </w:pPr>
            <w:r w:rsidRPr="00FC64BF">
              <w:rPr>
                <w:rFonts w:cs="Times New Roman"/>
                <w:sz w:val="20"/>
                <w:szCs w:val="18"/>
              </w:rPr>
              <w:t xml:space="preserve">0,00 </w:t>
            </w:r>
          </w:p>
        </w:tc>
      </w:tr>
      <w:tr w:rsidR="00CE622A" w:rsidRPr="00CE622A" w14:paraId="6594A4F5" w14:textId="77777777" w:rsidTr="00035F44">
        <w:tc>
          <w:tcPr>
            <w:tcW w:w="1953" w:type="pct"/>
            <w:vMerge w:val="restart"/>
            <w:shd w:val="clear" w:color="auto" w:fill="F2F2F2" w:themeFill="background1" w:themeFillShade="F2"/>
            <w:vAlign w:val="center"/>
          </w:tcPr>
          <w:p w14:paraId="0594C04D" w14:textId="77777777" w:rsidR="001C13BF" w:rsidRPr="00FC64BF" w:rsidRDefault="001C13BF" w:rsidP="004A3B23">
            <w:pPr>
              <w:spacing w:line="276" w:lineRule="auto"/>
              <w:rPr>
                <w:rFonts w:cs="Times New Roman"/>
                <w:b/>
                <w:sz w:val="20"/>
                <w:szCs w:val="18"/>
              </w:rPr>
            </w:pPr>
          </w:p>
          <w:p w14:paraId="6B14AFC4" w14:textId="42D06012" w:rsidR="00F710F0" w:rsidRPr="00FC64BF" w:rsidRDefault="00F710F0" w:rsidP="00D36147">
            <w:pPr>
              <w:spacing w:line="276" w:lineRule="auto"/>
              <w:rPr>
                <w:rFonts w:cs="Times New Roman"/>
                <w:b/>
                <w:sz w:val="20"/>
                <w:szCs w:val="18"/>
              </w:rPr>
            </w:pPr>
            <w:r w:rsidRPr="00FC64BF">
              <w:rPr>
                <w:rFonts w:cs="Times New Roman"/>
                <w:b/>
                <w:sz w:val="20"/>
                <w:szCs w:val="18"/>
              </w:rPr>
              <w:t>UKUPNO UTRO</w:t>
            </w:r>
            <w:r w:rsidR="001C13BF" w:rsidRPr="00FC64BF">
              <w:rPr>
                <w:rFonts w:cs="Times New Roman"/>
                <w:b/>
                <w:sz w:val="20"/>
                <w:szCs w:val="18"/>
              </w:rPr>
              <w:t>Š</w:t>
            </w:r>
            <w:r w:rsidRPr="00FC64BF">
              <w:rPr>
                <w:rFonts w:cs="Times New Roman"/>
                <w:b/>
                <w:sz w:val="20"/>
                <w:szCs w:val="18"/>
              </w:rPr>
              <w:t xml:space="preserve">ENA SREDSTVA PO IZVORU </w:t>
            </w:r>
          </w:p>
        </w:tc>
        <w:tc>
          <w:tcPr>
            <w:tcW w:w="1017" w:type="pct"/>
            <w:vAlign w:val="center"/>
          </w:tcPr>
          <w:p w14:paraId="13A7E599" w14:textId="77777777" w:rsidR="00F710F0" w:rsidRPr="00FC64BF" w:rsidRDefault="00F710F0" w:rsidP="00D36147">
            <w:pPr>
              <w:spacing w:line="276" w:lineRule="auto"/>
              <w:jc w:val="center"/>
              <w:rPr>
                <w:rFonts w:cs="Times New Roman"/>
                <w:b/>
                <w:sz w:val="20"/>
                <w:szCs w:val="18"/>
              </w:rPr>
            </w:pPr>
            <w:r w:rsidRPr="00FC64BF">
              <w:rPr>
                <w:rFonts w:cs="Times New Roman"/>
                <w:b/>
                <w:sz w:val="20"/>
                <w:szCs w:val="18"/>
              </w:rPr>
              <w:t>Državni proračun (EUR)</w:t>
            </w:r>
          </w:p>
        </w:tc>
        <w:tc>
          <w:tcPr>
            <w:tcW w:w="1016" w:type="pct"/>
            <w:vAlign w:val="center"/>
          </w:tcPr>
          <w:p w14:paraId="2B1FC792" w14:textId="77777777" w:rsidR="00F710F0" w:rsidRPr="00FC64BF" w:rsidRDefault="00F710F0" w:rsidP="00D36147">
            <w:pPr>
              <w:spacing w:line="276" w:lineRule="auto"/>
              <w:jc w:val="center"/>
              <w:rPr>
                <w:rFonts w:cs="Times New Roman"/>
                <w:b/>
                <w:sz w:val="20"/>
                <w:szCs w:val="18"/>
              </w:rPr>
            </w:pPr>
            <w:r w:rsidRPr="00FC64BF">
              <w:rPr>
                <w:rFonts w:cs="Times New Roman"/>
                <w:b/>
                <w:sz w:val="20"/>
                <w:szCs w:val="18"/>
              </w:rPr>
              <w:t>EU financiranje (EUR)</w:t>
            </w:r>
          </w:p>
        </w:tc>
        <w:tc>
          <w:tcPr>
            <w:tcW w:w="1014" w:type="pct"/>
            <w:vAlign w:val="center"/>
          </w:tcPr>
          <w:p w14:paraId="7D37ED39" w14:textId="77777777" w:rsidR="00F710F0" w:rsidRPr="00FC64BF" w:rsidRDefault="00F710F0"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CE622A" w14:paraId="1DED4FC6" w14:textId="77777777" w:rsidTr="00035F44">
        <w:tc>
          <w:tcPr>
            <w:tcW w:w="1953" w:type="pct"/>
            <w:vMerge/>
            <w:shd w:val="clear" w:color="auto" w:fill="F2F2F2" w:themeFill="background1" w:themeFillShade="F2"/>
            <w:vAlign w:val="center"/>
          </w:tcPr>
          <w:p w14:paraId="12893195" w14:textId="77777777" w:rsidR="00F710F0" w:rsidRPr="00FC64BF" w:rsidRDefault="00F710F0" w:rsidP="00D36147">
            <w:pPr>
              <w:spacing w:line="276" w:lineRule="auto"/>
              <w:rPr>
                <w:rFonts w:cs="Times New Roman"/>
                <w:b/>
                <w:sz w:val="20"/>
                <w:szCs w:val="18"/>
              </w:rPr>
            </w:pPr>
          </w:p>
        </w:tc>
        <w:tc>
          <w:tcPr>
            <w:tcW w:w="1017" w:type="pct"/>
            <w:vAlign w:val="center"/>
          </w:tcPr>
          <w:p w14:paraId="0432D09A" w14:textId="7DA63F9A" w:rsidR="00F710F0" w:rsidRPr="00FC64BF" w:rsidRDefault="00A0675B" w:rsidP="00D36147">
            <w:pPr>
              <w:spacing w:line="276" w:lineRule="auto"/>
              <w:jc w:val="center"/>
              <w:rPr>
                <w:rFonts w:cs="Times New Roman"/>
                <w:bCs/>
                <w:sz w:val="20"/>
                <w:szCs w:val="18"/>
              </w:rPr>
            </w:pPr>
            <w:r w:rsidRPr="00FC64BF">
              <w:rPr>
                <w:rFonts w:cs="Times New Roman"/>
                <w:bCs/>
                <w:sz w:val="20"/>
                <w:szCs w:val="18"/>
              </w:rPr>
              <w:t xml:space="preserve">A761016 - </w:t>
            </w:r>
            <w:r w:rsidR="00F710F0" w:rsidRPr="00FC64BF">
              <w:rPr>
                <w:rFonts w:cs="Times New Roman"/>
                <w:bCs/>
                <w:sz w:val="20"/>
                <w:szCs w:val="18"/>
              </w:rPr>
              <w:t>Administracija i</w:t>
            </w:r>
            <w:r w:rsidRPr="00FC64BF">
              <w:rPr>
                <w:rFonts w:cs="Times New Roman"/>
                <w:bCs/>
                <w:sz w:val="20"/>
                <w:szCs w:val="18"/>
              </w:rPr>
              <w:t xml:space="preserve"> upravljanje</w:t>
            </w:r>
          </w:p>
          <w:p w14:paraId="343FEE28" w14:textId="69327B85" w:rsidR="00A0675B" w:rsidRPr="00FC64BF" w:rsidRDefault="00A0675B" w:rsidP="00D36147">
            <w:pPr>
              <w:spacing w:line="276" w:lineRule="auto"/>
              <w:jc w:val="center"/>
              <w:rPr>
                <w:rFonts w:cs="Times New Roman"/>
                <w:b/>
                <w:bCs/>
                <w:sz w:val="20"/>
                <w:szCs w:val="18"/>
              </w:rPr>
            </w:pPr>
            <w:r w:rsidRPr="00FC64BF">
              <w:rPr>
                <w:rFonts w:cs="Times New Roman"/>
                <w:b/>
                <w:bCs/>
                <w:sz w:val="20"/>
                <w:szCs w:val="18"/>
              </w:rPr>
              <w:t>0,00</w:t>
            </w:r>
          </w:p>
        </w:tc>
        <w:tc>
          <w:tcPr>
            <w:tcW w:w="1016" w:type="pct"/>
            <w:vAlign w:val="center"/>
          </w:tcPr>
          <w:p w14:paraId="13A043E2" w14:textId="77777777" w:rsidR="00F710F0" w:rsidRPr="00FC64BF" w:rsidRDefault="00F710F0" w:rsidP="00D36147">
            <w:pPr>
              <w:spacing w:line="276" w:lineRule="auto"/>
              <w:jc w:val="center"/>
              <w:rPr>
                <w:rFonts w:cs="Times New Roman"/>
                <w:bCs/>
                <w:sz w:val="20"/>
                <w:szCs w:val="18"/>
              </w:rPr>
            </w:pPr>
            <w:r w:rsidRPr="00FC64BF">
              <w:rPr>
                <w:rFonts w:cs="Times New Roman"/>
                <w:bCs/>
                <w:sz w:val="20"/>
                <w:szCs w:val="18"/>
              </w:rPr>
              <w:t>0,00</w:t>
            </w:r>
          </w:p>
        </w:tc>
        <w:tc>
          <w:tcPr>
            <w:tcW w:w="1014" w:type="pct"/>
            <w:vAlign w:val="center"/>
          </w:tcPr>
          <w:p w14:paraId="0658F64B" w14:textId="77777777" w:rsidR="00F710F0" w:rsidRPr="00FC64BF" w:rsidRDefault="00F710F0" w:rsidP="00D36147">
            <w:pPr>
              <w:spacing w:line="276" w:lineRule="auto"/>
              <w:jc w:val="center"/>
              <w:rPr>
                <w:rFonts w:cs="Times New Roman"/>
                <w:bCs/>
                <w:sz w:val="20"/>
                <w:szCs w:val="18"/>
              </w:rPr>
            </w:pPr>
            <w:r w:rsidRPr="00FC64BF">
              <w:rPr>
                <w:rFonts w:cs="Times New Roman"/>
                <w:bCs/>
                <w:sz w:val="20"/>
                <w:szCs w:val="18"/>
              </w:rPr>
              <w:t xml:space="preserve">0,00 </w:t>
            </w:r>
          </w:p>
        </w:tc>
      </w:tr>
      <w:tr w:rsidR="00CE622A" w:rsidRPr="00CE622A" w14:paraId="0DF7B00E" w14:textId="77777777" w:rsidTr="00035F44">
        <w:trPr>
          <w:trHeight w:val="328"/>
        </w:trPr>
        <w:tc>
          <w:tcPr>
            <w:tcW w:w="1953" w:type="pct"/>
            <w:shd w:val="clear" w:color="auto" w:fill="F2F2F2" w:themeFill="background1" w:themeFillShade="F2"/>
            <w:vAlign w:val="center"/>
          </w:tcPr>
          <w:p w14:paraId="341A1F12" w14:textId="6B4AE349" w:rsidR="00F710F0" w:rsidRPr="00FC64BF" w:rsidRDefault="00F710F0" w:rsidP="004A3B23">
            <w:pPr>
              <w:spacing w:line="276" w:lineRule="auto"/>
              <w:rPr>
                <w:rFonts w:cs="Times New Roman"/>
                <w:sz w:val="20"/>
                <w:szCs w:val="18"/>
              </w:rPr>
            </w:pPr>
            <w:r w:rsidRPr="00FC64BF">
              <w:rPr>
                <w:rFonts w:cs="Times New Roman"/>
                <w:sz w:val="20"/>
                <w:szCs w:val="18"/>
              </w:rPr>
              <w:t>ROK PROVEDBE AKTIVNOSTI</w:t>
            </w:r>
          </w:p>
        </w:tc>
        <w:tc>
          <w:tcPr>
            <w:tcW w:w="3047" w:type="pct"/>
            <w:gridSpan w:val="3"/>
            <w:vAlign w:val="center"/>
          </w:tcPr>
          <w:p w14:paraId="6926BB98" w14:textId="6FE3F6F6" w:rsidR="00F710F0" w:rsidRPr="00FC64BF" w:rsidRDefault="00F710F0" w:rsidP="00F107CF">
            <w:pPr>
              <w:spacing w:line="276" w:lineRule="auto"/>
              <w:rPr>
                <w:rFonts w:cs="Times New Roman"/>
                <w:sz w:val="20"/>
                <w:szCs w:val="18"/>
              </w:rPr>
            </w:pPr>
            <w:r w:rsidRPr="00FC64BF">
              <w:rPr>
                <w:rFonts w:cs="Times New Roman"/>
                <w:sz w:val="20"/>
                <w:szCs w:val="18"/>
              </w:rPr>
              <w:t>I. kvartal 2025.</w:t>
            </w:r>
          </w:p>
        </w:tc>
      </w:tr>
      <w:bookmarkEnd w:id="31"/>
    </w:tbl>
    <w:p w14:paraId="43FFA939" w14:textId="77777777" w:rsidR="00FE037F" w:rsidRDefault="00FE037F" w:rsidP="004A3B23">
      <w:pPr>
        <w:spacing w:after="0" w:line="276" w:lineRule="auto"/>
        <w:jc w:val="both"/>
        <w:rPr>
          <w:rFonts w:cs="Times New Roman"/>
          <w:i/>
          <w:iCs/>
          <w:szCs w:val="24"/>
        </w:rPr>
      </w:pPr>
    </w:p>
    <w:p w14:paraId="0A0968DB" w14:textId="77777777" w:rsidR="003379F1" w:rsidRPr="00073FB5" w:rsidRDefault="003379F1" w:rsidP="004A3B23">
      <w:pPr>
        <w:spacing w:after="0" w:line="276" w:lineRule="auto"/>
        <w:jc w:val="both"/>
        <w:rPr>
          <w:rFonts w:cs="Times New Roman"/>
          <w:i/>
          <w:iCs/>
          <w:szCs w:val="24"/>
        </w:rPr>
      </w:pPr>
    </w:p>
    <w:p w14:paraId="0C974701" w14:textId="6DE71520" w:rsidR="00FE037F" w:rsidRPr="00073FB5" w:rsidRDefault="00FE037F" w:rsidP="00D36147">
      <w:pPr>
        <w:spacing w:after="0" w:line="276" w:lineRule="auto"/>
        <w:jc w:val="both"/>
        <w:rPr>
          <w:rFonts w:cs="Times New Roman"/>
          <w:i/>
          <w:iCs/>
          <w:szCs w:val="24"/>
        </w:rPr>
      </w:pPr>
      <w:r w:rsidRPr="00073FB5">
        <w:rPr>
          <w:rFonts w:cs="Times New Roman"/>
          <w:i/>
          <w:iCs/>
          <w:szCs w:val="24"/>
        </w:rPr>
        <w:t xml:space="preserve">Aktivnost 3.3.2. </w:t>
      </w:r>
      <w:bookmarkStart w:id="32" w:name="_Hlk164172353"/>
      <w:r w:rsidRPr="00073FB5">
        <w:rPr>
          <w:rFonts w:cs="Times New Roman"/>
          <w:i/>
          <w:iCs/>
          <w:szCs w:val="24"/>
        </w:rPr>
        <w:t>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manjina</w:t>
      </w:r>
    </w:p>
    <w:p w14:paraId="228B98ED" w14:textId="77777777" w:rsidR="00FE037F" w:rsidRPr="00073FB5" w:rsidRDefault="00FE037F" w:rsidP="00D36147">
      <w:pPr>
        <w:spacing w:after="0" w:line="276" w:lineRule="auto"/>
        <w:jc w:val="both"/>
        <w:rPr>
          <w:rFonts w:cs="Times New Roman"/>
          <w:i/>
          <w:iCs/>
          <w:szCs w:val="24"/>
        </w:rPr>
      </w:pPr>
      <w:r w:rsidRPr="00073FB5">
        <w:rPr>
          <w:rFonts w:cs="Times New Roman"/>
          <w:i/>
          <w:iCs/>
          <w:szCs w:val="24"/>
        </w:rPr>
        <w:t xml:space="preserve">Nositelj provedbe: Savjet za nacionalne manjine </w:t>
      </w:r>
    </w:p>
    <w:p w14:paraId="11379BDF" w14:textId="77777777" w:rsidR="00D36147" w:rsidRPr="00073FB5" w:rsidRDefault="00D36147" w:rsidP="00D36147">
      <w:pPr>
        <w:spacing w:after="0" w:line="276" w:lineRule="auto"/>
        <w:jc w:val="both"/>
        <w:rPr>
          <w:rFonts w:cs="Times New Roman"/>
          <w:i/>
          <w:iCs/>
          <w:szCs w:val="24"/>
        </w:rPr>
      </w:pPr>
    </w:p>
    <w:p w14:paraId="32117A97" w14:textId="770E458A" w:rsidR="008C2E70" w:rsidRPr="000470E7" w:rsidRDefault="008C2E70" w:rsidP="00D36147">
      <w:pPr>
        <w:spacing w:after="0" w:line="276" w:lineRule="auto"/>
        <w:jc w:val="both"/>
        <w:rPr>
          <w:rFonts w:cs="Times New Roman"/>
          <w:szCs w:val="24"/>
        </w:rPr>
      </w:pPr>
      <w:r w:rsidRPr="00073FB5">
        <w:rPr>
          <w:rFonts w:cs="Times New Roman"/>
          <w:szCs w:val="24"/>
        </w:rPr>
        <w:t xml:space="preserve">Savjet za nacionalne </w:t>
      </w:r>
      <w:r w:rsidR="005A314D" w:rsidRPr="00073FB5">
        <w:rPr>
          <w:rFonts w:cs="Times New Roman"/>
          <w:szCs w:val="24"/>
        </w:rPr>
        <w:t xml:space="preserve">manjine </w:t>
      </w:r>
      <w:r w:rsidRPr="00073FB5">
        <w:rPr>
          <w:rFonts w:cs="Times New Roman"/>
          <w:szCs w:val="24"/>
        </w:rPr>
        <w:t xml:space="preserve">raspodjeljuje proračunska sredstva udrugama i ustanovama nacionalnih manjina za programe kulturne autonomije i programe stvaranja pretpostavki za </w:t>
      </w:r>
      <w:r w:rsidRPr="000470E7">
        <w:rPr>
          <w:rFonts w:cs="Times New Roman"/>
          <w:szCs w:val="24"/>
        </w:rPr>
        <w:t xml:space="preserve">ostvarivanje kulturne autonomije romske nacionalne manjine </w:t>
      </w:r>
      <w:r w:rsidR="00FE7B55">
        <w:rPr>
          <w:rFonts w:eastAsia="Droid Sans Fallback"/>
          <w:kern w:val="1"/>
          <w:szCs w:val="24"/>
          <w:lang w:eastAsia="zh-CN" w:bidi="hi-IN"/>
        </w:rPr>
        <w:t>JLP(R)S</w:t>
      </w:r>
      <w:r w:rsidRPr="000470E7">
        <w:rPr>
          <w:rFonts w:cs="Times New Roman"/>
          <w:szCs w:val="24"/>
        </w:rPr>
        <w:t>.</w:t>
      </w:r>
    </w:p>
    <w:p w14:paraId="1D63726F" w14:textId="77777777" w:rsidR="00D36147" w:rsidRPr="000470E7" w:rsidRDefault="00D36147" w:rsidP="00D36147">
      <w:pPr>
        <w:spacing w:after="0" w:line="276" w:lineRule="auto"/>
        <w:jc w:val="both"/>
        <w:rPr>
          <w:rFonts w:cs="Times New Roman"/>
          <w:szCs w:val="24"/>
        </w:rPr>
      </w:pPr>
    </w:p>
    <w:p w14:paraId="2FF7BD14" w14:textId="77672D4E" w:rsidR="00AB793C" w:rsidRPr="000470E7" w:rsidRDefault="00F648FF" w:rsidP="00073FB5">
      <w:pPr>
        <w:widowControl w:val="0"/>
        <w:tabs>
          <w:tab w:val="left" w:pos="115"/>
          <w:tab w:val="left" w:pos="264"/>
        </w:tabs>
        <w:jc w:val="both"/>
        <w:rPr>
          <w:color w:val="000000"/>
          <w:szCs w:val="24"/>
          <w:lang w:bidi="hr-HR"/>
        </w:rPr>
      </w:pPr>
      <w:r w:rsidRPr="000470E7">
        <w:rPr>
          <w:bCs/>
          <w:szCs w:val="24"/>
        </w:rPr>
        <w:t xml:space="preserve">U pogledu </w:t>
      </w:r>
      <w:r w:rsidR="00824953" w:rsidRPr="000470E7">
        <w:rPr>
          <w:bCs/>
          <w:szCs w:val="24"/>
        </w:rPr>
        <w:t>programa posvećenih izvornoj romskoj kulturi, jeziku, tradicijskim običajima i umjetničkom stvaralaštvu te sakupljanju i objavljivanju romske povijesne, književne i kulturne građe (na jezicima kojim se služe Romi u Republici Hrvatskoj i na hrvatskom jeziku) Savjet</w:t>
      </w:r>
      <w:r w:rsidR="003379F1" w:rsidRPr="000470E7">
        <w:rPr>
          <w:rFonts w:cs="Times New Roman"/>
          <w:szCs w:val="24"/>
        </w:rPr>
        <w:t xml:space="preserve"> za </w:t>
      </w:r>
      <w:r w:rsidR="003379F1" w:rsidRPr="000470E7">
        <w:rPr>
          <w:rFonts w:cs="Times New Roman"/>
          <w:szCs w:val="24"/>
        </w:rPr>
        <w:lastRenderedPageBreak/>
        <w:t>nacionalne manjine</w:t>
      </w:r>
      <w:r w:rsidR="00824953" w:rsidRPr="000470E7">
        <w:rPr>
          <w:bCs/>
          <w:szCs w:val="24"/>
        </w:rPr>
        <w:t xml:space="preserve"> provodi aktivnost na način da </w:t>
      </w:r>
      <w:r w:rsidR="00824953" w:rsidRPr="001A749E">
        <w:rPr>
          <w:bCs/>
          <w:i/>
          <w:szCs w:val="24"/>
        </w:rPr>
        <w:t>su</w:t>
      </w:r>
      <w:r w:rsidR="00824953" w:rsidRPr="000470E7">
        <w:rPr>
          <w:bCs/>
          <w:i/>
          <w:szCs w:val="24"/>
        </w:rPr>
        <w:t>financira</w:t>
      </w:r>
      <w:r w:rsidR="00073FB5" w:rsidRPr="000470E7">
        <w:rPr>
          <w:bCs/>
          <w:i/>
          <w:szCs w:val="24"/>
        </w:rPr>
        <w:t xml:space="preserve"> </w:t>
      </w:r>
      <w:r w:rsidR="00AB793C" w:rsidRPr="000470E7">
        <w:rPr>
          <w:color w:val="000000"/>
          <w:szCs w:val="24"/>
        </w:rPr>
        <w:t>programe kulturne autonomije udruga romske nacionalne manjine koji su posvećeni izvornoj romskoj kulturi, jeziku, tradicijskim običajima i umjetničkom stvaralaštvu te njegovanju kulturne baštine Roma i njihovog jezičnog identiteta, a koji pripadnici istovremeno integracijom u društvo daju doprinos kulturnom i društvenom razvoju Republike Hrvatske</w:t>
      </w:r>
    </w:p>
    <w:p w14:paraId="2D41FDCE" w14:textId="1D6C7A53" w:rsidR="00AB793C" w:rsidRPr="000470E7" w:rsidRDefault="00AB793C" w:rsidP="00FC64BF">
      <w:pPr>
        <w:widowControl w:val="0"/>
        <w:tabs>
          <w:tab w:val="left" w:pos="115"/>
          <w:tab w:val="left" w:pos="264"/>
        </w:tabs>
        <w:ind w:left="360"/>
        <w:jc w:val="both"/>
        <w:rPr>
          <w:color w:val="000000"/>
          <w:szCs w:val="24"/>
          <w:lang w:bidi="hr-HR"/>
        </w:rPr>
      </w:pPr>
    </w:p>
    <w:p w14:paraId="30B649F9" w14:textId="77777777" w:rsidR="00AB793C" w:rsidRPr="000470E7" w:rsidRDefault="00AB793C" w:rsidP="00AB793C">
      <w:pPr>
        <w:jc w:val="both"/>
        <w:rPr>
          <w:color w:val="000000"/>
          <w:szCs w:val="24"/>
        </w:rPr>
      </w:pPr>
      <w:r w:rsidRPr="000470E7">
        <w:rPr>
          <w:color w:val="000000"/>
          <w:szCs w:val="24"/>
        </w:rPr>
        <w:t>Odabir sufinanciranih programa uvjetovan je njihovom kvalitetom, brojem članova udruge i ustanove, dužinom djelovanja, ostvarivanjem značajnih rezultata u očuvanju romskog kulturnog identiteta s ciljem motiviranja i poticanja pripadnika na tolerantno i usklađeno djelovanje unutar svoje manjine i same zajednice kao cjeline te na opravdano i namjensko korištenje sredstava.</w:t>
      </w:r>
    </w:p>
    <w:p w14:paraId="5C40A8C7" w14:textId="3C4817CF" w:rsidR="00AB793C" w:rsidRPr="00073FB5" w:rsidRDefault="00AB793C" w:rsidP="00AB793C">
      <w:pPr>
        <w:widowControl w:val="0"/>
        <w:tabs>
          <w:tab w:val="left" w:pos="115"/>
          <w:tab w:val="left" w:pos="264"/>
          <w:tab w:val="left" w:pos="567"/>
        </w:tabs>
        <w:jc w:val="both"/>
        <w:rPr>
          <w:color w:val="000000"/>
          <w:szCs w:val="24"/>
          <w:lang w:bidi="hr-HR"/>
        </w:rPr>
      </w:pPr>
      <w:r w:rsidRPr="000470E7">
        <w:rPr>
          <w:color w:val="000000"/>
          <w:szCs w:val="24"/>
          <w:lang w:bidi="hr-HR"/>
        </w:rPr>
        <w:t>Savjet</w:t>
      </w:r>
      <w:r w:rsidR="003379F1" w:rsidRPr="000470E7">
        <w:rPr>
          <w:color w:val="000000"/>
          <w:szCs w:val="24"/>
          <w:lang w:bidi="hr-HR"/>
        </w:rPr>
        <w:t xml:space="preserve"> </w:t>
      </w:r>
      <w:r w:rsidR="003379F1" w:rsidRPr="000470E7">
        <w:rPr>
          <w:rFonts w:cs="Times New Roman"/>
          <w:szCs w:val="24"/>
        </w:rPr>
        <w:t>za nacionalne manjine</w:t>
      </w:r>
      <w:r w:rsidRPr="00073FB5">
        <w:rPr>
          <w:color w:val="000000"/>
          <w:szCs w:val="24"/>
          <w:lang w:bidi="hr-HR"/>
        </w:rPr>
        <w:t xml:space="preserve"> na godišnjoj razini donosi odluku kojom raspoređuje sredstva koja se osiguravaju u Državnom proračunu Republike Hrvatske za potrebe nacionalnih manjina.</w:t>
      </w:r>
    </w:p>
    <w:p w14:paraId="3797B389" w14:textId="19C498C4" w:rsidR="00AB793C" w:rsidRPr="00073FB5" w:rsidRDefault="00AB793C" w:rsidP="00AB793C">
      <w:pPr>
        <w:widowControl w:val="0"/>
        <w:jc w:val="both"/>
        <w:rPr>
          <w:color w:val="000000"/>
          <w:szCs w:val="24"/>
          <w:lang w:bidi="hr-HR"/>
        </w:rPr>
      </w:pPr>
      <w:r w:rsidRPr="00073FB5">
        <w:rPr>
          <w:color w:val="000000"/>
          <w:szCs w:val="24"/>
          <w:lang w:bidi="hr-HR"/>
        </w:rPr>
        <w:t>U postupku utvrđivanja financijske potpore za programe ostvarivanja kulturne autonomije nacionalnih manjina iz sredstava Državnog proračuna Republike Hrvatske Savjet</w:t>
      </w:r>
      <w:r w:rsidR="002F7831">
        <w:rPr>
          <w:color w:val="000000"/>
          <w:szCs w:val="24"/>
          <w:lang w:bidi="hr-HR"/>
        </w:rPr>
        <w:t xml:space="preserve"> </w:t>
      </w:r>
      <w:r w:rsidR="003379F1" w:rsidRPr="00073FB5">
        <w:rPr>
          <w:rFonts w:cs="Times New Roman"/>
          <w:szCs w:val="24"/>
        </w:rPr>
        <w:t xml:space="preserve">za nacionalne manjine </w:t>
      </w:r>
      <w:r w:rsidRPr="00073FB5">
        <w:rPr>
          <w:color w:val="000000"/>
          <w:szCs w:val="24"/>
          <w:lang w:bidi="hr-HR"/>
        </w:rPr>
        <w:t>primjenjuje Kriterije i metodologiju. U skladu s Ustavnim zakonom o pravima nacionalnih manjina i Kriterijima i metodologijom</w:t>
      </w:r>
      <w:r w:rsidR="00073FB5">
        <w:rPr>
          <w:color w:val="000000"/>
          <w:szCs w:val="24"/>
          <w:lang w:bidi="hr-HR"/>
        </w:rPr>
        <w:t>,</w:t>
      </w:r>
      <w:r w:rsidRPr="00073FB5">
        <w:rPr>
          <w:color w:val="000000"/>
          <w:szCs w:val="24"/>
          <w:lang w:bidi="hr-HR"/>
        </w:rPr>
        <w:t xml:space="preserve"> Savjet</w:t>
      </w:r>
      <w:r w:rsidR="002F7831">
        <w:rPr>
          <w:color w:val="000000"/>
          <w:szCs w:val="24"/>
          <w:lang w:bidi="hr-HR"/>
        </w:rPr>
        <w:t xml:space="preserve"> </w:t>
      </w:r>
      <w:r w:rsidR="003379F1" w:rsidRPr="00073FB5">
        <w:rPr>
          <w:rFonts w:cs="Times New Roman"/>
          <w:szCs w:val="24"/>
        </w:rPr>
        <w:t xml:space="preserve">za nacionalne manjine </w:t>
      </w:r>
      <w:r w:rsidRPr="00073FB5">
        <w:rPr>
          <w:color w:val="000000"/>
          <w:szCs w:val="24"/>
          <w:lang w:bidi="hr-HR"/>
        </w:rPr>
        <w:t>raspodjeljuje proračunska sredstva udrugama i ustanovama manjina za programe kulturne autonomije i programe stvaranja pretpostavki za ostvarivanje kulturne autonomije. Sredstvima Državnog proračuna Republike Hrvatske sufinanciraju se programi za ostvarivanje kulturne autonomije iz područja informiranja, izdavaštva, kulturnog amaterizma i kulturnih manifestacija te programi koji proizlaze iz bilateralnih sporazuma i ugovora.</w:t>
      </w:r>
    </w:p>
    <w:p w14:paraId="73724A18" w14:textId="3AB3E506" w:rsidR="00AB793C" w:rsidRPr="00073FB5" w:rsidRDefault="00AB793C" w:rsidP="00073FB5">
      <w:pPr>
        <w:widowControl w:val="0"/>
        <w:tabs>
          <w:tab w:val="left" w:pos="0"/>
          <w:tab w:val="left" w:pos="115"/>
        </w:tabs>
        <w:jc w:val="both"/>
        <w:rPr>
          <w:color w:val="000000"/>
          <w:szCs w:val="24"/>
        </w:rPr>
      </w:pPr>
      <w:r w:rsidRPr="00073FB5">
        <w:rPr>
          <w:color w:val="000000"/>
          <w:szCs w:val="24"/>
        </w:rPr>
        <w:t>Iznos proračunskih sredstava za sufinanciranje ovisi isključivo o masi sredstava osiguranih u Državnom proračunu, razdjel 020 Vlada Republike Hrvatske, glava 02021 Stručna služba Savjeta za nacionalne manjine, aktivnost A732003 Potpore za programe ostvarivanja kulturne autonomije nacionalnih manjina, pozicija 381 Tekuće donacije.</w:t>
      </w:r>
    </w:p>
    <w:p w14:paraId="18C87CA8" w14:textId="4267ADAF" w:rsidR="00AB793C" w:rsidRPr="00073FB5" w:rsidRDefault="00AB793C" w:rsidP="00073FB5">
      <w:pPr>
        <w:tabs>
          <w:tab w:val="left" w:pos="0"/>
        </w:tabs>
        <w:jc w:val="both"/>
        <w:rPr>
          <w:szCs w:val="24"/>
        </w:rPr>
      </w:pPr>
      <w:r w:rsidRPr="00073FB5">
        <w:rPr>
          <w:szCs w:val="24"/>
        </w:rPr>
        <w:t xml:space="preserve">Za realizaciju navedenih programa Odlukom o rasporedu sredstava koja se u Državnom proračunu Republike Hrvatske osiguravaju za potrebe nacionalnih manjina u 2024. godini („Narodne novine“, </w:t>
      </w:r>
      <w:r w:rsidR="003379F1">
        <w:rPr>
          <w:szCs w:val="24"/>
        </w:rPr>
        <w:t>br.</w:t>
      </w:r>
      <w:r w:rsidR="003379F1" w:rsidRPr="00073FB5">
        <w:rPr>
          <w:szCs w:val="24"/>
        </w:rPr>
        <w:t xml:space="preserve"> </w:t>
      </w:r>
      <w:r w:rsidRPr="00073FB5">
        <w:rPr>
          <w:szCs w:val="24"/>
        </w:rPr>
        <w:t>47/24</w:t>
      </w:r>
      <w:r w:rsidR="003379F1">
        <w:rPr>
          <w:szCs w:val="24"/>
        </w:rPr>
        <w:t>.</w:t>
      </w:r>
      <w:r w:rsidRPr="00073FB5">
        <w:rPr>
          <w:szCs w:val="24"/>
        </w:rPr>
        <w:t xml:space="preserve"> i 85/24</w:t>
      </w:r>
      <w:r w:rsidR="003379F1">
        <w:rPr>
          <w:szCs w:val="24"/>
        </w:rPr>
        <w:t>.</w:t>
      </w:r>
      <w:r w:rsidRPr="00073FB5">
        <w:rPr>
          <w:szCs w:val="24"/>
        </w:rPr>
        <w:t xml:space="preserve">) odobren je iznos od 9.706.057 EUR što </w:t>
      </w:r>
      <w:r w:rsidRPr="000470E7">
        <w:rPr>
          <w:szCs w:val="24"/>
        </w:rPr>
        <w:t xml:space="preserve">je za </w:t>
      </w:r>
      <w:r w:rsidRPr="000470E7">
        <w:rPr>
          <w:bCs/>
          <w:szCs w:val="24"/>
        </w:rPr>
        <w:t>25</w:t>
      </w:r>
      <w:r w:rsidR="000470E7" w:rsidRPr="000470E7">
        <w:rPr>
          <w:bCs/>
          <w:szCs w:val="24"/>
        </w:rPr>
        <w:t xml:space="preserve"> </w:t>
      </w:r>
      <w:r w:rsidRPr="000470E7">
        <w:rPr>
          <w:bCs/>
          <w:szCs w:val="24"/>
        </w:rPr>
        <w:t>%</w:t>
      </w:r>
      <w:r w:rsidRPr="00073FB5">
        <w:rPr>
          <w:szCs w:val="24"/>
        </w:rPr>
        <w:t xml:space="preserve"> više u odnosu na 2023. godinu kada je odobren iznos od 7.764.846 EUR.</w:t>
      </w:r>
    </w:p>
    <w:p w14:paraId="57C0EA88" w14:textId="77777777" w:rsidR="00AB793C" w:rsidRPr="00073FB5" w:rsidRDefault="00AB793C" w:rsidP="00073FB5">
      <w:pPr>
        <w:widowControl w:val="0"/>
        <w:tabs>
          <w:tab w:val="left" w:pos="0"/>
          <w:tab w:val="left" w:pos="115"/>
        </w:tabs>
        <w:jc w:val="both"/>
        <w:rPr>
          <w:color w:val="000000"/>
          <w:szCs w:val="24"/>
          <w:lang w:bidi="hr-HR"/>
        </w:rPr>
      </w:pPr>
      <w:r w:rsidRPr="00073FB5">
        <w:rPr>
          <w:color w:val="000000"/>
          <w:szCs w:val="24"/>
          <w:lang w:bidi="hr-HR"/>
        </w:rPr>
        <w:t xml:space="preserve">Iznos sredstava koja se raspodjeljuju za programe kulturne autonomije romske nacionalne manjine ovisi o broju odobrenih programa nakon što se izvrše prijave prijedloga programa po objavljenom Javnom pozivu. </w:t>
      </w:r>
    </w:p>
    <w:p w14:paraId="718FD030" w14:textId="2D763438" w:rsidR="00AB793C" w:rsidRPr="00073FB5" w:rsidRDefault="00AB793C" w:rsidP="00073FB5">
      <w:pPr>
        <w:pStyle w:val="NormalWeb"/>
        <w:tabs>
          <w:tab w:val="left" w:pos="0"/>
        </w:tabs>
        <w:spacing w:before="0" w:beforeAutospacing="0" w:after="150" w:afterAutospacing="0"/>
        <w:jc w:val="both"/>
        <w:rPr>
          <w:color w:val="000000"/>
        </w:rPr>
      </w:pPr>
      <w:r w:rsidRPr="00073FB5">
        <w:rPr>
          <w:color w:val="000000"/>
        </w:rPr>
        <w:t>Savjet</w:t>
      </w:r>
      <w:r w:rsidR="003379F1">
        <w:rPr>
          <w:color w:val="000000"/>
        </w:rPr>
        <w:t xml:space="preserve"> </w:t>
      </w:r>
      <w:r w:rsidR="003379F1" w:rsidRPr="00073FB5">
        <w:t>za nacionalne manjine</w:t>
      </w:r>
      <w:r w:rsidRPr="00073FB5">
        <w:rPr>
          <w:color w:val="000000"/>
        </w:rPr>
        <w:t xml:space="preserve"> je u 2024. godini sklopio ukupno jedanaest ugovora o financijskoj potpori programa udruge iz sredstava Državnog proračuna za 2024. </w:t>
      </w:r>
      <w:r w:rsidR="001A749E">
        <w:rPr>
          <w:color w:val="000000"/>
        </w:rPr>
        <w:t xml:space="preserve">godinu </w:t>
      </w:r>
      <w:r w:rsidRPr="00073FB5">
        <w:rPr>
          <w:color w:val="000000"/>
        </w:rPr>
        <w:t xml:space="preserve">s predstavnicima udruga i/ili ustanova pripadnika romske nacionalne manjine što je jedan ugovor više u odnosu na 2023. </w:t>
      </w:r>
      <w:r w:rsidR="001A749E">
        <w:rPr>
          <w:color w:val="000000"/>
        </w:rPr>
        <w:t xml:space="preserve">godinu </w:t>
      </w:r>
      <w:r w:rsidRPr="00073FB5">
        <w:rPr>
          <w:color w:val="000000"/>
        </w:rPr>
        <w:t>kada ih je ukupno zaključeno deset.</w:t>
      </w:r>
    </w:p>
    <w:p w14:paraId="7BDB58A7" w14:textId="6773CC9E" w:rsidR="00AB793C" w:rsidRPr="00073FB5" w:rsidRDefault="00AB793C" w:rsidP="00073FB5">
      <w:pPr>
        <w:tabs>
          <w:tab w:val="left" w:pos="0"/>
        </w:tabs>
        <w:jc w:val="both"/>
        <w:rPr>
          <w:szCs w:val="24"/>
        </w:rPr>
      </w:pPr>
      <w:r w:rsidRPr="00073FB5">
        <w:rPr>
          <w:color w:val="000000"/>
          <w:szCs w:val="24"/>
        </w:rPr>
        <w:t xml:space="preserve">Udrugama i/ili ustanovama romske nacionalne manjine Odlukom o rasporedu sredstava koja se u Državnom proračunu Republike Hrvatske osiguravaju za potrebe nacionalnih manjina u 2024. godini za sufinanciranje programa kulturne autonomije raspoređena su sredstva u ukupnom iznosu od 254.000 EUR, dok su u 2023. </w:t>
      </w:r>
      <w:r w:rsidR="001A749E">
        <w:rPr>
          <w:color w:val="000000"/>
        </w:rPr>
        <w:t xml:space="preserve">godini </w:t>
      </w:r>
      <w:r w:rsidRPr="00073FB5">
        <w:rPr>
          <w:color w:val="000000"/>
          <w:szCs w:val="24"/>
        </w:rPr>
        <w:t xml:space="preserve">bila osigurana sredstva u ukupnom iznosu od 174.000 EUR. U odnosu na 2023. </w:t>
      </w:r>
      <w:r w:rsidR="001A749E">
        <w:rPr>
          <w:color w:val="000000"/>
        </w:rPr>
        <w:t xml:space="preserve">godinu </w:t>
      </w:r>
      <w:r w:rsidRPr="00073FB5">
        <w:rPr>
          <w:color w:val="000000"/>
          <w:szCs w:val="24"/>
        </w:rPr>
        <w:t xml:space="preserve">sredstava su u 2024. godini povećana </w:t>
      </w:r>
      <w:r w:rsidRPr="000470E7">
        <w:rPr>
          <w:color w:val="000000"/>
          <w:szCs w:val="24"/>
        </w:rPr>
        <w:t xml:space="preserve">za </w:t>
      </w:r>
      <w:r w:rsidRPr="000470E7">
        <w:rPr>
          <w:bCs/>
          <w:color w:val="000000"/>
          <w:szCs w:val="24"/>
        </w:rPr>
        <w:t>46 %.</w:t>
      </w:r>
    </w:p>
    <w:p w14:paraId="79929CB8" w14:textId="607DB525" w:rsidR="00AB793C" w:rsidRPr="00073FB5" w:rsidRDefault="00AB793C" w:rsidP="00073FB5">
      <w:pPr>
        <w:widowControl w:val="0"/>
        <w:tabs>
          <w:tab w:val="left" w:pos="0"/>
          <w:tab w:val="left" w:pos="115"/>
        </w:tabs>
        <w:jc w:val="both"/>
        <w:rPr>
          <w:color w:val="000000"/>
          <w:szCs w:val="24"/>
          <w:lang w:bidi="hr-HR"/>
        </w:rPr>
      </w:pPr>
      <w:r w:rsidRPr="00073FB5">
        <w:rPr>
          <w:color w:val="000000"/>
          <w:szCs w:val="24"/>
        </w:rPr>
        <w:lastRenderedPageBreak/>
        <w:t xml:space="preserve">Nastavno se daje tablični prikaz doznačenih sredstava iz Državnog proračuna za 2024. </w:t>
      </w:r>
      <w:r w:rsidR="001A749E">
        <w:rPr>
          <w:color w:val="000000"/>
        </w:rPr>
        <w:t xml:space="preserve">godinu </w:t>
      </w:r>
      <w:r w:rsidRPr="00073FB5">
        <w:rPr>
          <w:color w:val="000000"/>
          <w:szCs w:val="24"/>
        </w:rPr>
        <w:t>putem Savjeta</w:t>
      </w:r>
      <w:r w:rsidR="003379F1">
        <w:rPr>
          <w:color w:val="000000"/>
          <w:szCs w:val="24"/>
        </w:rPr>
        <w:t xml:space="preserve"> </w:t>
      </w:r>
      <w:r w:rsidR="003379F1" w:rsidRPr="00073FB5">
        <w:rPr>
          <w:rFonts w:cs="Times New Roman"/>
          <w:szCs w:val="24"/>
        </w:rPr>
        <w:t>za nacionalne manjine</w:t>
      </w:r>
      <w:r w:rsidRPr="00073FB5">
        <w:rPr>
          <w:color w:val="000000"/>
          <w:szCs w:val="24"/>
        </w:rPr>
        <w:t xml:space="preserve"> sljedećim udrugama i/ili ustanovama romske nacionalne manjine za sufinanciranje po programima izdavaštva, informiranja, kulturnog amaterizma i kulturnih manifestacija:</w:t>
      </w:r>
    </w:p>
    <w:p w14:paraId="0C151075" w14:textId="77777777" w:rsidR="006C2058" w:rsidRPr="00073FB5" w:rsidRDefault="006C2058" w:rsidP="00D36147">
      <w:pPr>
        <w:spacing w:after="0" w:line="276" w:lineRule="auto"/>
        <w:jc w:val="both"/>
        <w:rPr>
          <w:rFonts w:cs="Times New Roman"/>
          <w:szCs w:val="24"/>
        </w:rPr>
      </w:pPr>
    </w:p>
    <w:tbl>
      <w:tblPr>
        <w:tblW w:w="9064" w:type="dxa"/>
        <w:shd w:val="clear" w:color="auto" w:fill="FFFFFF"/>
        <w:tblLayout w:type="fixed"/>
        <w:tblCellMar>
          <w:left w:w="0" w:type="dxa"/>
          <w:right w:w="0" w:type="dxa"/>
        </w:tblCellMar>
        <w:tblLook w:val="04A0" w:firstRow="1" w:lastRow="0" w:firstColumn="1" w:lastColumn="0" w:noHBand="0" w:noVBand="1"/>
      </w:tblPr>
      <w:tblGrid>
        <w:gridCol w:w="7505"/>
        <w:gridCol w:w="1559"/>
      </w:tblGrid>
      <w:tr w:rsidR="006C2058" w:rsidRPr="006C2058" w14:paraId="0291538A"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C07B94" w14:textId="77777777" w:rsidR="006C2058" w:rsidRPr="00FC64BF" w:rsidRDefault="006C2058" w:rsidP="006C2058">
            <w:pPr>
              <w:spacing w:after="0" w:line="276" w:lineRule="auto"/>
              <w:jc w:val="both"/>
              <w:rPr>
                <w:rFonts w:cs="Times New Roman"/>
                <w:sz w:val="22"/>
              </w:rPr>
            </w:pPr>
            <w:r w:rsidRPr="00FC64BF">
              <w:rPr>
                <w:rFonts w:cs="Times New Roman"/>
                <w:b/>
                <w:bCs/>
                <w:sz w:val="22"/>
              </w:rPr>
              <w:t>X. ROMI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51D626" w14:textId="77777777" w:rsidR="006C2058" w:rsidRPr="00FC64BF" w:rsidRDefault="006C2058" w:rsidP="006C2058">
            <w:pPr>
              <w:spacing w:after="0" w:line="276" w:lineRule="auto"/>
              <w:jc w:val="both"/>
              <w:rPr>
                <w:rFonts w:cs="Times New Roman"/>
                <w:sz w:val="22"/>
              </w:rPr>
            </w:pPr>
            <w:r w:rsidRPr="00FC64BF">
              <w:rPr>
                <w:rFonts w:cs="Times New Roman"/>
                <w:b/>
                <w:bCs/>
                <w:sz w:val="22"/>
              </w:rPr>
              <w:t>254.000</w:t>
            </w:r>
          </w:p>
        </w:tc>
      </w:tr>
      <w:tr w:rsidR="006C2058" w:rsidRPr="006C2058" w14:paraId="752B6F7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3E7F9F" w14:textId="77777777" w:rsidR="006C2058" w:rsidRPr="00FC64BF" w:rsidRDefault="006C2058" w:rsidP="006C2058">
            <w:pPr>
              <w:spacing w:after="0" w:line="276" w:lineRule="auto"/>
              <w:jc w:val="both"/>
              <w:rPr>
                <w:rFonts w:cs="Times New Roman"/>
                <w:sz w:val="22"/>
              </w:rPr>
            </w:pPr>
            <w:r w:rsidRPr="00FC64BF">
              <w:rPr>
                <w:rFonts w:cs="Times New Roman"/>
                <w:b/>
                <w:bCs/>
                <w:sz w:val="22"/>
              </w:rPr>
              <w:t>1. Medijski informativni centar,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B2A9DE" w14:textId="77777777" w:rsidR="006C2058" w:rsidRPr="00FC64BF" w:rsidRDefault="006C2058" w:rsidP="006C2058">
            <w:pPr>
              <w:spacing w:after="0" w:line="276" w:lineRule="auto"/>
              <w:jc w:val="both"/>
              <w:rPr>
                <w:rFonts w:cs="Times New Roman"/>
                <w:sz w:val="22"/>
              </w:rPr>
            </w:pPr>
            <w:r w:rsidRPr="00FC64BF">
              <w:rPr>
                <w:rFonts w:cs="Times New Roman"/>
                <w:b/>
                <w:bCs/>
                <w:sz w:val="22"/>
              </w:rPr>
              <w:t>5.000</w:t>
            </w:r>
          </w:p>
        </w:tc>
      </w:tr>
      <w:tr w:rsidR="006C2058" w:rsidRPr="006C2058" w14:paraId="6A32AEC5" w14:textId="77777777" w:rsidTr="00FC64BF">
        <w:trPr>
          <w:trHeight w:val="546"/>
        </w:trPr>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60A69D" w14:textId="77777777" w:rsidR="006C2058" w:rsidRPr="00FC64BF" w:rsidRDefault="006C2058" w:rsidP="006C2058">
            <w:pPr>
              <w:spacing w:after="0" w:line="276" w:lineRule="auto"/>
              <w:jc w:val="both"/>
              <w:rPr>
                <w:rFonts w:cs="Times New Roman"/>
                <w:sz w:val="22"/>
              </w:rPr>
            </w:pPr>
            <w:r w:rsidRPr="00FC64BF">
              <w:rPr>
                <w:rFonts w:cs="Times New Roman"/>
                <w:b/>
                <w:bCs/>
                <w:sz w:val="22"/>
              </w:rPr>
              <w:t>Informiranje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E4A248" w14:textId="77777777" w:rsidR="006C2058" w:rsidRPr="00FC64BF" w:rsidRDefault="006C2058" w:rsidP="006C2058">
            <w:pPr>
              <w:spacing w:after="0" w:line="276" w:lineRule="auto"/>
              <w:jc w:val="both"/>
              <w:rPr>
                <w:rFonts w:cs="Times New Roman"/>
                <w:sz w:val="22"/>
              </w:rPr>
            </w:pPr>
          </w:p>
        </w:tc>
      </w:tr>
      <w:tr w:rsidR="006C2058" w:rsidRPr="006C2058" w14:paraId="6862B15C"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67BD45" w14:textId="77777777" w:rsidR="006C2058" w:rsidRPr="00FC64BF" w:rsidRDefault="006C2058" w:rsidP="006C2058">
            <w:pPr>
              <w:spacing w:after="0" w:line="276" w:lineRule="auto"/>
              <w:jc w:val="both"/>
              <w:rPr>
                <w:rFonts w:cs="Times New Roman"/>
                <w:sz w:val="22"/>
              </w:rPr>
            </w:pPr>
            <w:r w:rsidRPr="00FC64BF">
              <w:rPr>
                <w:rFonts w:cs="Times New Roman"/>
                <w:sz w:val="22"/>
              </w:rPr>
              <w:t>– Internetska stranica www.romalen.com</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D4C3A6" w14:textId="77777777" w:rsidR="006C2058" w:rsidRPr="00FC64BF" w:rsidRDefault="006C2058" w:rsidP="006C2058">
            <w:pPr>
              <w:spacing w:after="0" w:line="276" w:lineRule="auto"/>
              <w:jc w:val="both"/>
              <w:rPr>
                <w:rFonts w:cs="Times New Roman"/>
                <w:sz w:val="22"/>
              </w:rPr>
            </w:pPr>
            <w:r w:rsidRPr="00FC64BF">
              <w:rPr>
                <w:rFonts w:cs="Times New Roman"/>
                <w:sz w:val="22"/>
              </w:rPr>
              <w:t>2.500</w:t>
            </w:r>
          </w:p>
        </w:tc>
      </w:tr>
      <w:tr w:rsidR="006C2058" w:rsidRPr="006C2058" w14:paraId="492CB083"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B1281"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41B0E9"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14750747"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7C7192"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w:t>
            </w:r>
            <w:proofErr w:type="spellStart"/>
            <w:r w:rsidRPr="00FC64BF">
              <w:rPr>
                <w:rFonts w:cs="Times New Roman"/>
                <w:sz w:val="22"/>
              </w:rPr>
              <w:t>Ederlezi</w:t>
            </w:r>
            <w:proofErr w:type="spellEnd"/>
            <w:r w:rsidRPr="00FC64BF">
              <w:rPr>
                <w:rFonts w:cs="Times New Roman"/>
                <w:sz w:val="22"/>
              </w:rPr>
              <w:t xml:space="preserve"> –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1DE208" w14:textId="77777777" w:rsidR="006C2058" w:rsidRPr="00FC64BF" w:rsidRDefault="006C2058" w:rsidP="006C2058">
            <w:pPr>
              <w:spacing w:after="0" w:line="276" w:lineRule="auto"/>
              <w:jc w:val="both"/>
              <w:rPr>
                <w:rFonts w:cs="Times New Roman"/>
                <w:sz w:val="22"/>
              </w:rPr>
            </w:pPr>
            <w:r w:rsidRPr="00FC64BF">
              <w:rPr>
                <w:rFonts w:cs="Times New Roman"/>
                <w:sz w:val="22"/>
              </w:rPr>
              <w:t>2.500</w:t>
            </w:r>
          </w:p>
        </w:tc>
      </w:tr>
      <w:tr w:rsidR="006C2058" w:rsidRPr="006C2058" w14:paraId="3CF5A02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A4F560" w14:textId="408CB3B7" w:rsidR="006C2058" w:rsidRPr="00FC64BF" w:rsidRDefault="006C2058" w:rsidP="006C2058">
            <w:pPr>
              <w:spacing w:after="0" w:line="276" w:lineRule="auto"/>
              <w:jc w:val="both"/>
              <w:rPr>
                <w:rFonts w:cs="Times New Roman"/>
                <w:sz w:val="22"/>
              </w:rPr>
            </w:pPr>
            <w:r w:rsidRPr="00FC64BF">
              <w:rPr>
                <w:rFonts w:cs="Times New Roman"/>
                <w:b/>
                <w:bCs/>
                <w:sz w:val="22"/>
              </w:rPr>
              <w:t xml:space="preserve">2. Romska udruga </w:t>
            </w:r>
            <w:r w:rsidR="001A749E">
              <w:rPr>
                <w:rFonts w:cs="Times New Roman"/>
                <w:b/>
                <w:bCs/>
                <w:sz w:val="22"/>
              </w:rPr>
              <w:t>„</w:t>
            </w:r>
            <w:r w:rsidRPr="00FC64BF">
              <w:rPr>
                <w:rFonts w:cs="Times New Roman"/>
                <w:b/>
                <w:bCs/>
                <w:sz w:val="22"/>
              </w:rPr>
              <w:t>Sara</w:t>
            </w:r>
            <w:r w:rsidR="001A749E">
              <w:rPr>
                <w:rFonts w:cs="Times New Roman"/>
                <w:b/>
                <w:bCs/>
                <w:sz w:val="22"/>
              </w:rPr>
              <w:t>“</w:t>
            </w:r>
            <w:r w:rsidRPr="00FC64BF">
              <w:rPr>
                <w:rFonts w:cs="Times New Roman"/>
                <w:b/>
                <w:bCs/>
                <w:sz w:val="22"/>
              </w:rPr>
              <w:t xml:space="preserve"> Torjanci, Torjanci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6641C3" w14:textId="77777777" w:rsidR="006C2058" w:rsidRPr="00FC64BF" w:rsidRDefault="006C2058" w:rsidP="006C2058">
            <w:pPr>
              <w:spacing w:after="0" w:line="276" w:lineRule="auto"/>
              <w:jc w:val="both"/>
              <w:rPr>
                <w:rFonts w:cs="Times New Roman"/>
                <w:sz w:val="22"/>
              </w:rPr>
            </w:pPr>
            <w:r w:rsidRPr="00FC64BF">
              <w:rPr>
                <w:rFonts w:cs="Times New Roman"/>
                <w:b/>
                <w:bCs/>
                <w:sz w:val="22"/>
              </w:rPr>
              <w:t>4.200</w:t>
            </w:r>
          </w:p>
        </w:tc>
      </w:tr>
      <w:tr w:rsidR="006C2058" w:rsidRPr="006C2058" w14:paraId="41EEC007"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0E72A7"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51531F"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262D305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49985E" w14:textId="77777777" w:rsidR="006C2058" w:rsidRPr="00FC64BF" w:rsidRDefault="006C2058" w:rsidP="006C2058">
            <w:pPr>
              <w:spacing w:after="0" w:line="276" w:lineRule="auto"/>
              <w:jc w:val="both"/>
              <w:rPr>
                <w:rFonts w:cs="Times New Roman"/>
                <w:sz w:val="22"/>
              </w:rPr>
            </w:pPr>
            <w:r w:rsidRPr="00FC64BF">
              <w:rPr>
                <w:rFonts w:cs="Times New Roman"/>
                <w:sz w:val="22"/>
              </w:rPr>
              <w:t>– Romi u Baranji – Dom kulture, Torjanci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674775" w14:textId="77777777" w:rsidR="006C2058" w:rsidRPr="00FC64BF" w:rsidRDefault="006C2058" w:rsidP="006C2058">
            <w:pPr>
              <w:spacing w:after="0" w:line="276" w:lineRule="auto"/>
              <w:jc w:val="both"/>
              <w:rPr>
                <w:rFonts w:cs="Times New Roman"/>
                <w:sz w:val="22"/>
              </w:rPr>
            </w:pPr>
            <w:r w:rsidRPr="00FC64BF">
              <w:rPr>
                <w:rFonts w:cs="Times New Roman"/>
                <w:sz w:val="22"/>
              </w:rPr>
              <w:t>4.200</w:t>
            </w:r>
          </w:p>
        </w:tc>
      </w:tr>
      <w:tr w:rsidR="006C2058" w:rsidRPr="006C2058" w14:paraId="63F0666D"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A45578" w14:textId="77777777" w:rsidR="006C2058" w:rsidRPr="00FC64BF" w:rsidRDefault="006C2058" w:rsidP="006C2058">
            <w:pPr>
              <w:spacing w:after="0" w:line="276" w:lineRule="auto"/>
              <w:jc w:val="both"/>
              <w:rPr>
                <w:rFonts w:cs="Times New Roman"/>
                <w:sz w:val="22"/>
              </w:rPr>
            </w:pPr>
            <w:r w:rsidRPr="00FC64BF">
              <w:rPr>
                <w:rFonts w:cs="Times New Roman"/>
                <w:b/>
                <w:bCs/>
                <w:sz w:val="22"/>
              </w:rPr>
              <w:t>3. Romski kulturni centar, Sisak</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6FAA97" w14:textId="77777777" w:rsidR="006C2058" w:rsidRPr="00FC64BF" w:rsidRDefault="006C2058" w:rsidP="006C2058">
            <w:pPr>
              <w:spacing w:after="0" w:line="276" w:lineRule="auto"/>
              <w:jc w:val="both"/>
              <w:rPr>
                <w:rFonts w:cs="Times New Roman"/>
                <w:sz w:val="22"/>
              </w:rPr>
            </w:pPr>
            <w:r w:rsidRPr="00FC64BF">
              <w:rPr>
                <w:rFonts w:cs="Times New Roman"/>
                <w:b/>
                <w:bCs/>
                <w:sz w:val="22"/>
              </w:rPr>
              <w:t>3.000</w:t>
            </w:r>
          </w:p>
        </w:tc>
      </w:tr>
      <w:tr w:rsidR="006C2058" w:rsidRPr="006C2058" w14:paraId="0509FC06"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96624E"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Kulturni amaterizam</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4603BB"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4C39ABBC"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16128C" w14:textId="77777777" w:rsidR="006C2058" w:rsidRPr="00FC64BF" w:rsidRDefault="006C2058" w:rsidP="006C2058">
            <w:pPr>
              <w:spacing w:after="0" w:line="276" w:lineRule="auto"/>
              <w:jc w:val="both"/>
              <w:rPr>
                <w:rFonts w:cs="Times New Roman"/>
                <w:sz w:val="22"/>
              </w:rPr>
            </w:pPr>
            <w:r w:rsidRPr="00FC64BF">
              <w:rPr>
                <w:rFonts w:cs="Times New Roman"/>
                <w:sz w:val="22"/>
              </w:rPr>
              <w:t>– Čuvanje kulturnog identiteta romske nacionalne manjine – romske pjesme, plesovi i tradicionalni instrumenti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270AE" w14:textId="77777777" w:rsidR="006C2058" w:rsidRPr="00FC64BF" w:rsidRDefault="006C2058" w:rsidP="006C2058">
            <w:pPr>
              <w:spacing w:after="0" w:line="276" w:lineRule="auto"/>
              <w:jc w:val="both"/>
              <w:rPr>
                <w:rFonts w:cs="Times New Roman"/>
                <w:sz w:val="22"/>
              </w:rPr>
            </w:pPr>
            <w:r w:rsidRPr="00FC64BF">
              <w:rPr>
                <w:rFonts w:cs="Times New Roman"/>
                <w:sz w:val="22"/>
              </w:rPr>
              <w:t>3.000</w:t>
            </w:r>
          </w:p>
        </w:tc>
      </w:tr>
      <w:tr w:rsidR="006C2058" w:rsidRPr="006C2058" w14:paraId="6A23DC9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7E340C" w14:textId="77777777" w:rsidR="006C2058" w:rsidRPr="00FC64BF" w:rsidRDefault="006C2058" w:rsidP="006C2058">
            <w:pPr>
              <w:spacing w:after="0" w:line="276" w:lineRule="auto"/>
              <w:jc w:val="both"/>
              <w:rPr>
                <w:rFonts w:cs="Times New Roman"/>
                <w:sz w:val="22"/>
              </w:rPr>
            </w:pPr>
            <w:r w:rsidRPr="00FC64BF">
              <w:rPr>
                <w:rFonts w:cs="Times New Roman"/>
                <w:b/>
                <w:bCs/>
                <w:sz w:val="22"/>
              </w:rPr>
              <w:t>4. Romski resursni centar, Darda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9F87A7" w14:textId="77777777" w:rsidR="006C2058" w:rsidRPr="00FC64BF" w:rsidRDefault="006C2058" w:rsidP="006C2058">
            <w:pPr>
              <w:spacing w:after="0" w:line="276" w:lineRule="auto"/>
              <w:jc w:val="both"/>
              <w:rPr>
                <w:rFonts w:cs="Times New Roman"/>
                <w:sz w:val="22"/>
              </w:rPr>
            </w:pPr>
            <w:r w:rsidRPr="00FC64BF">
              <w:rPr>
                <w:rFonts w:cs="Times New Roman"/>
                <w:b/>
                <w:bCs/>
                <w:sz w:val="22"/>
              </w:rPr>
              <w:t>34.000</w:t>
            </w:r>
          </w:p>
        </w:tc>
      </w:tr>
      <w:tr w:rsidR="006C2058" w:rsidRPr="006C2058" w14:paraId="1CB20CF1"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D2A5A2"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Kulturni amaterizam</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291FB4"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04AFE9B0"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A73724" w14:textId="77777777" w:rsidR="006C2058" w:rsidRPr="00FC64BF" w:rsidRDefault="006C2058" w:rsidP="006C2058">
            <w:pPr>
              <w:spacing w:after="0" w:line="276" w:lineRule="auto"/>
              <w:jc w:val="both"/>
              <w:rPr>
                <w:rFonts w:cs="Times New Roman"/>
                <w:sz w:val="22"/>
              </w:rPr>
            </w:pPr>
            <w:r w:rsidRPr="00FC64BF">
              <w:rPr>
                <w:rFonts w:cs="Times New Roman"/>
                <w:sz w:val="22"/>
              </w:rPr>
              <w:t>– Čuvari romske baštine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FB45C2" w14:textId="77777777" w:rsidR="006C2058" w:rsidRPr="00FC64BF" w:rsidRDefault="006C2058" w:rsidP="006C2058">
            <w:pPr>
              <w:spacing w:after="0" w:line="276" w:lineRule="auto"/>
              <w:jc w:val="both"/>
              <w:rPr>
                <w:rFonts w:cs="Times New Roman"/>
                <w:sz w:val="22"/>
              </w:rPr>
            </w:pPr>
            <w:r w:rsidRPr="00FC64BF">
              <w:rPr>
                <w:rFonts w:cs="Times New Roman"/>
                <w:sz w:val="22"/>
              </w:rPr>
              <w:t>30.300</w:t>
            </w:r>
          </w:p>
        </w:tc>
      </w:tr>
      <w:tr w:rsidR="006C2058" w:rsidRPr="006C2058" w14:paraId="212D6122"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A4BFFB"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65DF1F"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51F93CE4"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F42A05" w14:textId="77777777" w:rsidR="006C2058" w:rsidRPr="00FC64BF" w:rsidRDefault="006C2058" w:rsidP="006C2058">
            <w:pPr>
              <w:spacing w:after="0" w:line="276" w:lineRule="auto"/>
              <w:jc w:val="both"/>
              <w:rPr>
                <w:rFonts w:cs="Times New Roman"/>
                <w:sz w:val="22"/>
              </w:rPr>
            </w:pPr>
            <w:r w:rsidRPr="00FC64BF">
              <w:rPr>
                <w:rFonts w:cs="Times New Roman"/>
                <w:sz w:val="22"/>
              </w:rPr>
              <w:t>– 22. Godišnji koncert – Darda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FCE566" w14:textId="77777777" w:rsidR="006C2058" w:rsidRPr="00FC64BF" w:rsidRDefault="006C2058" w:rsidP="006C2058">
            <w:pPr>
              <w:spacing w:after="0" w:line="276" w:lineRule="auto"/>
              <w:jc w:val="both"/>
              <w:rPr>
                <w:rFonts w:cs="Times New Roman"/>
                <w:sz w:val="22"/>
              </w:rPr>
            </w:pPr>
            <w:r w:rsidRPr="00FC64BF">
              <w:rPr>
                <w:rFonts w:cs="Times New Roman"/>
                <w:sz w:val="22"/>
              </w:rPr>
              <w:t>1.500</w:t>
            </w:r>
          </w:p>
        </w:tc>
      </w:tr>
      <w:tr w:rsidR="006C2058" w:rsidRPr="006C2058" w14:paraId="26D198D3"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A1D191" w14:textId="77777777" w:rsidR="006C2058" w:rsidRPr="00FC64BF" w:rsidRDefault="006C2058" w:rsidP="006C2058">
            <w:pPr>
              <w:spacing w:after="0" w:line="276" w:lineRule="auto"/>
              <w:jc w:val="both"/>
              <w:rPr>
                <w:rFonts w:cs="Times New Roman"/>
                <w:sz w:val="22"/>
              </w:rPr>
            </w:pPr>
            <w:r w:rsidRPr="00FC64BF">
              <w:rPr>
                <w:rFonts w:cs="Times New Roman"/>
                <w:sz w:val="22"/>
              </w:rPr>
              <w:t>– Smotra dječjeg folklora 2024 – Darda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1803E" w14:textId="77777777" w:rsidR="006C2058" w:rsidRPr="00FC64BF" w:rsidRDefault="006C2058" w:rsidP="006C2058">
            <w:pPr>
              <w:spacing w:after="0" w:line="276" w:lineRule="auto"/>
              <w:jc w:val="both"/>
              <w:rPr>
                <w:rFonts w:cs="Times New Roman"/>
                <w:sz w:val="22"/>
              </w:rPr>
            </w:pPr>
            <w:r w:rsidRPr="00FC64BF">
              <w:rPr>
                <w:rFonts w:cs="Times New Roman"/>
                <w:sz w:val="22"/>
              </w:rPr>
              <w:t>2.200</w:t>
            </w:r>
          </w:p>
        </w:tc>
      </w:tr>
      <w:tr w:rsidR="006C2058" w:rsidRPr="006C2058" w14:paraId="396CDA31"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E0A95F" w14:textId="76CB9E3F" w:rsidR="006C2058" w:rsidRPr="00FC64BF" w:rsidRDefault="006C2058" w:rsidP="006C2058">
            <w:pPr>
              <w:spacing w:after="0" w:line="276" w:lineRule="auto"/>
              <w:jc w:val="both"/>
              <w:rPr>
                <w:rFonts w:cs="Times New Roman"/>
                <w:sz w:val="22"/>
              </w:rPr>
            </w:pPr>
            <w:r w:rsidRPr="00FC64BF">
              <w:rPr>
                <w:rFonts w:cs="Times New Roman"/>
                <w:b/>
                <w:bCs/>
                <w:sz w:val="22"/>
              </w:rPr>
              <w:t xml:space="preserve">5. Savez Roma u Republici Hrvatskoj </w:t>
            </w:r>
            <w:r w:rsidR="001A749E">
              <w:rPr>
                <w:rFonts w:cs="Times New Roman"/>
                <w:b/>
                <w:bCs/>
                <w:sz w:val="22"/>
              </w:rPr>
              <w:t>„</w:t>
            </w:r>
            <w:r w:rsidRPr="00FC64BF">
              <w:rPr>
                <w:rFonts w:cs="Times New Roman"/>
                <w:b/>
                <w:bCs/>
                <w:sz w:val="22"/>
              </w:rPr>
              <w:t>Kali Sara</w:t>
            </w:r>
            <w:r w:rsidR="001A749E">
              <w:rPr>
                <w:rFonts w:cs="Times New Roman"/>
                <w:b/>
                <w:bCs/>
                <w:sz w:val="22"/>
              </w:rPr>
              <w:t>“</w:t>
            </w:r>
            <w:r w:rsidRPr="00FC64BF">
              <w:rPr>
                <w:rFonts w:cs="Times New Roman"/>
                <w:b/>
                <w:bCs/>
                <w:sz w:val="22"/>
              </w:rPr>
              <w:t>,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CE8FBB" w14:textId="77777777" w:rsidR="006C2058" w:rsidRPr="00FC64BF" w:rsidRDefault="006C2058" w:rsidP="006C2058">
            <w:pPr>
              <w:spacing w:after="0" w:line="276" w:lineRule="auto"/>
              <w:jc w:val="both"/>
              <w:rPr>
                <w:rFonts w:cs="Times New Roman"/>
                <w:sz w:val="22"/>
              </w:rPr>
            </w:pPr>
            <w:r w:rsidRPr="00FC64BF">
              <w:rPr>
                <w:rFonts w:cs="Times New Roman"/>
                <w:b/>
                <w:bCs/>
                <w:sz w:val="22"/>
              </w:rPr>
              <w:t>154.500</w:t>
            </w:r>
          </w:p>
        </w:tc>
      </w:tr>
      <w:tr w:rsidR="006C2058" w:rsidRPr="006C2058" w14:paraId="41AD0D8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FB5ACD" w14:textId="77777777" w:rsidR="006C2058" w:rsidRPr="00FC64BF" w:rsidRDefault="006C2058" w:rsidP="006C2058">
            <w:pPr>
              <w:spacing w:after="0" w:line="276" w:lineRule="auto"/>
              <w:jc w:val="both"/>
              <w:rPr>
                <w:rFonts w:cs="Times New Roman"/>
                <w:sz w:val="22"/>
              </w:rPr>
            </w:pPr>
            <w:r w:rsidRPr="00FC64BF">
              <w:rPr>
                <w:rFonts w:cs="Times New Roman"/>
                <w:b/>
                <w:bCs/>
                <w:sz w:val="22"/>
              </w:rPr>
              <w:t>Informiranje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D72B84"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1498CCE0"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ED55E1"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w:t>
            </w:r>
            <w:proofErr w:type="spellStart"/>
            <w:r w:rsidRPr="00FC64BF">
              <w:rPr>
                <w:rFonts w:cs="Times New Roman"/>
                <w:sz w:val="22"/>
              </w:rPr>
              <w:t>Phralipen</w:t>
            </w:r>
            <w:proofErr w:type="spellEnd"/>
            <w:r w:rsidRPr="00FC64BF">
              <w:rPr>
                <w:rFonts w:cs="Times New Roman"/>
                <w:sz w:val="22"/>
              </w:rPr>
              <w:t xml:space="preserve"> – glasilo romske nacionalne manjine u Republici Hrvatskoj – brojeva: 4, 22×32 cm, 76 str., naklada: 1500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045E0B" w14:textId="77777777" w:rsidR="006C2058" w:rsidRPr="00FC64BF" w:rsidRDefault="006C2058" w:rsidP="006C2058">
            <w:pPr>
              <w:spacing w:after="0" w:line="276" w:lineRule="auto"/>
              <w:jc w:val="both"/>
              <w:rPr>
                <w:rFonts w:cs="Times New Roman"/>
                <w:sz w:val="22"/>
              </w:rPr>
            </w:pPr>
            <w:r w:rsidRPr="00FC64BF">
              <w:rPr>
                <w:rFonts w:cs="Times New Roman"/>
                <w:sz w:val="22"/>
              </w:rPr>
              <w:t>40.000</w:t>
            </w:r>
          </w:p>
        </w:tc>
      </w:tr>
      <w:tr w:rsidR="006C2058" w:rsidRPr="006C2058" w14:paraId="6C68E26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F87109" w14:textId="77777777" w:rsidR="006C2058" w:rsidRPr="00FC64BF" w:rsidRDefault="006C2058" w:rsidP="006C2058">
            <w:pPr>
              <w:spacing w:after="0" w:line="276" w:lineRule="auto"/>
              <w:jc w:val="both"/>
              <w:rPr>
                <w:rFonts w:cs="Times New Roman"/>
                <w:sz w:val="22"/>
              </w:rPr>
            </w:pPr>
            <w:r w:rsidRPr="00FC64BF">
              <w:rPr>
                <w:rFonts w:cs="Times New Roman"/>
                <w:b/>
                <w:bCs/>
                <w:sz w:val="22"/>
              </w:rPr>
              <w:t>Izdavaštvo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1540F0"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62E22A9D"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C31BA9" w14:textId="77777777" w:rsidR="006C2058" w:rsidRPr="00FC64BF" w:rsidRDefault="006C2058" w:rsidP="006C2058">
            <w:pPr>
              <w:spacing w:after="0" w:line="276" w:lineRule="auto"/>
              <w:jc w:val="both"/>
              <w:rPr>
                <w:rFonts w:cs="Times New Roman"/>
                <w:sz w:val="22"/>
              </w:rPr>
            </w:pPr>
            <w:r w:rsidRPr="00FC64BF">
              <w:rPr>
                <w:rFonts w:cs="Times New Roman"/>
                <w:sz w:val="22"/>
              </w:rPr>
              <w:lastRenderedPageBreak/>
              <w:t xml:space="preserve">– Samudaripen: spomenici sjećanja u Republici Hrvatskoj (Robert </w:t>
            </w:r>
            <w:proofErr w:type="spellStart"/>
            <w:r w:rsidRPr="00FC64BF">
              <w:rPr>
                <w:rFonts w:cs="Times New Roman"/>
                <w:sz w:val="22"/>
              </w:rPr>
              <w:t>Korenić</w:t>
            </w:r>
            <w:proofErr w:type="spellEnd"/>
            <w:r w:rsidRPr="00FC64BF">
              <w:rPr>
                <w:rFonts w:cs="Times New Roman"/>
                <w:sz w:val="22"/>
              </w:rPr>
              <w:t>), 25×17 cm, 150 str., naklada: 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08CE60" w14:textId="77777777" w:rsidR="006C2058" w:rsidRPr="00FC64BF" w:rsidRDefault="006C2058" w:rsidP="006C2058">
            <w:pPr>
              <w:spacing w:after="0" w:line="276" w:lineRule="auto"/>
              <w:jc w:val="both"/>
              <w:rPr>
                <w:rFonts w:cs="Times New Roman"/>
                <w:sz w:val="22"/>
              </w:rPr>
            </w:pPr>
            <w:r w:rsidRPr="00FC64BF">
              <w:rPr>
                <w:rFonts w:cs="Times New Roman"/>
                <w:sz w:val="22"/>
              </w:rPr>
              <w:t>6.000</w:t>
            </w:r>
          </w:p>
        </w:tc>
      </w:tr>
      <w:tr w:rsidR="006C2058" w:rsidRPr="006C2058" w14:paraId="5CB055A3"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9BF0D" w14:textId="77777777" w:rsidR="006C2058" w:rsidRPr="00FC64BF" w:rsidRDefault="006C2058" w:rsidP="006C2058">
            <w:pPr>
              <w:spacing w:after="0" w:line="276" w:lineRule="auto"/>
              <w:jc w:val="both"/>
              <w:rPr>
                <w:rFonts w:cs="Times New Roman"/>
                <w:sz w:val="22"/>
              </w:rPr>
            </w:pPr>
            <w:r w:rsidRPr="00FC64BF">
              <w:rPr>
                <w:rFonts w:cs="Times New Roman"/>
                <w:sz w:val="22"/>
              </w:rPr>
              <w:t>– Romi u Republici Hrvatskoj – položaj, prava i slobode i njihovo ostvarivanje (Branka Arlović, Mato Arlović), 17,6×25 cm, 432 str., naklada: 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730C6B" w14:textId="77777777" w:rsidR="006C2058" w:rsidRPr="00FC64BF" w:rsidRDefault="006C2058" w:rsidP="006C2058">
            <w:pPr>
              <w:spacing w:after="0" w:line="276" w:lineRule="auto"/>
              <w:jc w:val="both"/>
              <w:rPr>
                <w:rFonts w:cs="Times New Roman"/>
                <w:sz w:val="22"/>
              </w:rPr>
            </w:pPr>
            <w:r w:rsidRPr="00FC64BF">
              <w:rPr>
                <w:rFonts w:cs="Times New Roman"/>
                <w:sz w:val="22"/>
              </w:rPr>
              <w:t>8.000</w:t>
            </w:r>
          </w:p>
        </w:tc>
      </w:tr>
      <w:tr w:rsidR="006C2058" w:rsidRPr="006C2058" w14:paraId="7FD68346"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D23636"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76BA50"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2AAAC73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770A11" w14:textId="77777777" w:rsidR="006C2058" w:rsidRPr="00FC64BF" w:rsidRDefault="006C2058" w:rsidP="006C2058">
            <w:pPr>
              <w:spacing w:after="0" w:line="276" w:lineRule="auto"/>
              <w:jc w:val="both"/>
              <w:rPr>
                <w:rFonts w:cs="Times New Roman"/>
                <w:sz w:val="22"/>
              </w:rPr>
            </w:pPr>
            <w:r w:rsidRPr="00FC64BF">
              <w:rPr>
                <w:rFonts w:cs="Times New Roman"/>
                <w:sz w:val="22"/>
              </w:rPr>
              <w:t>– Svjetski dan Roma –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CA0EE8" w14:textId="77777777" w:rsidR="006C2058" w:rsidRPr="00FC64BF" w:rsidRDefault="006C2058" w:rsidP="006C2058">
            <w:pPr>
              <w:spacing w:after="0" w:line="276" w:lineRule="auto"/>
              <w:jc w:val="both"/>
              <w:rPr>
                <w:rFonts w:cs="Times New Roman"/>
                <w:sz w:val="22"/>
              </w:rPr>
            </w:pPr>
            <w:r w:rsidRPr="00FC64BF">
              <w:rPr>
                <w:rFonts w:cs="Times New Roman"/>
                <w:sz w:val="22"/>
              </w:rPr>
              <w:t>36.500</w:t>
            </w:r>
          </w:p>
        </w:tc>
      </w:tr>
      <w:tr w:rsidR="006C2058" w:rsidRPr="006C2058" w14:paraId="3ACBDBE9"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A9D9F4"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Međunarodni dan sjećanja na romske žrtve genocida u Drugom svjetskom ratu / Samudaripen – Romski memorijalni centar, </w:t>
            </w:r>
            <w:proofErr w:type="spellStart"/>
            <w:r w:rsidRPr="00FC64BF">
              <w:rPr>
                <w:rFonts w:cs="Times New Roman"/>
                <w:sz w:val="22"/>
              </w:rPr>
              <w:t>Uštica</w:t>
            </w:r>
            <w:proofErr w:type="spellEnd"/>
            <w:r w:rsidRPr="00FC64BF">
              <w:rPr>
                <w:rFonts w:cs="Times New Roman"/>
                <w:sz w:val="22"/>
              </w:rPr>
              <w:t>, Jasenovac</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1B5655" w14:textId="77777777" w:rsidR="006C2058" w:rsidRPr="00FC64BF" w:rsidRDefault="006C2058" w:rsidP="006C2058">
            <w:pPr>
              <w:spacing w:after="0" w:line="276" w:lineRule="auto"/>
              <w:jc w:val="both"/>
              <w:rPr>
                <w:rFonts w:cs="Times New Roman"/>
                <w:sz w:val="22"/>
              </w:rPr>
            </w:pPr>
            <w:r w:rsidRPr="00FC64BF">
              <w:rPr>
                <w:rFonts w:cs="Times New Roman"/>
                <w:sz w:val="22"/>
              </w:rPr>
              <w:t>29.000</w:t>
            </w:r>
          </w:p>
        </w:tc>
      </w:tr>
      <w:tr w:rsidR="006C2058" w:rsidRPr="006C2058" w14:paraId="6A9E36A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C05C1A" w14:textId="77777777" w:rsidR="006C2058" w:rsidRPr="00FC64BF" w:rsidRDefault="006C2058" w:rsidP="006C2058">
            <w:pPr>
              <w:spacing w:after="0" w:line="276" w:lineRule="auto"/>
              <w:jc w:val="both"/>
              <w:rPr>
                <w:rFonts w:cs="Times New Roman"/>
                <w:sz w:val="22"/>
              </w:rPr>
            </w:pPr>
            <w:r w:rsidRPr="00FC64BF">
              <w:rPr>
                <w:rFonts w:cs="Times New Roman"/>
                <w:sz w:val="22"/>
              </w:rPr>
              <w:t>– Svjetski dan romskog jezika – Muzej suvremene umjetnosti,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9A1ED9" w14:textId="77777777" w:rsidR="006C2058" w:rsidRPr="00FC64BF" w:rsidRDefault="006C2058" w:rsidP="006C2058">
            <w:pPr>
              <w:spacing w:after="0" w:line="276" w:lineRule="auto"/>
              <w:jc w:val="both"/>
              <w:rPr>
                <w:rFonts w:cs="Times New Roman"/>
                <w:sz w:val="22"/>
              </w:rPr>
            </w:pPr>
            <w:r w:rsidRPr="00FC64BF">
              <w:rPr>
                <w:rFonts w:cs="Times New Roman"/>
                <w:sz w:val="22"/>
              </w:rPr>
              <w:t>15.000</w:t>
            </w:r>
          </w:p>
        </w:tc>
      </w:tr>
      <w:tr w:rsidR="006C2058" w:rsidRPr="006C2058" w14:paraId="51F05D0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3C457" w14:textId="77777777" w:rsidR="006C2058" w:rsidRPr="00FC64BF" w:rsidRDefault="006C2058" w:rsidP="006C2058">
            <w:pPr>
              <w:spacing w:after="0" w:line="276" w:lineRule="auto"/>
              <w:jc w:val="both"/>
              <w:rPr>
                <w:rFonts w:cs="Times New Roman"/>
                <w:sz w:val="22"/>
              </w:rPr>
            </w:pPr>
            <w:r w:rsidRPr="00FC64BF">
              <w:rPr>
                <w:rFonts w:cs="Times New Roman"/>
                <w:sz w:val="22"/>
              </w:rPr>
              <w:t>– Peti kongres mladih Roma – Hotel International,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B01A5D" w14:textId="77777777" w:rsidR="006C2058" w:rsidRPr="00FC64BF" w:rsidRDefault="006C2058" w:rsidP="006C2058">
            <w:pPr>
              <w:spacing w:after="0" w:line="276" w:lineRule="auto"/>
              <w:jc w:val="both"/>
              <w:rPr>
                <w:rFonts w:cs="Times New Roman"/>
                <w:sz w:val="22"/>
              </w:rPr>
            </w:pPr>
            <w:r w:rsidRPr="00FC64BF">
              <w:rPr>
                <w:rFonts w:cs="Times New Roman"/>
                <w:sz w:val="22"/>
              </w:rPr>
              <w:t>10.000</w:t>
            </w:r>
          </w:p>
        </w:tc>
      </w:tr>
      <w:tr w:rsidR="006C2058" w:rsidRPr="006C2058" w14:paraId="708D8A0C"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2E4132"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Sjećanje na romske žrtve – Marija Gorica, Romski memorijalni centar </w:t>
            </w:r>
            <w:proofErr w:type="spellStart"/>
            <w:r w:rsidRPr="00FC64BF">
              <w:rPr>
                <w:rFonts w:cs="Times New Roman"/>
                <w:sz w:val="22"/>
              </w:rPr>
              <w:t>Uštica</w:t>
            </w:r>
            <w:proofErr w:type="spellEnd"/>
            <w:r w:rsidRPr="00FC64BF">
              <w:rPr>
                <w:rFonts w:cs="Times New Roman"/>
                <w:sz w:val="22"/>
              </w:rPr>
              <w:t xml:space="preserve">, Gornja </w:t>
            </w:r>
            <w:proofErr w:type="spellStart"/>
            <w:r w:rsidRPr="00FC64BF">
              <w:rPr>
                <w:rFonts w:cs="Times New Roman"/>
                <w:sz w:val="22"/>
              </w:rPr>
              <w:t>Trebinja</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87D89B" w14:textId="77777777" w:rsidR="006C2058" w:rsidRPr="00FC64BF" w:rsidRDefault="006C2058" w:rsidP="006C2058">
            <w:pPr>
              <w:spacing w:after="0" w:line="276" w:lineRule="auto"/>
              <w:jc w:val="both"/>
              <w:rPr>
                <w:rFonts w:cs="Times New Roman"/>
                <w:sz w:val="22"/>
              </w:rPr>
            </w:pPr>
            <w:r w:rsidRPr="00FC64BF">
              <w:rPr>
                <w:rFonts w:cs="Times New Roman"/>
                <w:sz w:val="22"/>
              </w:rPr>
              <w:t>10.000</w:t>
            </w:r>
          </w:p>
        </w:tc>
      </w:tr>
      <w:tr w:rsidR="006C2058" w:rsidRPr="006C2058" w14:paraId="0D6DA269"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F5E31A" w14:textId="77777777" w:rsidR="006C2058" w:rsidRPr="00FC64BF" w:rsidRDefault="006C2058" w:rsidP="006C2058">
            <w:pPr>
              <w:spacing w:after="0" w:line="276" w:lineRule="auto"/>
              <w:jc w:val="both"/>
              <w:rPr>
                <w:rFonts w:cs="Times New Roman"/>
                <w:sz w:val="22"/>
              </w:rPr>
            </w:pPr>
            <w:r w:rsidRPr="00FC64BF">
              <w:rPr>
                <w:rFonts w:cs="Times New Roman"/>
                <w:b/>
                <w:bCs/>
                <w:sz w:val="22"/>
              </w:rPr>
              <w:t>6. Perspektiva, Sesvete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160FEB" w14:textId="77777777" w:rsidR="006C2058" w:rsidRPr="00FC64BF" w:rsidRDefault="006C2058" w:rsidP="006C2058">
            <w:pPr>
              <w:spacing w:after="0" w:line="276" w:lineRule="auto"/>
              <w:jc w:val="both"/>
              <w:rPr>
                <w:rFonts w:cs="Times New Roman"/>
                <w:sz w:val="22"/>
              </w:rPr>
            </w:pPr>
            <w:r w:rsidRPr="00FC64BF">
              <w:rPr>
                <w:rFonts w:cs="Times New Roman"/>
                <w:b/>
                <w:bCs/>
                <w:sz w:val="22"/>
              </w:rPr>
              <w:t>7.500</w:t>
            </w:r>
          </w:p>
        </w:tc>
      </w:tr>
      <w:tr w:rsidR="006C2058" w:rsidRPr="006C2058" w14:paraId="309AF58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FC54B6" w14:textId="77777777" w:rsidR="006C2058" w:rsidRPr="00FC64BF" w:rsidRDefault="006C2058" w:rsidP="006C2058">
            <w:pPr>
              <w:spacing w:after="0" w:line="276" w:lineRule="auto"/>
              <w:jc w:val="both"/>
              <w:rPr>
                <w:rFonts w:cs="Times New Roman"/>
                <w:sz w:val="22"/>
              </w:rPr>
            </w:pPr>
            <w:r w:rsidRPr="00FC64BF">
              <w:rPr>
                <w:rFonts w:cs="Times New Roman"/>
                <w:b/>
                <w:bCs/>
                <w:sz w:val="22"/>
              </w:rPr>
              <w:t>Informiranje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4A974C"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7E2D8F5B"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CA41B7" w14:textId="77777777" w:rsidR="006C2058" w:rsidRPr="00FC64BF" w:rsidRDefault="006C2058" w:rsidP="006C2058">
            <w:pPr>
              <w:spacing w:after="0" w:line="276" w:lineRule="auto"/>
              <w:jc w:val="both"/>
              <w:rPr>
                <w:rFonts w:cs="Times New Roman"/>
                <w:sz w:val="22"/>
              </w:rPr>
            </w:pPr>
            <w:r w:rsidRPr="00FC64BF">
              <w:rPr>
                <w:rFonts w:cs="Times New Roman"/>
                <w:sz w:val="22"/>
              </w:rPr>
              <w:t>– Portal nacionalnemanjine.hr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47E51E" w14:textId="77777777" w:rsidR="006C2058" w:rsidRPr="00FC64BF" w:rsidRDefault="006C2058" w:rsidP="006C2058">
            <w:pPr>
              <w:spacing w:after="0" w:line="276" w:lineRule="auto"/>
              <w:jc w:val="both"/>
              <w:rPr>
                <w:rFonts w:cs="Times New Roman"/>
                <w:sz w:val="22"/>
              </w:rPr>
            </w:pPr>
            <w:r w:rsidRPr="00FC64BF">
              <w:rPr>
                <w:rFonts w:cs="Times New Roman"/>
                <w:sz w:val="22"/>
              </w:rPr>
              <w:t>1.500</w:t>
            </w:r>
          </w:p>
        </w:tc>
      </w:tr>
      <w:tr w:rsidR="006C2058" w:rsidRPr="006C2058" w14:paraId="3AD1F35F"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E17FA2" w14:textId="77777777" w:rsidR="006C2058" w:rsidRPr="00FC64BF" w:rsidRDefault="006C2058" w:rsidP="006C2058">
            <w:pPr>
              <w:spacing w:after="0" w:line="276" w:lineRule="auto"/>
              <w:jc w:val="both"/>
              <w:rPr>
                <w:rFonts w:cs="Times New Roman"/>
                <w:sz w:val="22"/>
              </w:rPr>
            </w:pPr>
            <w:r w:rsidRPr="00FC64BF">
              <w:rPr>
                <w:rFonts w:cs="Times New Roman"/>
                <w:sz w:val="22"/>
              </w:rPr>
              <w:t>– Internetska stranica www.perspektivaudruga.hr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EA4125" w14:textId="77777777" w:rsidR="006C2058" w:rsidRPr="00FC64BF" w:rsidRDefault="006C2058" w:rsidP="006C2058">
            <w:pPr>
              <w:spacing w:after="0" w:line="276" w:lineRule="auto"/>
              <w:jc w:val="both"/>
              <w:rPr>
                <w:rFonts w:cs="Times New Roman"/>
                <w:sz w:val="22"/>
              </w:rPr>
            </w:pPr>
            <w:r w:rsidRPr="00FC64BF">
              <w:rPr>
                <w:rFonts w:cs="Times New Roman"/>
                <w:sz w:val="22"/>
              </w:rPr>
              <w:t>2.000</w:t>
            </w:r>
          </w:p>
        </w:tc>
      </w:tr>
      <w:tr w:rsidR="006C2058" w:rsidRPr="006C2058" w14:paraId="3F152EA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724F91" w14:textId="77777777" w:rsidR="006C2058" w:rsidRPr="00FC64BF" w:rsidRDefault="006C2058" w:rsidP="006C2058">
            <w:pPr>
              <w:spacing w:after="0" w:line="276" w:lineRule="auto"/>
              <w:jc w:val="both"/>
              <w:rPr>
                <w:rFonts w:cs="Times New Roman"/>
                <w:sz w:val="22"/>
              </w:rPr>
            </w:pPr>
            <w:r w:rsidRPr="00FC64BF">
              <w:rPr>
                <w:rFonts w:cs="Times New Roman"/>
                <w:b/>
                <w:bCs/>
                <w:sz w:val="22"/>
              </w:rPr>
              <w:t>Izdavaštvo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632F29"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5CBCCC6E"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ABB920"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Uspješne pripadnice nacionalnih manjina (Slavica </w:t>
            </w:r>
            <w:proofErr w:type="spellStart"/>
            <w:r w:rsidRPr="00FC64BF">
              <w:rPr>
                <w:rFonts w:cs="Times New Roman"/>
                <w:sz w:val="22"/>
              </w:rPr>
              <w:t>Šarović</w:t>
            </w:r>
            <w:proofErr w:type="spellEnd"/>
            <w:r w:rsidRPr="00FC64BF">
              <w:rPr>
                <w:rFonts w:cs="Times New Roman"/>
                <w:sz w:val="22"/>
              </w:rPr>
              <w:t>), web-izdanje, 120 str.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E9CF27" w14:textId="77777777" w:rsidR="006C2058" w:rsidRPr="00FC64BF" w:rsidRDefault="006C2058" w:rsidP="006C2058">
            <w:pPr>
              <w:spacing w:after="0" w:line="276" w:lineRule="auto"/>
              <w:jc w:val="both"/>
              <w:rPr>
                <w:rFonts w:cs="Times New Roman"/>
                <w:sz w:val="22"/>
              </w:rPr>
            </w:pPr>
            <w:r w:rsidRPr="00FC64BF">
              <w:rPr>
                <w:rFonts w:cs="Times New Roman"/>
                <w:sz w:val="22"/>
              </w:rPr>
              <w:t>4.000</w:t>
            </w:r>
          </w:p>
        </w:tc>
      </w:tr>
      <w:tr w:rsidR="006C2058" w:rsidRPr="006C2058" w14:paraId="57A68221"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FB79D1" w14:textId="77777777" w:rsidR="006C2058" w:rsidRPr="00FC64BF" w:rsidRDefault="006C2058" w:rsidP="006C2058">
            <w:pPr>
              <w:spacing w:after="0" w:line="276" w:lineRule="auto"/>
              <w:jc w:val="both"/>
              <w:rPr>
                <w:rFonts w:cs="Times New Roman"/>
                <w:sz w:val="22"/>
              </w:rPr>
            </w:pPr>
            <w:r w:rsidRPr="00FC64BF">
              <w:rPr>
                <w:rFonts w:cs="Times New Roman"/>
                <w:b/>
                <w:bCs/>
                <w:sz w:val="22"/>
              </w:rPr>
              <w:t>7. Udruga baranjskih Roma, Beli Manastir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D294F" w14:textId="77777777" w:rsidR="006C2058" w:rsidRPr="00FC64BF" w:rsidRDefault="006C2058" w:rsidP="006C2058">
            <w:pPr>
              <w:spacing w:after="0" w:line="276" w:lineRule="auto"/>
              <w:jc w:val="both"/>
              <w:rPr>
                <w:rFonts w:cs="Times New Roman"/>
                <w:sz w:val="22"/>
              </w:rPr>
            </w:pPr>
            <w:r w:rsidRPr="00FC64BF">
              <w:rPr>
                <w:rFonts w:cs="Times New Roman"/>
                <w:b/>
                <w:bCs/>
                <w:sz w:val="22"/>
              </w:rPr>
              <w:t>4.500</w:t>
            </w:r>
          </w:p>
        </w:tc>
      </w:tr>
      <w:tr w:rsidR="006C2058" w:rsidRPr="006C2058" w14:paraId="13CAD2C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DB224D"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BFB68B"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374B5AB8"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0505CA" w14:textId="77777777" w:rsidR="006C2058" w:rsidRPr="00FC64BF" w:rsidRDefault="006C2058" w:rsidP="006C2058">
            <w:pPr>
              <w:spacing w:after="0" w:line="276" w:lineRule="auto"/>
              <w:jc w:val="both"/>
              <w:rPr>
                <w:rFonts w:cs="Times New Roman"/>
                <w:sz w:val="22"/>
              </w:rPr>
            </w:pPr>
            <w:r w:rsidRPr="00FC64BF">
              <w:rPr>
                <w:rFonts w:cs="Times New Roman"/>
                <w:sz w:val="22"/>
              </w:rPr>
              <w:t>– Dani Roma u Belom Manastiru – Beli Manastir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BC0CFF" w14:textId="77777777" w:rsidR="006C2058" w:rsidRPr="00FC64BF" w:rsidRDefault="006C2058" w:rsidP="006C2058">
            <w:pPr>
              <w:spacing w:after="0" w:line="276" w:lineRule="auto"/>
              <w:jc w:val="both"/>
              <w:rPr>
                <w:rFonts w:cs="Times New Roman"/>
                <w:sz w:val="22"/>
              </w:rPr>
            </w:pPr>
            <w:r w:rsidRPr="00FC64BF">
              <w:rPr>
                <w:rFonts w:cs="Times New Roman"/>
                <w:sz w:val="22"/>
              </w:rPr>
              <w:t>4.500</w:t>
            </w:r>
          </w:p>
        </w:tc>
      </w:tr>
      <w:tr w:rsidR="006C2058" w:rsidRPr="006C2058" w14:paraId="6A4D69ED"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414A4" w14:textId="42C83AA9" w:rsidR="006C2058" w:rsidRPr="00FC64BF" w:rsidRDefault="006C2058" w:rsidP="006C2058">
            <w:pPr>
              <w:spacing w:after="0" w:line="276" w:lineRule="auto"/>
              <w:jc w:val="both"/>
              <w:rPr>
                <w:rFonts w:cs="Times New Roman"/>
                <w:sz w:val="22"/>
              </w:rPr>
            </w:pPr>
            <w:r w:rsidRPr="00FC64BF">
              <w:rPr>
                <w:rFonts w:cs="Times New Roman"/>
                <w:b/>
                <w:bCs/>
                <w:sz w:val="22"/>
              </w:rPr>
              <w:t xml:space="preserve">8. Udruga baranjskih Roma </w:t>
            </w:r>
            <w:r w:rsidR="001A749E">
              <w:rPr>
                <w:rFonts w:cs="Times New Roman"/>
                <w:b/>
                <w:bCs/>
                <w:sz w:val="22"/>
              </w:rPr>
              <w:t>„</w:t>
            </w:r>
            <w:r w:rsidRPr="00FC64BF">
              <w:rPr>
                <w:rFonts w:cs="Times New Roman"/>
                <w:b/>
                <w:bCs/>
                <w:sz w:val="22"/>
              </w:rPr>
              <w:t>Napredak</w:t>
            </w:r>
            <w:r w:rsidR="001A749E">
              <w:rPr>
                <w:rFonts w:cs="Times New Roman"/>
                <w:b/>
                <w:bCs/>
                <w:sz w:val="22"/>
              </w:rPr>
              <w:t>“</w:t>
            </w:r>
            <w:r w:rsidRPr="00FC64BF">
              <w:rPr>
                <w:rFonts w:cs="Times New Roman"/>
                <w:b/>
                <w:bCs/>
                <w:sz w:val="22"/>
              </w:rPr>
              <w:t>, Bolman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F8C294" w14:textId="77777777" w:rsidR="006C2058" w:rsidRPr="00FC64BF" w:rsidRDefault="006C2058" w:rsidP="006C2058">
            <w:pPr>
              <w:spacing w:after="0" w:line="276" w:lineRule="auto"/>
              <w:jc w:val="both"/>
              <w:rPr>
                <w:rFonts w:cs="Times New Roman"/>
                <w:sz w:val="22"/>
              </w:rPr>
            </w:pPr>
            <w:r w:rsidRPr="00FC64BF">
              <w:rPr>
                <w:rFonts w:cs="Times New Roman"/>
                <w:b/>
                <w:bCs/>
                <w:sz w:val="22"/>
              </w:rPr>
              <w:t>4.000</w:t>
            </w:r>
          </w:p>
        </w:tc>
      </w:tr>
      <w:tr w:rsidR="006C2058" w:rsidRPr="006C2058" w14:paraId="7B7FDB8D"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E591D9"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190920"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729F4F84"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16A2A3"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Dani kulture Roma u </w:t>
            </w:r>
            <w:proofErr w:type="spellStart"/>
            <w:r w:rsidRPr="00FC64BF">
              <w:rPr>
                <w:rFonts w:cs="Times New Roman"/>
                <w:sz w:val="22"/>
              </w:rPr>
              <w:t>Bolmanu</w:t>
            </w:r>
            <w:proofErr w:type="spellEnd"/>
            <w:r w:rsidRPr="00FC64BF">
              <w:rPr>
                <w:rFonts w:cs="Times New Roman"/>
                <w:sz w:val="22"/>
              </w:rPr>
              <w:t xml:space="preserve"> – Dom kulture, Bolman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6A2F24" w14:textId="77777777" w:rsidR="006C2058" w:rsidRPr="00FC64BF" w:rsidRDefault="006C2058" w:rsidP="006C2058">
            <w:pPr>
              <w:spacing w:after="0" w:line="276" w:lineRule="auto"/>
              <w:jc w:val="both"/>
              <w:rPr>
                <w:rFonts w:cs="Times New Roman"/>
                <w:sz w:val="22"/>
              </w:rPr>
            </w:pPr>
            <w:r w:rsidRPr="00FC64BF">
              <w:rPr>
                <w:rFonts w:cs="Times New Roman"/>
                <w:sz w:val="22"/>
              </w:rPr>
              <w:t>4.000</w:t>
            </w:r>
          </w:p>
        </w:tc>
      </w:tr>
      <w:tr w:rsidR="006C2058" w:rsidRPr="006C2058" w14:paraId="2A762672"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BA7A2E" w14:textId="77777777" w:rsidR="006C2058" w:rsidRPr="00FC64BF" w:rsidRDefault="006C2058" w:rsidP="006C2058">
            <w:pPr>
              <w:spacing w:after="0" w:line="276" w:lineRule="auto"/>
              <w:jc w:val="both"/>
              <w:rPr>
                <w:rFonts w:cs="Times New Roman"/>
                <w:sz w:val="22"/>
              </w:rPr>
            </w:pPr>
            <w:r w:rsidRPr="00FC64BF">
              <w:rPr>
                <w:rFonts w:cs="Times New Roman"/>
                <w:b/>
                <w:bCs/>
                <w:sz w:val="22"/>
              </w:rPr>
              <w:t>9. Udruga Romski nacionalni forum, Beli Manastir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E2108" w14:textId="77777777" w:rsidR="006C2058" w:rsidRPr="00FC64BF" w:rsidRDefault="006C2058" w:rsidP="006C2058">
            <w:pPr>
              <w:spacing w:after="0" w:line="276" w:lineRule="auto"/>
              <w:jc w:val="both"/>
              <w:rPr>
                <w:rFonts w:cs="Times New Roman"/>
                <w:sz w:val="22"/>
              </w:rPr>
            </w:pPr>
            <w:r w:rsidRPr="00FC64BF">
              <w:rPr>
                <w:rFonts w:cs="Times New Roman"/>
                <w:b/>
                <w:bCs/>
                <w:sz w:val="22"/>
              </w:rPr>
              <w:t>8.800</w:t>
            </w:r>
          </w:p>
        </w:tc>
      </w:tr>
      <w:tr w:rsidR="006C2058" w:rsidRPr="006C2058" w14:paraId="4DB1A1FD"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ADA488"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Kulturni amaterizam</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8DA2F6"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218BA70F"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A052F5"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Romi </w:t>
            </w:r>
            <w:proofErr w:type="spellStart"/>
            <w:r w:rsidRPr="00FC64BF">
              <w:rPr>
                <w:rFonts w:cs="Times New Roman"/>
                <w:sz w:val="22"/>
              </w:rPr>
              <w:t>Korpari</w:t>
            </w:r>
            <w:proofErr w:type="spellEnd"/>
            <w:r w:rsidRPr="00FC64BF">
              <w:rPr>
                <w:rFonts w:cs="Times New Roman"/>
                <w:sz w:val="22"/>
              </w:rPr>
              <w:t xml:space="preserve"> – umjetnici i čuvari tradicije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B57FF" w14:textId="77777777" w:rsidR="006C2058" w:rsidRPr="00FC64BF" w:rsidRDefault="006C2058" w:rsidP="006C2058">
            <w:pPr>
              <w:spacing w:after="0" w:line="276" w:lineRule="auto"/>
              <w:jc w:val="both"/>
              <w:rPr>
                <w:rFonts w:cs="Times New Roman"/>
                <w:sz w:val="22"/>
              </w:rPr>
            </w:pPr>
            <w:r w:rsidRPr="00FC64BF">
              <w:rPr>
                <w:rFonts w:cs="Times New Roman"/>
                <w:sz w:val="22"/>
              </w:rPr>
              <w:t>2.800</w:t>
            </w:r>
          </w:p>
        </w:tc>
      </w:tr>
      <w:tr w:rsidR="006C2058" w:rsidRPr="006C2058" w14:paraId="66D66905"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94A0A0" w14:textId="77777777" w:rsidR="006C2058" w:rsidRPr="00FC64BF" w:rsidRDefault="006C2058" w:rsidP="006C2058">
            <w:pPr>
              <w:spacing w:after="0" w:line="276" w:lineRule="auto"/>
              <w:jc w:val="both"/>
              <w:rPr>
                <w:rFonts w:cs="Times New Roman"/>
                <w:sz w:val="22"/>
              </w:rPr>
            </w:pPr>
            <w:r w:rsidRPr="00FC64BF">
              <w:rPr>
                <w:rFonts w:cs="Times New Roman"/>
                <w:b/>
                <w:bCs/>
                <w:sz w:val="22"/>
              </w:rPr>
              <w:t>Kulturne manifestacije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E2DA1D"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5E639E0C"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87C087" w14:textId="77777777" w:rsidR="006C2058" w:rsidRPr="00FC64BF" w:rsidRDefault="006C2058" w:rsidP="006C2058">
            <w:pPr>
              <w:spacing w:after="0" w:line="276" w:lineRule="auto"/>
              <w:jc w:val="both"/>
              <w:rPr>
                <w:rFonts w:cs="Times New Roman"/>
                <w:sz w:val="22"/>
              </w:rPr>
            </w:pPr>
            <w:r w:rsidRPr="00FC64BF">
              <w:rPr>
                <w:rFonts w:cs="Times New Roman"/>
                <w:sz w:val="22"/>
              </w:rPr>
              <w:lastRenderedPageBreak/>
              <w:t>– 16. Festival pjesme i plesa Roma Republike Hrvatske – Beli Manastir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F1E178" w14:textId="77777777" w:rsidR="006C2058" w:rsidRPr="00FC64BF" w:rsidRDefault="006C2058" w:rsidP="006C2058">
            <w:pPr>
              <w:spacing w:after="0" w:line="276" w:lineRule="auto"/>
              <w:jc w:val="both"/>
              <w:rPr>
                <w:rFonts w:cs="Times New Roman"/>
                <w:sz w:val="22"/>
              </w:rPr>
            </w:pPr>
            <w:r w:rsidRPr="00FC64BF">
              <w:rPr>
                <w:rFonts w:cs="Times New Roman"/>
                <w:sz w:val="22"/>
              </w:rPr>
              <w:t>6.000</w:t>
            </w:r>
          </w:p>
        </w:tc>
      </w:tr>
      <w:tr w:rsidR="006C2058" w:rsidRPr="006C2058" w14:paraId="5D375F32" w14:textId="77777777" w:rsidTr="00FC64BF">
        <w:trPr>
          <w:trHeight w:val="649"/>
        </w:trPr>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B309F4" w14:textId="1DDEE290" w:rsidR="006C2058" w:rsidRPr="00FC64BF" w:rsidRDefault="006C2058" w:rsidP="006C2058">
            <w:pPr>
              <w:spacing w:after="0" w:line="276" w:lineRule="auto"/>
              <w:jc w:val="both"/>
              <w:rPr>
                <w:rFonts w:cs="Times New Roman"/>
                <w:sz w:val="22"/>
              </w:rPr>
            </w:pPr>
            <w:r w:rsidRPr="00FC64BF">
              <w:rPr>
                <w:rFonts w:cs="Times New Roman"/>
                <w:b/>
                <w:bCs/>
                <w:sz w:val="22"/>
              </w:rPr>
              <w:t xml:space="preserve">10. Udruga žena Romkinja u Hrvatskoj </w:t>
            </w:r>
            <w:r w:rsidR="001A749E">
              <w:rPr>
                <w:rFonts w:cs="Times New Roman"/>
                <w:b/>
                <w:bCs/>
                <w:sz w:val="22"/>
              </w:rPr>
              <w:t>„</w:t>
            </w:r>
            <w:r w:rsidRPr="00FC64BF">
              <w:rPr>
                <w:rFonts w:cs="Times New Roman"/>
                <w:b/>
                <w:bCs/>
                <w:sz w:val="22"/>
              </w:rPr>
              <w:t>Bolja budućnost</w:t>
            </w:r>
            <w:r w:rsidR="001A749E">
              <w:rPr>
                <w:rFonts w:cs="Times New Roman"/>
                <w:b/>
                <w:bCs/>
                <w:sz w:val="22"/>
              </w:rPr>
              <w:t>“</w:t>
            </w:r>
            <w:r w:rsidRPr="00FC64BF">
              <w:rPr>
                <w:rFonts w:cs="Times New Roman"/>
                <w:b/>
                <w:bCs/>
                <w:sz w:val="22"/>
              </w:rPr>
              <w:t>,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919615" w14:textId="77777777" w:rsidR="006C2058" w:rsidRPr="00FC64BF" w:rsidRDefault="006C2058" w:rsidP="006C2058">
            <w:pPr>
              <w:spacing w:after="0" w:line="276" w:lineRule="auto"/>
              <w:jc w:val="both"/>
              <w:rPr>
                <w:rFonts w:cs="Times New Roman"/>
                <w:sz w:val="22"/>
              </w:rPr>
            </w:pPr>
            <w:r w:rsidRPr="00FC64BF">
              <w:rPr>
                <w:rFonts w:cs="Times New Roman"/>
                <w:b/>
                <w:bCs/>
                <w:sz w:val="22"/>
              </w:rPr>
              <w:t>17.000</w:t>
            </w:r>
          </w:p>
        </w:tc>
      </w:tr>
      <w:tr w:rsidR="006C2058" w:rsidRPr="006C2058" w14:paraId="57C1DD06"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4BEA84" w14:textId="77777777" w:rsidR="006C2058" w:rsidRPr="00FC64BF" w:rsidRDefault="006C2058" w:rsidP="006C2058">
            <w:pPr>
              <w:spacing w:after="0" w:line="276" w:lineRule="auto"/>
              <w:jc w:val="both"/>
              <w:rPr>
                <w:rFonts w:cs="Times New Roman"/>
                <w:sz w:val="22"/>
              </w:rPr>
            </w:pPr>
            <w:r w:rsidRPr="00FC64BF">
              <w:rPr>
                <w:rFonts w:cs="Times New Roman"/>
                <w:b/>
                <w:bCs/>
                <w:sz w:val="22"/>
              </w:rPr>
              <w:t>Informiranje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708C43"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6EC88A90"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492498" w14:textId="77777777" w:rsidR="006C2058" w:rsidRPr="00FC64BF" w:rsidRDefault="006C2058" w:rsidP="006C2058">
            <w:pPr>
              <w:spacing w:after="0" w:line="276" w:lineRule="auto"/>
              <w:jc w:val="both"/>
              <w:rPr>
                <w:rFonts w:cs="Times New Roman"/>
                <w:sz w:val="22"/>
              </w:rPr>
            </w:pPr>
            <w:r w:rsidRPr="00FC64BF">
              <w:rPr>
                <w:rFonts w:cs="Times New Roman"/>
                <w:sz w:val="22"/>
              </w:rPr>
              <w:t>– Budućnost – brojeva: 4, A4, 28 – 36 str., naklada: 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0DA6E5" w14:textId="77777777" w:rsidR="006C2058" w:rsidRPr="00FC64BF" w:rsidRDefault="006C2058" w:rsidP="006C2058">
            <w:pPr>
              <w:spacing w:after="0" w:line="276" w:lineRule="auto"/>
              <w:jc w:val="both"/>
              <w:rPr>
                <w:rFonts w:cs="Times New Roman"/>
                <w:sz w:val="22"/>
              </w:rPr>
            </w:pPr>
            <w:r w:rsidRPr="00FC64BF">
              <w:rPr>
                <w:rFonts w:cs="Times New Roman"/>
                <w:sz w:val="22"/>
              </w:rPr>
              <w:t>17.000</w:t>
            </w:r>
          </w:p>
        </w:tc>
      </w:tr>
      <w:tr w:rsidR="006C2058" w:rsidRPr="006C2058" w14:paraId="43FF2834"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789B51" w14:textId="77777777" w:rsidR="006C2058" w:rsidRPr="00FC64BF" w:rsidRDefault="006C2058" w:rsidP="006C2058">
            <w:pPr>
              <w:spacing w:after="0" w:line="276" w:lineRule="auto"/>
              <w:jc w:val="both"/>
              <w:rPr>
                <w:rFonts w:cs="Times New Roman"/>
                <w:sz w:val="22"/>
              </w:rPr>
            </w:pPr>
            <w:r w:rsidRPr="00FC64BF">
              <w:rPr>
                <w:rFonts w:cs="Times New Roman"/>
                <w:b/>
                <w:bCs/>
                <w:sz w:val="22"/>
              </w:rPr>
              <w:t>11. Zajednica Roma Hrvatske – Romski san, Zagreb</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EB4693" w14:textId="77777777" w:rsidR="006C2058" w:rsidRPr="00FC64BF" w:rsidRDefault="006C2058" w:rsidP="006C2058">
            <w:pPr>
              <w:spacing w:after="0" w:line="276" w:lineRule="auto"/>
              <w:jc w:val="both"/>
              <w:rPr>
                <w:rFonts w:cs="Times New Roman"/>
                <w:sz w:val="22"/>
              </w:rPr>
            </w:pPr>
            <w:r w:rsidRPr="00FC64BF">
              <w:rPr>
                <w:rFonts w:cs="Times New Roman"/>
                <w:b/>
                <w:bCs/>
                <w:sz w:val="22"/>
              </w:rPr>
              <w:t>11.500</w:t>
            </w:r>
          </w:p>
        </w:tc>
      </w:tr>
      <w:tr w:rsidR="006C2058" w:rsidRPr="006C2058" w14:paraId="21DCFE2C"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B63293" w14:textId="77777777" w:rsidR="006C2058" w:rsidRPr="00FC64BF" w:rsidRDefault="006C2058" w:rsidP="006C2058">
            <w:pPr>
              <w:spacing w:after="0" w:line="276" w:lineRule="auto"/>
              <w:jc w:val="both"/>
              <w:rPr>
                <w:rFonts w:cs="Times New Roman"/>
                <w:sz w:val="22"/>
              </w:rPr>
            </w:pPr>
            <w:r w:rsidRPr="00FC64BF">
              <w:rPr>
                <w:rFonts w:cs="Times New Roman"/>
                <w:b/>
                <w:bCs/>
                <w:sz w:val="22"/>
              </w:rPr>
              <w:t>Informiranje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BF0985"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561F14D4"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0FA312" w14:textId="77777777" w:rsidR="006C2058" w:rsidRPr="00FC64BF" w:rsidRDefault="006C2058" w:rsidP="006C2058">
            <w:pPr>
              <w:spacing w:after="0" w:line="276" w:lineRule="auto"/>
              <w:jc w:val="both"/>
              <w:rPr>
                <w:rFonts w:cs="Times New Roman"/>
                <w:sz w:val="22"/>
              </w:rPr>
            </w:pPr>
            <w:r w:rsidRPr="00FC64BF">
              <w:rPr>
                <w:rFonts w:cs="Times New Roman"/>
                <w:sz w:val="22"/>
              </w:rPr>
              <w:t>– Portal nacionalnemanjine.hr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EFAF27" w14:textId="77777777" w:rsidR="006C2058" w:rsidRPr="00FC64BF" w:rsidRDefault="006C2058" w:rsidP="006C2058">
            <w:pPr>
              <w:spacing w:after="0" w:line="276" w:lineRule="auto"/>
              <w:jc w:val="both"/>
              <w:rPr>
                <w:rFonts w:cs="Times New Roman"/>
                <w:sz w:val="22"/>
              </w:rPr>
            </w:pPr>
            <w:r w:rsidRPr="00FC64BF">
              <w:rPr>
                <w:rFonts w:cs="Times New Roman"/>
                <w:sz w:val="22"/>
              </w:rPr>
              <w:t>1.500</w:t>
            </w:r>
          </w:p>
        </w:tc>
      </w:tr>
      <w:tr w:rsidR="006C2058" w:rsidRPr="006C2058" w14:paraId="22ABB244"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6EE28F" w14:textId="77777777" w:rsidR="006C2058" w:rsidRPr="00FC64BF" w:rsidRDefault="006C2058" w:rsidP="006C2058">
            <w:pPr>
              <w:spacing w:after="0" w:line="276" w:lineRule="auto"/>
              <w:jc w:val="both"/>
              <w:rPr>
                <w:rFonts w:cs="Times New Roman"/>
                <w:sz w:val="22"/>
              </w:rPr>
            </w:pPr>
            <w:r w:rsidRPr="00FC64BF">
              <w:rPr>
                <w:rFonts w:cs="Times New Roman"/>
                <w:sz w:val="22"/>
              </w:rPr>
              <w:t>– Internetska stranica www.romskisan.hr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F63DC0" w14:textId="77777777" w:rsidR="006C2058" w:rsidRPr="00FC64BF" w:rsidRDefault="006C2058" w:rsidP="006C2058">
            <w:pPr>
              <w:spacing w:after="0" w:line="276" w:lineRule="auto"/>
              <w:jc w:val="both"/>
              <w:rPr>
                <w:rFonts w:cs="Times New Roman"/>
                <w:sz w:val="22"/>
              </w:rPr>
            </w:pPr>
            <w:r w:rsidRPr="00FC64BF">
              <w:rPr>
                <w:rFonts w:cs="Times New Roman"/>
                <w:sz w:val="22"/>
              </w:rPr>
              <w:t>2.000</w:t>
            </w:r>
          </w:p>
        </w:tc>
      </w:tr>
      <w:tr w:rsidR="006C2058" w:rsidRPr="006C2058" w14:paraId="69164057"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E28C92" w14:textId="77777777" w:rsidR="006C2058" w:rsidRPr="00FC64BF" w:rsidRDefault="006C2058" w:rsidP="006C2058">
            <w:pPr>
              <w:spacing w:after="0" w:line="276" w:lineRule="auto"/>
              <w:jc w:val="both"/>
              <w:rPr>
                <w:rFonts w:cs="Times New Roman"/>
                <w:sz w:val="22"/>
              </w:rPr>
            </w:pPr>
            <w:r w:rsidRPr="00FC64BF">
              <w:rPr>
                <w:rFonts w:cs="Times New Roman"/>
                <w:b/>
                <w:bCs/>
                <w:sz w:val="22"/>
              </w:rPr>
              <w:t>Izdavaštvo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377F2A" w14:textId="77777777" w:rsidR="006C2058" w:rsidRPr="00FC64BF" w:rsidRDefault="006C2058" w:rsidP="006C2058">
            <w:pPr>
              <w:spacing w:after="0" w:line="276" w:lineRule="auto"/>
              <w:jc w:val="both"/>
              <w:rPr>
                <w:rFonts w:cs="Times New Roman"/>
                <w:sz w:val="22"/>
              </w:rPr>
            </w:pPr>
            <w:r w:rsidRPr="00FC64BF">
              <w:rPr>
                <w:rFonts w:cs="Times New Roman"/>
                <w:sz w:val="22"/>
              </w:rPr>
              <w:t> </w:t>
            </w:r>
          </w:p>
        </w:tc>
      </w:tr>
      <w:tr w:rsidR="006C2058" w:rsidRPr="006C2058" w14:paraId="4F322F09"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AF3624"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Hrvatski branitelji pripadnici manjina (Slavica </w:t>
            </w:r>
            <w:proofErr w:type="spellStart"/>
            <w:r w:rsidRPr="00FC64BF">
              <w:rPr>
                <w:rFonts w:cs="Times New Roman"/>
                <w:sz w:val="22"/>
              </w:rPr>
              <w:t>Šarović</w:t>
            </w:r>
            <w:proofErr w:type="spellEnd"/>
            <w:r w:rsidRPr="00FC64BF">
              <w:rPr>
                <w:rFonts w:cs="Times New Roman"/>
                <w:sz w:val="22"/>
              </w:rPr>
              <w:t>), web-izdanje, 110 str.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BCCDDA" w14:textId="77777777" w:rsidR="006C2058" w:rsidRPr="00FC64BF" w:rsidRDefault="006C2058" w:rsidP="006C2058">
            <w:pPr>
              <w:spacing w:after="0" w:line="276" w:lineRule="auto"/>
              <w:jc w:val="both"/>
              <w:rPr>
                <w:rFonts w:cs="Times New Roman"/>
                <w:sz w:val="22"/>
              </w:rPr>
            </w:pPr>
            <w:r w:rsidRPr="00FC64BF">
              <w:rPr>
                <w:rFonts w:cs="Times New Roman"/>
                <w:sz w:val="22"/>
              </w:rPr>
              <w:t>4.000</w:t>
            </w:r>
          </w:p>
        </w:tc>
      </w:tr>
      <w:tr w:rsidR="006C2058" w:rsidRPr="006C2058" w14:paraId="19448847"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435C70" w14:textId="77777777" w:rsidR="006C2058" w:rsidRPr="00FC64BF" w:rsidRDefault="006C2058" w:rsidP="006C2058">
            <w:pPr>
              <w:spacing w:after="0" w:line="276" w:lineRule="auto"/>
              <w:jc w:val="both"/>
              <w:rPr>
                <w:rFonts w:cs="Times New Roman"/>
                <w:sz w:val="22"/>
              </w:rPr>
            </w:pPr>
            <w:r w:rsidRPr="00FC64BF">
              <w:rPr>
                <w:rFonts w:cs="Times New Roman"/>
                <w:sz w:val="22"/>
              </w:rPr>
              <w:t xml:space="preserve">– Najznačajniji pripadnici nacionalnih manjina kroz povijest (Slavica </w:t>
            </w:r>
            <w:proofErr w:type="spellStart"/>
            <w:r w:rsidRPr="00FC64BF">
              <w:rPr>
                <w:rFonts w:cs="Times New Roman"/>
                <w:sz w:val="22"/>
              </w:rPr>
              <w:t>Šarović</w:t>
            </w:r>
            <w:proofErr w:type="spellEnd"/>
            <w:r w:rsidRPr="00FC64BF">
              <w:rPr>
                <w:rFonts w:cs="Times New Roman"/>
                <w:sz w:val="22"/>
              </w:rPr>
              <w:t>), web-izdanje, 120 str.</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3E0B4E" w14:textId="77777777" w:rsidR="006C2058" w:rsidRPr="00FC64BF" w:rsidRDefault="006C2058" w:rsidP="006C2058">
            <w:pPr>
              <w:spacing w:after="0" w:line="276" w:lineRule="auto"/>
              <w:jc w:val="both"/>
              <w:rPr>
                <w:rFonts w:cs="Times New Roman"/>
                <w:sz w:val="22"/>
              </w:rPr>
            </w:pPr>
            <w:r w:rsidRPr="00FC64BF">
              <w:rPr>
                <w:rFonts w:cs="Times New Roman"/>
                <w:sz w:val="22"/>
              </w:rPr>
              <w:t>4.000</w:t>
            </w:r>
          </w:p>
        </w:tc>
      </w:tr>
      <w:tr w:rsidR="006C2058" w:rsidRPr="006C2058" w14:paraId="64324F1E" w14:textId="77777777" w:rsidTr="00FC64BF">
        <w:tc>
          <w:tcPr>
            <w:tcW w:w="75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2CD692" w14:textId="77777777" w:rsidR="006C2058" w:rsidRPr="00FC64BF" w:rsidRDefault="006C2058" w:rsidP="006C2058">
            <w:pPr>
              <w:spacing w:after="0" w:line="276" w:lineRule="auto"/>
              <w:jc w:val="both"/>
              <w:rPr>
                <w:rFonts w:cs="Times New Roman"/>
                <w:sz w:val="22"/>
              </w:rPr>
            </w:pPr>
            <w:r w:rsidRPr="00FC64BF">
              <w:rPr>
                <w:rFonts w:cs="Times New Roman"/>
                <w:b/>
                <w:bCs/>
                <w:sz w:val="22"/>
              </w:rPr>
              <w:t>X. ROMI UKUPNO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308384" w14:textId="77777777" w:rsidR="006C2058" w:rsidRPr="00FC64BF" w:rsidRDefault="006C2058" w:rsidP="006C2058">
            <w:pPr>
              <w:spacing w:after="0" w:line="276" w:lineRule="auto"/>
              <w:jc w:val="both"/>
              <w:rPr>
                <w:rFonts w:cs="Times New Roman"/>
                <w:sz w:val="22"/>
              </w:rPr>
            </w:pPr>
            <w:r w:rsidRPr="00FC64BF">
              <w:rPr>
                <w:rFonts w:cs="Times New Roman"/>
                <w:b/>
                <w:bCs/>
                <w:sz w:val="22"/>
              </w:rPr>
              <w:t>254.000</w:t>
            </w:r>
          </w:p>
        </w:tc>
      </w:tr>
    </w:tbl>
    <w:p w14:paraId="1F250FBB" w14:textId="77777777" w:rsidR="006C2058" w:rsidRPr="00073FB5" w:rsidRDefault="006C2058" w:rsidP="00073FB5">
      <w:pPr>
        <w:spacing w:after="0" w:line="276" w:lineRule="auto"/>
        <w:jc w:val="both"/>
        <w:rPr>
          <w:rFonts w:cs="Times New Roman"/>
          <w:szCs w:val="24"/>
        </w:rPr>
      </w:pPr>
    </w:p>
    <w:bookmarkEnd w:id="32"/>
    <w:p w14:paraId="3A9B9E35" w14:textId="77FF6130" w:rsidR="00C86923" w:rsidRPr="00073FB5" w:rsidRDefault="00C86923" w:rsidP="00073FB5">
      <w:pPr>
        <w:widowControl w:val="0"/>
        <w:tabs>
          <w:tab w:val="left" w:pos="29"/>
          <w:tab w:val="left" w:pos="264"/>
        </w:tabs>
        <w:spacing w:after="0" w:line="276" w:lineRule="auto"/>
        <w:jc w:val="both"/>
        <w:rPr>
          <w:szCs w:val="24"/>
          <w:lang w:bidi="hr-HR"/>
        </w:rPr>
      </w:pPr>
      <w:r w:rsidRPr="00073FB5">
        <w:rPr>
          <w:szCs w:val="24"/>
          <w:lang w:bidi="hr-HR"/>
        </w:rPr>
        <w:t>Zaključno se navodi da je putem Savjeta</w:t>
      </w:r>
      <w:r w:rsidR="003379F1">
        <w:rPr>
          <w:szCs w:val="24"/>
          <w:lang w:bidi="hr-HR"/>
        </w:rPr>
        <w:t xml:space="preserve"> </w:t>
      </w:r>
      <w:r w:rsidR="003379F1" w:rsidRPr="00073FB5">
        <w:rPr>
          <w:rFonts w:cs="Times New Roman"/>
          <w:szCs w:val="24"/>
        </w:rPr>
        <w:t>za nacionalne manjine</w:t>
      </w:r>
      <w:r w:rsidRPr="00073FB5">
        <w:rPr>
          <w:szCs w:val="24"/>
          <w:lang w:bidi="hr-HR"/>
        </w:rPr>
        <w:t xml:space="preserve"> u 2024. </w:t>
      </w:r>
      <w:r w:rsidR="001A749E">
        <w:rPr>
          <w:color w:val="000000"/>
        </w:rPr>
        <w:t xml:space="preserve">godini </w:t>
      </w:r>
      <w:r w:rsidRPr="00073FB5">
        <w:rPr>
          <w:szCs w:val="24"/>
          <w:lang w:bidi="hr-HR"/>
        </w:rPr>
        <w:t xml:space="preserve">sufinancirano 27 programa kulturne autonomije udruga i/ili ustanova romske nacionalne manjine temeljem Odluke o rasporedu sredstava koja se u Državnom proračunu Republike Hrvatske osiguravaju za potrebe nacionalnih manjine u 2024. godini, što je 6 programa više u odnosu na 2023. </w:t>
      </w:r>
      <w:r w:rsidR="001A749E">
        <w:rPr>
          <w:color w:val="000000"/>
        </w:rPr>
        <w:t xml:space="preserve">godinu </w:t>
      </w:r>
      <w:r w:rsidRPr="00073FB5">
        <w:rPr>
          <w:szCs w:val="24"/>
          <w:lang w:bidi="hr-HR"/>
        </w:rPr>
        <w:t>kada ih je sufinancirano ukupno 21.</w:t>
      </w:r>
    </w:p>
    <w:p w14:paraId="0253D470" w14:textId="77777777" w:rsidR="00073FB5" w:rsidRPr="00185158" w:rsidRDefault="00073FB5" w:rsidP="00073FB5">
      <w:pPr>
        <w:widowControl w:val="0"/>
        <w:suppressAutoHyphens/>
        <w:spacing w:line="276" w:lineRule="auto"/>
        <w:jc w:val="both"/>
        <w:rPr>
          <w:b/>
          <w:bCs/>
          <w:i/>
          <w:lang w:bidi="hr-HR"/>
        </w:rPr>
      </w:pPr>
    </w:p>
    <w:p w14:paraId="7C2CF686" w14:textId="72FD1EE2" w:rsidR="00C86923" w:rsidRPr="00073FB5" w:rsidRDefault="00C86923" w:rsidP="00073FB5">
      <w:pPr>
        <w:widowControl w:val="0"/>
        <w:suppressAutoHyphens/>
        <w:spacing w:line="276" w:lineRule="auto"/>
        <w:jc w:val="both"/>
        <w:rPr>
          <w:rFonts w:eastAsia="Droid Sans Fallback"/>
          <w:kern w:val="1"/>
          <w:szCs w:val="24"/>
          <w:lang w:eastAsia="zh-CN" w:bidi="hi-IN"/>
        </w:rPr>
      </w:pPr>
      <w:r w:rsidRPr="00073FB5">
        <w:rPr>
          <w:rFonts w:eastAsia="Droid Sans Fallback"/>
          <w:kern w:val="1"/>
          <w:szCs w:val="24"/>
          <w:lang w:eastAsia="zh-CN" w:bidi="hi-IN"/>
        </w:rPr>
        <w:t>Savjet</w:t>
      </w:r>
      <w:r w:rsidR="003379F1">
        <w:rPr>
          <w:rFonts w:eastAsia="Droid Sans Fallback"/>
          <w:kern w:val="1"/>
          <w:szCs w:val="24"/>
          <w:lang w:eastAsia="zh-CN" w:bidi="hi-IN"/>
        </w:rPr>
        <w:t xml:space="preserve"> </w:t>
      </w:r>
      <w:r w:rsidR="003379F1" w:rsidRPr="00073FB5">
        <w:rPr>
          <w:rFonts w:cs="Times New Roman"/>
          <w:szCs w:val="24"/>
        </w:rPr>
        <w:t>za nacionalne manjine</w:t>
      </w:r>
      <w:r w:rsidRPr="00073FB5">
        <w:rPr>
          <w:rFonts w:eastAsia="Droid Sans Fallback"/>
          <w:kern w:val="1"/>
          <w:szCs w:val="24"/>
          <w:lang w:eastAsia="zh-CN" w:bidi="hi-IN"/>
        </w:rPr>
        <w:t xml:space="preserve"> temeljem odredbi članka 13. Kriterija i metodologije financira programe usuglašene s tijelima državne vlasti te </w:t>
      </w:r>
      <w:r w:rsidR="00FE7B55">
        <w:rPr>
          <w:rFonts w:eastAsia="Droid Sans Fallback"/>
          <w:kern w:val="1"/>
          <w:szCs w:val="24"/>
          <w:lang w:eastAsia="zh-CN" w:bidi="hi-IN"/>
        </w:rPr>
        <w:t>JLP(R)S</w:t>
      </w:r>
      <w:r w:rsidRPr="00073FB5">
        <w:rPr>
          <w:rFonts w:eastAsia="Droid Sans Fallback"/>
          <w:kern w:val="1"/>
          <w:szCs w:val="24"/>
          <w:lang w:eastAsia="zh-CN" w:bidi="hi-IN"/>
        </w:rPr>
        <w:t xml:space="preserve"> kojima se stvaraju materijalne pretpostavke za ostvarivanje kulturne autonomije nacionalnih manjina kroz pomoć u održavanju ili izgradnji domova kulture, nabavi opreme i stvaranju prostornih i drugih uvjeta za djelovanje udruga i ustanova. Sukladno Odluci o rasporedu sredstava koja se u Državnom proračunu Republike Hrvatske osiguravaju za potrebe nacionalnih manjina u 2024. godini, za stvaranje pretpostavki za ostvarivanje kulturne autonomije romske nacionalne manjine osigurano je </w:t>
      </w:r>
      <w:r w:rsidRPr="00073FB5">
        <w:rPr>
          <w:szCs w:val="24"/>
        </w:rPr>
        <w:t>265.446</w:t>
      </w:r>
      <w:r w:rsidRPr="00073FB5">
        <w:rPr>
          <w:rFonts w:eastAsia="Droid Sans Fallback"/>
          <w:kern w:val="1"/>
          <w:szCs w:val="24"/>
          <w:lang w:eastAsia="zh-CN" w:bidi="hi-IN"/>
        </w:rPr>
        <w:t xml:space="preserve"> EUR.</w:t>
      </w:r>
    </w:p>
    <w:p w14:paraId="63FA72A8" w14:textId="7396BADC" w:rsidR="00C86923" w:rsidRPr="00073FB5" w:rsidRDefault="00C86923" w:rsidP="00073FB5">
      <w:pPr>
        <w:spacing w:line="276" w:lineRule="auto"/>
        <w:jc w:val="both"/>
        <w:rPr>
          <w:szCs w:val="24"/>
        </w:rPr>
      </w:pPr>
      <w:bookmarkStart w:id="33" w:name="_Hlk189145771"/>
      <w:r w:rsidRPr="00073FB5">
        <w:rPr>
          <w:szCs w:val="24"/>
        </w:rPr>
        <w:t xml:space="preserve">Sredstva iz Državnog proračuna Republike Hrvatske za 2024. </w:t>
      </w:r>
      <w:r w:rsidR="001A749E">
        <w:rPr>
          <w:szCs w:val="24"/>
        </w:rPr>
        <w:t xml:space="preserve">godinu </w:t>
      </w:r>
      <w:r w:rsidRPr="00073FB5">
        <w:rPr>
          <w:szCs w:val="24"/>
        </w:rPr>
        <w:t xml:space="preserve">i projekcija za 2025. i 2026. </w:t>
      </w:r>
      <w:r w:rsidR="001A749E">
        <w:rPr>
          <w:szCs w:val="24"/>
        </w:rPr>
        <w:t xml:space="preserve">godinu </w:t>
      </w:r>
      <w:r w:rsidRPr="00073FB5">
        <w:rPr>
          <w:szCs w:val="24"/>
        </w:rPr>
        <w:t xml:space="preserve">(„Narodne novine“, </w:t>
      </w:r>
      <w:r w:rsidR="003379F1">
        <w:rPr>
          <w:szCs w:val="24"/>
        </w:rPr>
        <w:t>br</w:t>
      </w:r>
      <w:r w:rsidR="001A749E">
        <w:rPr>
          <w:szCs w:val="24"/>
        </w:rPr>
        <w:t>oj</w:t>
      </w:r>
      <w:r w:rsidR="003379F1" w:rsidRPr="00073FB5">
        <w:rPr>
          <w:szCs w:val="24"/>
        </w:rPr>
        <w:t xml:space="preserve"> </w:t>
      </w:r>
      <w:r w:rsidRPr="00073FB5">
        <w:rPr>
          <w:szCs w:val="24"/>
        </w:rPr>
        <w:t>149/23</w:t>
      </w:r>
      <w:r w:rsidR="003379F1">
        <w:rPr>
          <w:szCs w:val="24"/>
        </w:rPr>
        <w:t>.</w:t>
      </w:r>
      <w:r w:rsidRPr="00073FB5">
        <w:rPr>
          <w:szCs w:val="24"/>
        </w:rPr>
        <w:t xml:space="preserve">), osigurana u razdjelu 020 Vlada Republike Hrvatske, glava 02021 Stručna služba Savjeta za nacionalne manjine, aktivnost A732003 Potpore za programe ostvarivanja kulturne autonomije nacionalnih manjina, podskupine računa 363 Pomoći unutar općeg proračuna, u iznosu od 265.446 EUR, raspoređuju se za programe </w:t>
      </w:r>
      <w:r w:rsidRPr="00073FB5">
        <w:rPr>
          <w:szCs w:val="24"/>
        </w:rPr>
        <w:lastRenderedPageBreak/>
        <w:t xml:space="preserve">stvaranja materijalnih pretpostavki za ostvarivanje kulturne autonomije romske nacionalne manjine te se dodjeljuju, sukladno podnesenim zamolbama, </w:t>
      </w:r>
      <w:r w:rsidR="00FE7B55">
        <w:rPr>
          <w:szCs w:val="24"/>
        </w:rPr>
        <w:t>JLP(R)S</w:t>
      </w:r>
      <w:r w:rsidRPr="00073FB5">
        <w:rPr>
          <w:szCs w:val="24"/>
        </w:rPr>
        <w:t xml:space="preserve"> kao jednokratna pomoć.</w:t>
      </w:r>
    </w:p>
    <w:p w14:paraId="5C4BFF09" w14:textId="788B8660" w:rsidR="00C86923" w:rsidRPr="00073FB5" w:rsidRDefault="00C86923" w:rsidP="00073FB5">
      <w:pPr>
        <w:spacing w:line="276" w:lineRule="auto"/>
        <w:jc w:val="both"/>
        <w:rPr>
          <w:szCs w:val="24"/>
        </w:rPr>
      </w:pPr>
      <w:r w:rsidRPr="00073FB5">
        <w:rPr>
          <w:szCs w:val="24"/>
        </w:rPr>
        <w:t>Na temelju Nacionalnog plana, pratećeg Akcijskog plana i Odluke o rasporedu sredstava koja se u Državnom proračunu Republike Hrvatske osiguravaju za potrebe nacionalnih manjina u 2024. godini, Savjet</w:t>
      </w:r>
      <w:r w:rsidR="002F7831">
        <w:rPr>
          <w:szCs w:val="24"/>
        </w:rPr>
        <w:t xml:space="preserve"> </w:t>
      </w:r>
      <w:r w:rsidR="003379F1" w:rsidRPr="00073FB5">
        <w:rPr>
          <w:rFonts w:cs="Times New Roman"/>
          <w:szCs w:val="24"/>
        </w:rPr>
        <w:t xml:space="preserve">za nacionalne manjine </w:t>
      </w:r>
      <w:r w:rsidRPr="00073FB5">
        <w:rPr>
          <w:szCs w:val="24"/>
        </w:rPr>
        <w:t xml:space="preserve">je na 106. sjednici održanoj 19. travnja 2024., </w:t>
      </w:r>
      <w:r w:rsidRPr="00073FB5">
        <w:rPr>
          <w:rFonts w:eastAsia="Droid Sans Fallback"/>
          <w:kern w:val="1"/>
          <w:szCs w:val="24"/>
          <w:lang w:eastAsia="zh-CN" w:bidi="hi-IN"/>
        </w:rPr>
        <w:t xml:space="preserve">na temelju članka 36. stavka 10., a u vezi s člankom 35. stavkom 4. Ustavnog zakona o pravima nacionalnih manjina i člankom 13. Kriterija i metodologije, donio Odluku o raspodjeli sredstava za programe stvaranja materijalnih pretpostavki za ostvarivanje kulturne autonomije romske nacionalne manjine. Temeljem te odluke dodijeljena su sredstva u ukupnom iznosu od </w:t>
      </w:r>
      <w:r w:rsidRPr="00073FB5">
        <w:rPr>
          <w:szCs w:val="24"/>
        </w:rPr>
        <w:t>265.446</w:t>
      </w:r>
      <w:r w:rsidRPr="00073FB5">
        <w:rPr>
          <w:rFonts w:eastAsia="Droid Sans Fallback"/>
          <w:kern w:val="1"/>
          <w:szCs w:val="24"/>
          <w:lang w:eastAsia="zh-CN" w:bidi="hi-IN"/>
        </w:rPr>
        <w:t xml:space="preserve"> EUR sljedećim </w:t>
      </w:r>
      <w:r w:rsidR="00FE7B55">
        <w:rPr>
          <w:rFonts w:eastAsia="Droid Sans Fallback"/>
          <w:kern w:val="1"/>
          <w:szCs w:val="24"/>
          <w:lang w:eastAsia="zh-CN" w:bidi="hi-IN"/>
        </w:rPr>
        <w:t>JLP(R)S</w:t>
      </w:r>
      <w:r w:rsidRPr="00073FB5">
        <w:rPr>
          <w:rFonts w:eastAsia="Droid Sans Fallback"/>
          <w:kern w:val="1"/>
          <w:szCs w:val="24"/>
          <w:lang w:eastAsia="zh-CN" w:bidi="hi-IN"/>
        </w:rPr>
        <w:t xml:space="preserve"> kao jednokratna pomoć:</w:t>
      </w:r>
    </w:p>
    <w:p w14:paraId="460B28B7" w14:textId="77777777" w:rsidR="00C86923" w:rsidRPr="00073FB5" w:rsidRDefault="00C86923" w:rsidP="00073FB5">
      <w:pPr>
        <w:pStyle w:val="ListParagraph"/>
        <w:numPr>
          <w:ilvl w:val="0"/>
          <w:numId w:val="32"/>
        </w:numPr>
        <w:spacing w:line="276" w:lineRule="auto"/>
        <w:jc w:val="both"/>
      </w:pPr>
      <w:r w:rsidRPr="00073FB5">
        <w:t>Općini Nedelišće iznos od 132.723 EUR za sufinanciranje nastavka izgradnje Doma kulture Parag, na lokaciji k.č.br. 1509/18, dio 1510/1 i dio 1509/19, k.o. Trnovec,</w:t>
      </w:r>
    </w:p>
    <w:p w14:paraId="3525BDD6" w14:textId="77777777" w:rsidR="00C86923" w:rsidRPr="00073FB5" w:rsidRDefault="00C86923" w:rsidP="00073FB5">
      <w:pPr>
        <w:pStyle w:val="ListParagraph"/>
        <w:numPr>
          <w:ilvl w:val="0"/>
          <w:numId w:val="32"/>
        </w:numPr>
        <w:spacing w:line="276" w:lineRule="auto"/>
        <w:jc w:val="both"/>
      </w:pPr>
      <w:r w:rsidRPr="00073FB5">
        <w:t>Gradu Mursko Središće iznos od 132.723 EUR za sufinanciranje izgradnje građevine javne i društvene namjene Romskog multikulturalnog centra Sitnice, 2. skupine na građevinskoj čestici k.č.br.6014/30 k.o. Zebanec koja će se formirati od dijela k.č.br. 6014/30 k.o. Zebanec, Mursko Središće, Sitnice 62.</w:t>
      </w:r>
    </w:p>
    <w:bookmarkEnd w:id="33"/>
    <w:p w14:paraId="79E7CD1D" w14:textId="3BC29C39" w:rsidR="00C86923" w:rsidRPr="00073FB5" w:rsidRDefault="00C86923" w:rsidP="00073FB5">
      <w:pPr>
        <w:widowControl w:val="0"/>
        <w:tabs>
          <w:tab w:val="left" w:pos="29"/>
          <w:tab w:val="left" w:pos="264"/>
        </w:tabs>
        <w:spacing w:after="0" w:line="276" w:lineRule="auto"/>
        <w:jc w:val="both"/>
        <w:rPr>
          <w:rFonts w:eastAsia="Droid Sans Fallback"/>
          <w:kern w:val="1"/>
          <w:szCs w:val="24"/>
          <w:lang w:eastAsia="zh-CN" w:bidi="hi-IN"/>
        </w:rPr>
      </w:pPr>
      <w:r w:rsidRPr="00073FB5">
        <w:rPr>
          <w:rFonts w:eastAsia="Droid Sans Fallback"/>
          <w:kern w:val="1"/>
          <w:szCs w:val="24"/>
          <w:lang w:eastAsia="zh-CN" w:bidi="hi-IN"/>
        </w:rPr>
        <w:t>Savjet</w:t>
      </w:r>
      <w:r w:rsidR="002F7831">
        <w:rPr>
          <w:rFonts w:eastAsia="Droid Sans Fallback"/>
          <w:kern w:val="1"/>
          <w:szCs w:val="24"/>
          <w:lang w:eastAsia="zh-CN" w:bidi="hi-IN"/>
        </w:rPr>
        <w:t xml:space="preserve"> </w:t>
      </w:r>
      <w:r w:rsidR="003379F1" w:rsidRPr="00073FB5">
        <w:rPr>
          <w:rFonts w:cs="Times New Roman"/>
          <w:szCs w:val="24"/>
        </w:rPr>
        <w:t xml:space="preserve">za nacionalne manjine </w:t>
      </w:r>
      <w:r w:rsidRPr="00073FB5">
        <w:rPr>
          <w:rFonts w:eastAsia="Droid Sans Fallback"/>
          <w:kern w:val="1"/>
          <w:szCs w:val="24"/>
          <w:lang w:eastAsia="zh-CN" w:bidi="hi-IN"/>
        </w:rPr>
        <w:t xml:space="preserve">je sklopio s obje (2) </w:t>
      </w:r>
      <w:r w:rsidR="00026107">
        <w:rPr>
          <w:rFonts w:eastAsia="Droid Sans Fallback"/>
          <w:kern w:val="1"/>
          <w:szCs w:val="24"/>
          <w:lang w:eastAsia="zh-CN" w:bidi="hi-IN"/>
        </w:rPr>
        <w:t>JLP(R)S</w:t>
      </w:r>
      <w:r w:rsidRPr="00073FB5">
        <w:rPr>
          <w:rFonts w:eastAsia="Droid Sans Fallback"/>
          <w:kern w:val="1"/>
          <w:szCs w:val="24"/>
          <w:lang w:eastAsia="zh-CN" w:bidi="hi-IN"/>
        </w:rPr>
        <w:t xml:space="preserve"> ugovore o jednokratnoj financijskoj pomoći iz sredstava Državnog proračuna za 2024. godinu, za programe stvaranja materijalnih pretpostavki za ostvarivanje kulturne autonomije romske nacionalne manjine. U tijeku je izvještajno razdoblje za podnošenje izvješća jedinica o provedbi projekta i dostignutim fazama izgradnje tijekom 2024</w:t>
      </w:r>
      <w:r w:rsidR="001A749E">
        <w:rPr>
          <w:rFonts w:eastAsia="Droid Sans Fallback"/>
          <w:kern w:val="1"/>
          <w:szCs w:val="24"/>
          <w:lang w:eastAsia="zh-CN" w:bidi="hi-IN"/>
        </w:rPr>
        <w:t>. godine.</w:t>
      </w:r>
    </w:p>
    <w:p w14:paraId="23260371" w14:textId="0DE6C0B6" w:rsidR="00C86923" w:rsidRPr="00073FB5" w:rsidRDefault="00C86923" w:rsidP="00073FB5">
      <w:pPr>
        <w:widowControl w:val="0"/>
        <w:tabs>
          <w:tab w:val="left" w:pos="29"/>
          <w:tab w:val="left" w:pos="264"/>
        </w:tabs>
        <w:spacing w:after="0" w:line="276" w:lineRule="auto"/>
        <w:jc w:val="both"/>
        <w:rPr>
          <w:bCs/>
          <w:szCs w:val="24"/>
        </w:rPr>
      </w:pPr>
      <w:r w:rsidRPr="00073FB5">
        <w:rPr>
          <w:bCs/>
          <w:szCs w:val="24"/>
        </w:rPr>
        <w:t>U Državnom proračunu za 2024.</w:t>
      </w:r>
      <w:r w:rsidR="001A749E">
        <w:rPr>
          <w:bCs/>
          <w:szCs w:val="24"/>
        </w:rPr>
        <w:t xml:space="preserve"> godinu</w:t>
      </w:r>
      <w:r w:rsidRPr="00073FB5">
        <w:rPr>
          <w:bCs/>
          <w:szCs w:val="24"/>
        </w:rPr>
        <w:t xml:space="preserve"> predviđeno je 265.446 EUR za programe stvaranja materijalnih pretpostavki za ostvarivanje kulturne autonomije romske nacionalne manjine dok je u 2023. </w:t>
      </w:r>
      <w:r w:rsidR="001A749E">
        <w:rPr>
          <w:color w:val="000000"/>
        </w:rPr>
        <w:t xml:space="preserve">godini </w:t>
      </w:r>
      <w:r w:rsidRPr="00073FB5">
        <w:rPr>
          <w:bCs/>
          <w:szCs w:val="24"/>
        </w:rPr>
        <w:t>bilo osigurano 188.466 EUR.</w:t>
      </w:r>
    </w:p>
    <w:p w14:paraId="0CFCDC1A" w14:textId="77777777" w:rsidR="00073FB5" w:rsidRPr="000470E7" w:rsidRDefault="00073FB5" w:rsidP="00073FB5">
      <w:pPr>
        <w:widowControl w:val="0"/>
        <w:tabs>
          <w:tab w:val="left" w:pos="29"/>
          <w:tab w:val="left" w:pos="264"/>
        </w:tabs>
        <w:spacing w:after="0" w:line="276" w:lineRule="auto"/>
        <w:jc w:val="both"/>
        <w:rPr>
          <w:szCs w:val="24"/>
        </w:rPr>
      </w:pPr>
    </w:p>
    <w:p w14:paraId="5552C8CE" w14:textId="1DFEE0E3" w:rsidR="00C86923" w:rsidRPr="000470E7" w:rsidRDefault="00C86923" w:rsidP="00073FB5">
      <w:pPr>
        <w:widowControl w:val="0"/>
        <w:tabs>
          <w:tab w:val="left" w:pos="29"/>
          <w:tab w:val="left" w:pos="264"/>
        </w:tabs>
        <w:spacing w:after="0" w:line="276" w:lineRule="auto"/>
        <w:jc w:val="both"/>
        <w:rPr>
          <w:bCs/>
          <w:szCs w:val="24"/>
        </w:rPr>
      </w:pPr>
      <w:r w:rsidRPr="000470E7">
        <w:rPr>
          <w:szCs w:val="24"/>
        </w:rPr>
        <w:t xml:space="preserve">Zaključno </w:t>
      </w:r>
      <w:r w:rsidRPr="000470E7">
        <w:rPr>
          <w:bCs/>
          <w:szCs w:val="24"/>
        </w:rPr>
        <w:t xml:space="preserve">se navodi kako su u 2024. </w:t>
      </w:r>
      <w:r w:rsidR="001A749E">
        <w:rPr>
          <w:color w:val="000000"/>
        </w:rPr>
        <w:t xml:space="preserve">godini </w:t>
      </w:r>
      <w:r w:rsidRPr="000470E7">
        <w:rPr>
          <w:bCs/>
          <w:szCs w:val="24"/>
        </w:rPr>
        <w:t xml:space="preserve">i sredstva povećana za </w:t>
      </w:r>
      <w:r w:rsidRPr="000470E7">
        <w:rPr>
          <w:szCs w:val="24"/>
        </w:rPr>
        <w:t>40,8 %</w:t>
      </w:r>
      <w:r w:rsidRPr="000470E7">
        <w:rPr>
          <w:bCs/>
          <w:szCs w:val="24"/>
        </w:rPr>
        <w:t xml:space="preserve"> u odnosu na 2023. </w:t>
      </w:r>
      <w:r w:rsidR="001A749E">
        <w:rPr>
          <w:color w:val="000000"/>
        </w:rPr>
        <w:t>godinu.</w:t>
      </w:r>
    </w:p>
    <w:p w14:paraId="08C0F060" w14:textId="77777777" w:rsidR="00C86923" w:rsidRPr="00073FB5" w:rsidRDefault="00C86923" w:rsidP="00073FB5">
      <w:pPr>
        <w:widowControl w:val="0"/>
        <w:tabs>
          <w:tab w:val="left" w:pos="29"/>
          <w:tab w:val="left" w:pos="264"/>
        </w:tabs>
        <w:spacing w:after="0" w:line="276" w:lineRule="auto"/>
        <w:jc w:val="both"/>
        <w:rPr>
          <w:rFonts w:eastAsia="Droid Sans Fallback"/>
          <w:kern w:val="1"/>
          <w:szCs w:val="24"/>
          <w:lang w:eastAsia="zh-CN" w:bidi="hi-IN"/>
        </w:rPr>
      </w:pPr>
    </w:p>
    <w:tbl>
      <w:tblPr>
        <w:tblStyle w:val="TableGrid"/>
        <w:tblW w:w="5000" w:type="pct"/>
        <w:tblLook w:val="04A0" w:firstRow="1" w:lastRow="0" w:firstColumn="1" w:lastColumn="0" w:noHBand="0" w:noVBand="1"/>
      </w:tblPr>
      <w:tblGrid>
        <w:gridCol w:w="2795"/>
        <w:gridCol w:w="2240"/>
        <w:gridCol w:w="2191"/>
        <w:gridCol w:w="1836"/>
      </w:tblGrid>
      <w:tr w:rsidR="00CE622A" w:rsidRPr="00CE622A" w14:paraId="43F44438" w14:textId="77777777" w:rsidTr="00073FB5">
        <w:tc>
          <w:tcPr>
            <w:tcW w:w="1542" w:type="pct"/>
            <w:shd w:val="clear" w:color="auto" w:fill="F2F2F2" w:themeFill="background1" w:themeFillShade="F2"/>
            <w:vAlign w:val="center"/>
          </w:tcPr>
          <w:p w14:paraId="455F56AF" w14:textId="5FB9B6B7" w:rsidR="00CF0F0C" w:rsidRPr="00FC64BF" w:rsidRDefault="00B510B5" w:rsidP="00D36147">
            <w:pPr>
              <w:spacing w:line="276" w:lineRule="auto"/>
              <w:rPr>
                <w:rFonts w:cs="Times New Roman"/>
                <w:b/>
                <w:sz w:val="18"/>
                <w:szCs w:val="18"/>
              </w:rPr>
            </w:pPr>
            <w:r w:rsidRPr="00FC64BF">
              <w:rPr>
                <w:rFonts w:cs="Times New Roman"/>
                <w:b/>
                <w:sz w:val="18"/>
                <w:szCs w:val="18"/>
              </w:rPr>
              <w:t>Pokazatelji provedbe i pokazatelji uspješnosti provedbe</w:t>
            </w:r>
          </w:p>
        </w:tc>
        <w:tc>
          <w:tcPr>
            <w:tcW w:w="1236" w:type="pct"/>
            <w:shd w:val="clear" w:color="auto" w:fill="F2F2F2" w:themeFill="background1" w:themeFillShade="F2"/>
            <w:vAlign w:val="center"/>
          </w:tcPr>
          <w:p w14:paraId="02547611" w14:textId="77777777" w:rsidR="00CF0F0C" w:rsidRPr="00FC64BF" w:rsidRDefault="00CF0F0C" w:rsidP="00D36147">
            <w:pPr>
              <w:spacing w:line="276" w:lineRule="auto"/>
              <w:jc w:val="center"/>
              <w:rPr>
                <w:rFonts w:cs="Times New Roman"/>
                <w:b/>
                <w:sz w:val="18"/>
                <w:szCs w:val="18"/>
              </w:rPr>
            </w:pPr>
            <w:r w:rsidRPr="00FC64BF">
              <w:rPr>
                <w:rFonts w:cs="Times New Roman"/>
                <w:b/>
                <w:sz w:val="18"/>
                <w:szCs w:val="18"/>
              </w:rPr>
              <w:t>Ugovori s jedinicama</w:t>
            </w:r>
          </w:p>
          <w:p w14:paraId="7D4223DE" w14:textId="77777777" w:rsidR="00CF0F0C" w:rsidRPr="00FC64BF" w:rsidRDefault="00CF0F0C" w:rsidP="00D36147">
            <w:pPr>
              <w:spacing w:line="276" w:lineRule="auto"/>
              <w:jc w:val="center"/>
              <w:rPr>
                <w:rFonts w:cs="Times New Roman"/>
                <w:b/>
                <w:sz w:val="18"/>
                <w:szCs w:val="18"/>
              </w:rPr>
            </w:pPr>
            <w:r w:rsidRPr="00FC64BF">
              <w:rPr>
                <w:rFonts w:cs="Times New Roman"/>
                <w:b/>
                <w:sz w:val="18"/>
                <w:szCs w:val="18"/>
              </w:rPr>
              <w:t>lokalne i područne</w:t>
            </w:r>
          </w:p>
          <w:p w14:paraId="758D63C5" w14:textId="6D66F69B" w:rsidR="00CF0F0C" w:rsidRPr="00FC64BF" w:rsidRDefault="00CF0F0C" w:rsidP="00D36147">
            <w:pPr>
              <w:spacing w:line="276" w:lineRule="auto"/>
              <w:jc w:val="center"/>
              <w:rPr>
                <w:rFonts w:cs="Times New Roman"/>
                <w:b/>
                <w:sz w:val="18"/>
                <w:szCs w:val="18"/>
              </w:rPr>
            </w:pPr>
            <w:r w:rsidRPr="00FC64BF">
              <w:rPr>
                <w:rFonts w:cs="Times New Roman"/>
                <w:b/>
                <w:sz w:val="18"/>
                <w:szCs w:val="18"/>
              </w:rPr>
              <w:t>(regionalne) samouprave</w:t>
            </w:r>
          </w:p>
        </w:tc>
        <w:tc>
          <w:tcPr>
            <w:tcW w:w="1209" w:type="pct"/>
            <w:shd w:val="clear" w:color="auto" w:fill="F2F2F2" w:themeFill="background1" w:themeFillShade="F2"/>
            <w:vAlign w:val="center"/>
          </w:tcPr>
          <w:p w14:paraId="4C39617F" w14:textId="1EA0C266" w:rsidR="00CF0F0C" w:rsidRPr="00FC64BF" w:rsidRDefault="00CF0F0C" w:rsidP="00A75D55">
            <w:pPr>
              <w:spacing w:line="276" w:lineRule="auto"/>
              <w:jc w:val="center"/>
              <w:rPr>
                <w:rFonts w:cs="Times New Roman"/>
                <w:b/>
                <w:sz w:val="18"/>
                <w:szCs w:val="18"/>
              </w:rPr>
            </w:pPr>
            <w:r w:rsidRPr="00FC64BF">
              <w:rPr>
                <w:rFonts w:cs="Times New Roman"/>
                <w:b/>
                <w:sz w:val="18"/>
                <w:szCs w:val="18"/>
              </w:rPr>
              <w:t>Broj sufinanciranih</w:t>
            </w:r>
            <w:r w:rsidR="00A75D55" w:rsidRPr="00FC64BF">
              <w:rPr>
                <w:rFonts w:cs="Times New Roman"/>
                <w:b/>
                <w:sz w:val="18"/>
                <w:szCs w:val="18"/>
              </w:rPr>
              <w:t xml:space="preserve"> </w:t>
            </w:r>
            <w:r w:rsidRPr="00FC64BF">
              <w:rPr>
                <w:rFonts w:cs="Times New Roman"/>
                <w:b/>
                <w:sz w:val="18"/>
                <w:szCs w:val="18"/>
              </w:rPr>
              <w:t>programa romske</w:t>
            </w:r>
            <w:r w:rsidR="00A75D55" w:rsidRPr="00FC64BF">
              <w:rPr>
                <w:rFonts w:cs="Times New Roman"/>
                <w:b/>
                <w:sz w:val="18"/>
                <w:szCs w:val="18"/>
              </w:rPr>
              <w:t xml:space="preserve"> </w:t>
            </w:r>
            <w:r w:rsidRPr="00FC64BF">
              <w:rPr>
                <w:rFonts w:cs="Times New Roman"/>
                <w:b/>
                <w:sz w:val="18"/>
                <w:szCs w:val="18"/>
              </w:rPr>
              <w:t>nacionalne manjine</w:t>
            </w:r>
          </w:p>
        </w:tc>
        <w:tc>
          <w:tcPr>
            <w:tcW w:w="1013" w:type="pct"/>
            <w:shd w:val="clear" w:color="auto" w:fill="F2F2F2" w:themeFill="background1" w:themeFillShade="F2"/>
            <w:vAlign w:val="center"/>
          </w:tcPr>
          <w:p w14:paraId="4EF154C5" w14:textId="33B6FCCE" w:rsidR="00CF0F0C" w:rsidRPr="00FC64BF" w:rsidRDefault="00CF0F0C" w:rsidP="00A75D55">
            <w:pPr>
              <w:spacing w:line="276" w:lineRule="auto"/>
              <w:jc w:val="center"/>
              <w:rPr>
                <w:rFonts w:cs="Times New Roman"/>
                <w:b/>
                <w:sz w:val="18"/>
                <w:szCs w:val="18"/>
              </w:rPr>
            </w:pPr>
          </w:p>
        </w:tc>
      </w:tr>
      <w:tr w:rsidR="00CE622A" w:rsidRPr="00CE622A" w14:paraId="087314B7" w14:textId="77777777" w:rsidTr="00073FB5">
        <w:tc>
          <w:tcPr>
            <w:tcW w:w="1542" w:type="pct"/>
            <w:shd w:val="clear" w:color="auto" w:fill="F2F2F2" w:themeFill="background1" w:themeFillShade="F2"/>
            <w:vAlign w:val="center"/>
          </w:tcPr>
          <w:p w14:paraId="0CE9F389" w14:textId="33BDE998" w:rsidR="00CF0F0C" w:rsidRPr="00FC64BF" w:rsidRDefault="00CF0F0C" w:rsidP="009B1CEB">
            <w:pPr>
              <w:spacing w:line="276" w:lineRule="auto"/>
              <w:rPr>
                <w:rFonts w:cs="Times New Roman"/>
                <w:sz w:val="18"/>
                <w:szCs w:val="18"/>
              </w:rPr>
            </w:pPr>
            <w:r w:rsidRPr="00FC64BF">
              <w:rPr>
                <w:rFonts w:cs="Times New Roman"/>
                <w:sz w:val="18"/>
                <w:szCs w:val="18"/>
              </w:rPr>
              <w:t>Planirani ishodi za pokazatelje provedbe u 202</w:t>
            </w:r>
            <w:r w:rsidR="00F648FF" w:rsidRPr="00FC64BF">
              <w:rPr>
                <w:rFonts w:cs="Times New Roman"/>
                <w:sz w:val="18"/>
                <w:szCs w:val="18"/>
              </w:rPr>
              <w:t>4</w:t>
            </w:r>
            <w:r w:rsidRPr="00FC64BF">
              <w:rPr>
                <w:rFonts w:cs="Times New Roman"/>
                <w:sz w:val="18"/>
                <w:szCs w:val="18"/>
              </w:rPr>
              <w:t xml:space="preserve">. </w:t>
            </w:r>
          </w:p>
        </w:tc>
        <w:tc>
          <w:tcPr>
            <w:tcW w:w="1236" w:type="pct"/>
            <w:vAlign w:val="center"/>
          </w:tcPr>
          <w:p w14:paraId="0630846C" w14:textId="2D587ACC" w:rsidR="00CF0F0C" w:rsidRPr="00FC64BF" w:rsidRDefault="00F648FF" w:rsidP="00D36147">
            <w:pPr>
              <w:spacing w:line="276" w:lineRule="auto"/>
              <w:jc w:val="center"/>
              <w:rPr>
                <w:rFonts w:cs="Times New Roman"/>
                <w:sz w:val="18"/>
                <w:szCs w:val="18"/>
              </w:rPr>
            </w:pPr>
            <w:r>
              <w:rPr>
                <w:rFonts w:cs="Times New Roman"/>
                <w:sz w:val="18"/>
                <w:szCs w:val="18"/>
              </w:rPr>
              <w:t>2</w:t>
            </w:r>
          </w:p>
        </w:tc>
        <w:tc>
          <w:tcPr>
            <w:tcW w:w="1209" w:type="pct"/>
            <w:vAlign w:val="center"/>
          </w:tcPr>
          <w:p w14:paraId="0E54D8D0" w14:textId="366BB8B4" w:rsidR="00CF0F0C" w:rsidRPr="00FC64BF" w:rsidRDefault="00CF0F0C">
            <w:pPr>
              <w:spacing w:line="276" w:lineRule="auto"/>
              <w:jc w:val="center"/>
              <w:rPr>
                <w:rFonts w:cs="Times New Roman"/>
                <w:sz w:val="18"/>
                <w:szCs w:val="18"/>
              </w:rPr>
            </w:pPr>
            <w:r w:rsidRPr="00FC64BF">
              <w:rPr>
                <w:rFonts w:cs="Times New Roman"/>
                <w:sz w:val="18"/>
                <w:szCs w:val="18"/>
              </w:rPr>
              <w:t>2</w:t>
            </w:r>
            <w:r w:rsidR="00F648FF">
              <w:rPr>
                <w:rFonts w:cs="Times New Roman"/>
                <w:sz w:val="18"/>
                <w:szCs w:val="18"/>
              </w:rPr>
              <w:t>7</w:t>
            </w:r>
          </w:p>
        </w:tc>
        <w:tc>
          <w:tcPr>
            <w:tcW w:w="1013" w:type="pct"/>
            <w:vAlign w:val="center"/>
          </w:tcPr>
          <w:p w14:paraId="680E522A" w14:textId="77777777" w:rsidR="00CF0F0C" w:rsidRPr="00FC64BF" w:rsidRDefault="00CF0F0C" w:rsidP="00D36147">
            <w:pPr>
              <w:spacing w:line="276" w:lineRule="auto"/>
              <w:jc w:val="center"/>
              <w:rPr>
                <w:rFonts w:cs="Times New Roman"/>
                <w:sz w:val="18"/>
                <w:szCs w:val="18"/>
              </w:rPr>
            </w:pPr>
          </w:p>
        </w:tc>
      </w:tr>
      <w:tr w:rsidR="00CE622A" w:rsidRPr="00CE622A" w14:paraId="6BE49DEC" w14:textId="77777777" w:rsidTr="00073FB5">
        <w:tc>
          <w:tcPr>
            <w:tcW w:w="1542" w:type="pct"/>
            <w:shd w:val="clear" w:color="auto" w:fill="F2F2F2" w:themeFill="background1" w:themeFillShade="F2"/>
            <w:vAlign w:val="center"/>
          </w:tcPr>
          <w:p w14:paraId="41EE62D5" w14:textId="17B7325B" w:rsidR="00CF0F0C" w:rsidRPr="00FC64BF" w:rsidRDefault="00CF0F0C" w:rsidP="009B1CEB">
            <w:pPr>
              <w:spacing w:line="276" w:lineRule="auto"/>
              <w:rPr>
                <w:rFonts w:cs="Times New Roman"/>
                <w:sz w:val="18"/>
                <w:szCs w:val="18"/>
              </w:rPr>
            </w:pPr>
            <w:r w:rsidRPr="00FC64BF">
              <w:rPr>
                <w:rFonts w:cs="Times New Roman"/>
                <w:sz w:val="18"/>
                <w:szCs w:val="18"/>
              </w:rPr>
              <w:t>Ostvareni ishodi za pokazatelje provedbe u 202</w:t>
            </w:r>
            <w:r w:rsidR="00F648FF" w:rsidRPr="00FC64BF">
              <w:rPr>
                <w:rFonts w:cs="Times New Roman"/>
                <w:sz w:val="18"/>
                <w:szCs w:val="18"/>
              </w:rPr>
              <w:t>4</w:t>
            </w:r>
            <w:r w:rsidRPr="00FC64BF">
              <w:rPr>
                <w:rFonts w:cs="Times New Roman"/>
                <w:sz w:val="18"/>
                <w:szCs w:val="18"/>
              </w:rPr>
              <w:t>.</w:t>
            </w:r>
          </w:p>
        </w:tc>
        <w:tc>
          <w:tcPr>
            <w:tcW w:w="1236" w:type="pct"/>
            <w:vAlign w:val="center"/>
          </w:tcPr>
          <w:p w14:paraId="7152619D" w14:textId="3B928B59" w:rsidR="00CF0F0C" w:rsidRPr="00FC64BF" w:rsidRDefault="00CF0F0C" w:rsidP="00D36147">
            <w:pPr>
              <w:spacing w:line="276" w:lineRule="auto"/>
              <w:jc w:val="center"/>
              <w:rPr>
                <w:rFonts w:cs="Times New Roman"/>
                <w:sz w:val="18"/>
                <w:szCs w:val="18"/>
              </w:rPr>
            </w:pPr>
            <w:r w:rsidRPr="00FC64BF">
              <w:rPr>
                <w:rFonts w:cs="Times New Roman"/>
                <w:sz w:val="18"/>
                <w:szCs w:val="18"/>
              </w:rPr>
              <w:t>2</w:t>
            </w:r>
          </w:p>
        </w:tc>
        <w:tc>
          <w:tcPr>
            <w:tcW w:w="1209" w:type="pct"/>
            <w:vAlign w:val="center"/>
          </w:tcPr>
          <w:p w14:paraId="0077B4E2" w14:textId="6247ED0D" w:rsidR="00CF0F0C" w:rsidRPr="00FC64BF" w:rsidRDefault="00B123E0" w:rsidP="00D36147">
            <w:pPr>
              <w:spacing w:line="276" w:lineRule="auto"/>
              <w:jc w:val="center"/>
              <w:rPr>
                <w:rFonts w:cs="Times New Roman"/>
                <w:sz w:val="18"/>
                <w:szCs w:val="18"/>
              </w:rPr>
            </w:pPr>
            <w:r w:rsidRPr="00FC64BF">
              <w:rPr>
                <w:rFonts w:cs="Times New Roman"/>
                <w:sz w:val="18"/>
                <w:szCs w:val="18"/>
              </w:rPr>
              <w:t>21</w:t>
            </w:r>
          </w:p>
        </w:tc>
        <w:tc>
          <w:tcPr>
            <w:tcW w:w="1013" w:type="pct"/>
            <w:vAlign w:val="center"/>
          </w:tcPr>
          <w:p w14:paraId="0B62E47F" w14:textId="77777777" w:rsidR="00CF0F0C" w:rsidRPr="00FC64BF" w:rsidRDefault="00CF0F0C" w:rsidP="00D36147">
            <w:pPr>
              <w:spacing w:line="276" w:lineRule="auto"/>
              <w:jc w:val="center"/>
              <w:rPr>
                <w:rFonts w:cs="Times New Roman"/>
                <w:sz w:val="18"/>
                <w:szCs w:val="18"/>
              </w:rPr>
            </w:pPr>
          </w:p>
        </w:tc>
      </w:tr>
      <w:tr w:rsidR="00CE622A" w:rsidRPr="00CE622A" w14:paraId="55D1BBED" w14:textId="77777777" w:rsidTr="00073FB5">
        <w:tc>
          <w:tcPr>
            <w:tcW w:w="1542" w:type="pct"/>
            <w:shd w:val="clear" w:color="auto" w:fill="F2F2F2" w:themeFill="background1" w:themeFillShade="F2"/>
            <w:vAlign w:val="center"/>
          </w:tcPr>
          <w:p w14:paraId="3C8B5E82" w14:textId="77777777" w:rsidR="00CF0F0C" w:rsidRPr="00FC64BF" w:rsidRDefault="00CF0F0C" w:rsidP="004A3B23">
            <w:pPr>
              <w:spacing w:line="276" w:lineRule="auto"/>
              <w:rPr>
                <w:rFonts w:cs="Times New Roman"/>
                <w:b/>
                <w:sz w:val="18"/>
                <w:szCs w:val="18"/>
              </w:rPr>
            </w:pPr>
            <w:r w:rsidRPr="00FC64BF">
              <w:rPr>
                <w:rFonts w:cs="Times New Roman"/>
                <w:b/>
                <w:sz w:val="18"/>
                <w:szCs w:val="18"/>
              </w:rPr>
              <w:t xml:space="preserve">IZVORI FINANCIRANJA </w:t>
            </w:r>
          </w:p>
        </w:tc>
        <w:tc>
          <w:tcPr>
            <w:tcW w:w="1236" w:type="pct"/>
            <w:vAlign w:val="center"/>
          </w:tcPr>
          <w:p w14:paraId="49B57585" w14:textId="77777777" w:rsidR="00CF0F0C" w:rsidRPr="00FC64BF" w:rsidRDefault="00CF0F0C" w:rsidP="00D36147">
            <w:pPr>
              <w:spacing w:line="276" w:lineRule="auto"/>
              <w:jc w:val="center"/>
              <w:rPr>
                <w:rFonts w:cs="Times New Roman"/>
                <w:b/>
                <w:sz w:val="18"/>
                <w:szCs w:val="18"/>
              </w:rPr>
            </w:pPr>
            <w:r w:rsidRPr="00FC64BF">
              <w:rPr>
                <w:rFonts w:cs="Times New Roman"/>
                <w:b/>
                <w:sz w:val="18"/>
                <w:szCs w:val="18"/>
              </w:rPr>
              <w:t>Državni proračun (EUR)</w:t>
            </w:r>
          </w:p>
        </w:tc>
        <w:tc>
          <w:tcPr>
            <w:tcW w:w="1209" w:type="pct"/>
            <w:vAlign w:val="center"/>
          </w:tcPr>
          <w:p w14:paraId="516A566B" w14:textId="6BB52351" w:rsidR="00CF0F0C" w:rsidRPr="00FC64BF" w:rsidRDefault="00F648FF" w:rsidP="00D36147">
            <w:pPr>
              <w:spacing w:line="276" w:lineRule="auto"/>
              <w:jc w:val="center"/>
              <w:rPr>
                <w:rFonts w:cs="Times New Roman"/>
                <w:b/>
                <w:sz w:val="18"/>
                <w:szCs w:val="18"/>
              </w:rPr>
            </w:pPr>
            <w:r w:rsidRPr="00721DAA">
              <w:rPr>
                <w:rFonts w:cs="Times New Roman"/>
                <w:b/>
                <w:sz w:val="18"/>
                <w:szCs w:val="18"/>
              </w:rPr>
              <w:t>Državni proračun (EUR)</w:t>
            </w:r>
          </w:p>
        </w:tc>
        <w:tc>
          <w:tcPr>
            <w:tcW w:w="1013" w:type="pct"/>
            <w:vAlign w:val="center"/>
          </w:tcPr>
          <w:p w14:paraId="77821E4F" w14:textId="77777777" w:rsidR="00CF0F0C" w:rsidRPr="00FC64BF" w:rsidRDefault="00CF0F0C" w:rsidP="00D36147">
            <w:pPr>
              <w:spacing w:line="276" w:lineRule="auto"/>
              <w:jc w:val="center"/>
              <w:rPr>
                <w:rFonts w:cs="Times New Roman"/>
                <w:b/>
                <w:sz w:val="18"/>
                <w:szCs w:val="18"/>
              </w:rPr>
            </w:pPr>
            <w:r w:rsidRPr="00FC64BF">
              <w:rPr>
                <w:rFonts w:cs="Times New Roman"/>
                <w:b/>
                <w:sz w:val="18"/>
                <w:szCs w:val="18"/>
              </w:rPr>
              <w:t>Drugi izvori (EUR)</w:t>
            </w:r>
          </w:p>
        </w:tc>
      </w:tr>
      <w:tr w:rsidR="00CE622A" w:rsidRPr="00CE622A" w14:paraId="36508D89" w14:textId="77777777" w:rsidTr="00073FB5">
        <w:tc>
          <w:tcPr>
            <w:tcW w:w="1542" w:type="pct"/>
            <w:shd w:val="clear" w:color="auto" w:fill="F2F2F2" w:themeFill="background1" w:themeFillShade="F2"/>
            <w:vAlign w:val="center"/>
          </w:tcPr>
          <w:p w14:paraId="6A235D6B" w14:textId="6A138122" w:rsidR="00CF0F0C" w:rsidRPr="00FC64BF" w:rsidRDefault="00CF0F0C" w:rsidP="009B1CEB">
            <w:pPr>
              <w:spacing w:line="276" w:lineRule="auto"/>
              <w:rPr>
                <w:rFonts w:cs="Times New Roman"/>
                <w:sz w:val="18"/>
                <w:szCs w:val="18"/>
              </w:rPr>
            </w:pPr>
            <w:r w:rsidRPr="00FC64BF">
              <w:rPr>
                <w:rFonts w:cs="Times New Roman"/>
                <w:sz w:val="18"/>
                <w:szCs w:val="18"/>
              </w:rPr>
              <w:t>Izvori financiranja u 202</w:t>
            </w:r>
            <w:r w:rsidR="00F648FF">
              <w:rPr>
                <w:rFonts w:cs="Times New Roman"/>
                <w:sz w:val="18"/>
                <w:szCs w:val="18"/>
              </w:rPr>
              <w:t>4</w:t>
            </w:r>
            <w:r w:rsidRPr="00FC64BF">
              <w:rPr>
                <w:rFonts w:cs="Times New Roman"/>
                <w:sz w:val="18"/>
                <w:szCs w:val="18"/>
              </w:rPr>
              <w:t xml:space="preserve"> (proračunska pozicija i predviđeni iznos sredstava)</w:t>
            </w:r>
          </w:p>
        </w:tc>
        <w:tc>
          <w:tcPr>
            <w:tcW w:w="1236" w:type="pct"/>
            <w:vAlign w:val="center"/>
          </w:tcPr>
          <w:p w14:paraId="7C5E28E5" w14:textId="60D2B742" w:rsidR="00CF0F0C" w:rsidRPr="00FC64BF" w:rsidRDefault="00B123E0">
            <w:pPr>
              <w:spacing w:line="276" w:lineRule="auto"/>
              <w:jc w:val="center"/>
              <w:rPr>
                <w:rFonts w:cs="Times New Roman"/>
                <w:sz w:val="20"/>
                <w:szCs w:val="20"/>
              </w:rPr>
            </w:pPr>
            <w:r w:rsidRPr="00FC64BF">
              <w:rPr>
                <w:rFonts w:cs="Times New Roman"/>
                <w:sz w:val="20"/>
                <w:szCs w:val="20"/>
              </w:rPr>
              <w:t xml:space="preserve">A732003 </w:t>
            </w:r>
            <w:r w:rsidR="00CD78EF" w:rsidRPr="00FC64BF">
              <w:rPr>
                <w:rFonts w:cs="Times New Roman"/>
                <w:sz w:val="20"/>
                <w:szCs w:val="20"/>
              </w:rPr>
              <w:t xml:space="preserve">- </w:t>
            </w:r>
            <w:r w:rsidRPr="00FC64BF">
              <w:rPr>
                <w:rFonts w:cs="Times New Roman"/>
                <w:sz w:val="20"/>
                <w:szCs w:val="20"/>
              </w:rPr>
              <w:t>Potpore za</w:t>
            </w:r>
            <w:r w:rsidR="00A75D55" w:rsidRPr="00FC64BF">
              <w:rPr>
                <w:rFonts w:cs="Times New Roman"/>
                <w:sz w:val="20"/>
                <w:szCs w:val="20"/>
              </w:rPr>
              <w:t xml:space="preserve"> </w:t>
            </w:r>
            <w:r w:rsidRPr="00FC64BF">
              <w:rPr>
                <w:rFonts w:cs="Times New Roman"/>
                <w:sz w:val="20"/>
                <w:szCs w:val="20"/>
              </w:rPr>
              <w:t>programe ostvarivanja</w:t>
            </w:r>
            <w:r w:rsidR="00A75D55" w:rsidRPr="00FC64BF">
              <w:rPr>
                <w:rFonts w:cs="Times New Roman"/>
                <w:sz w:val="20"/>
                <w:szCs w:val="20"/>
              </w:rPr>
              <w:t xml:space="preserve"> </w:t>
            </w:r>
            <w:r w:rsidRPr="00FC64BF">
              <w:rPr>
                <w:rFonts w:cs="Times New Roman"/>
                <w:sz w:val="20"/>
                <w:szCs w:val="20"/>
              </w:rPr>
              <w:t>kulturne autonomije</w:t>
            </w:r>
            <w:r w:rsidR="00A75D55" w:rsidRPr="00FC64BF">
              <w:rPr>
                <w:rFonts w:cs="Times New Roman"/>
                <w:sz w:val="20"/>
                <w:szCs w:val="20"/>
              </w:rPr>
              <w:t xml:space="preserve"> </w:t>
            </w:r>
            <w:r w:rsidRPr="00FC64BF">
              <w:rPr>
                <w:rFonts w:cs="Times New Roman"/>
                <w:sz w:val="20"/>
                <w:szCs w:val="20"/>
              </w:rPr>
              <w:t>nacionalnih manjina</w:t>
            </w:r>
            <w:r w:rsidR="00A75D55" w:rsidRPr="00FC64BF">
              <w:rPr>
                <w:rFonts w:cs="Times New Roman"/>
                <w:sz w:val="20"/>
                <w:szCs w:val="20"/>
              </w:rPr>
              <w:t xml:space="preserve"> </w:t>
            </w:r>
            <w:r w:rsidR="00F648FF" w:rsidRPr="00FC64BF">
              <w:rPr>
                <w:rFonts w:cs="Times New Roman"/>
                <w:iCs/>
                <w:sz w:val="20"/>
                <w:szCs w:val="20"/>
              </w:rPr>
              <w:t>265.446,00</w:t>
            </w:r>
          </w:p>
        </w:tc>
        <w:tc>
          <w:tcPr>
            <w:tcW w:w="1209" w:type="pct"/>
            <w:vAlign w:val="center"/>
          </w:tcPr>
          <w:p w14:paraId="4353C3D1" w14:textId="0ECD4DF3" w:rsidR="00CF0F0C" w:rsidRPr="00FC64BF" w:rsidRDefault="00F648FF">
            <w:pPr>
              <w:spacing w:line="276" w:lineRule="auto"/>
              <w:jc w:val="center"/>
              <w:rPr>
                <w:rFonts w:cs="Times New Roman"/>
                <w:sz w:val="20"/>
                <w:szCs w:val="20"/>
              </w:rPr>
            </w:pPr>
            <w:r w:rsidRPr="00FC64BF">
              <w:rPr>
                <w:rFonts w:cs="Times New Roman"/>
                <w:sz w:val="20"/>
                <w:szCs w:val="20"/>
              </w:rPr>
              <w:t xml:space="preserve">A732003 - Potpore za programe ostvarivanja kulturne autonomije nacionalnih manjina </w:t>
            </w:r>
            <w:r w:rsidRPr="00FC64BF">
              <w:rPr>
                <w:rFonts w:cs="Times New Roman"/>
                <w:iCs/>
                <w:sz w:val="20"/>
                <w:szCs w:val="20"/>
              </w:rPr>
              <w:t>254.</w:t>
            </w:r>
            <w:r w:rsidRPr="00FC64BF">
              <w:rPr>
                <w:rFonts w:cs="Times New Roman"/>
                <w:sz w:val="20"/>
                <w:szCs w:val="20"/>
              </w:rPr>
              <w:t>000,</w:t>
            </w:r>
            <w:r w:rsidR="00CF0F0C" w:rsidRPr="00FC64BF">
              <w:rPr>
                <w:rFonts w:cs="Times New Roman"/>
                <w:sz w:val="20"/>
                <w:szCs w:val="20"/>
              </w:rPr>
              <w:t>00</w:t>
            </w:r>
          </w:p>
        </w:tc>
        <w:tc>
          <w:tcPr>
            <w:tcW w:w="1013" w:type="pct"/>
            <w:vAlign w:val="center"/>
          </w:tcPr>
          <w:p w14:paraId="7F8BEEAE" w14:textId="77777777" w:rsidR="00CF0F0C" w:rsidRPr="00FC64BF" w:rsidRDefault="00CF0F0C" w:rsidP="00D36147">
            <w:pPr>
              <w:spacing w:line="276" w:lineRule="auto"/>
              <w:jc w:val="center"/>
              <w:rPr>
                <w:rFonts w:cs="Times New Roman"/>
                <w:sz w:val="18"/>
                <w:szCs w:val="18"/>
              </w:rPr>
            </w:pPr>
            <w:r w:rsidRPr="00FC64BF">
              <w:rPr>
                <w:rFonts w:cs="Times New Roman"/>
                <w:sz w:val="18"/>
                <w:szCs w:val="18"/>
              </w:rPr>
              <w:t xml:space="preserve">0,00 </w:t>
            </w:r>
          </w:p>
        </w:tc>
      </w:tr>
      <w:tr w:rsidR="00CE622A" w:rsidRPr="00CE622A" w14:paraId="361B12BB" w14:textId="77777777" w:rsidTr="00073FB5">
        <w:tc>
          <w:tcPr>
            <w:tcW w:w="1542" w:type="pct"/>
            <w:vMerge w:val="restart"/>
            <w:shd w:val="clear" w:color="auto" w:fill="F2F2F2" w:themeFill="background1" w:themeFillShade="F2"/>
            <w:vAlign w:val="center"/>
          </w:tcPr>
          <w:p w14:paraId="4B529237" w14:textId="77777777" w:rsidR="00CF0F0C" w:rsidRPr="00FC64BF" w:rsidRDefault="00CF0F0C" w:rsidP="004A3B23">
            <w:pPr>
              <w:spacing w:line="276" w:lineRule="auto"/>
              <w:rPr>
                <w:rFonts w:cs="Times New Roman"/>
                <w:b/>
                <w:sz w:val="18"/>
                <w:szCs w:val="18"/>
              </w:rPr>
            </w:pPr>
            <w:r w:rsidRPr="00FC64BF">
              <w:rPr>
                <w:rFonts w:cs="Times New Roman"/>
                <w:b/>
                <w:sz w:val="18"/>
                <w:szCs w:val="18"/>
              </w:rPr>
              <w:t xml:space="preserve">UKUPNO UTROŠENA SREDSTVA PO IZVORU </w:t>
            </w:r>
          </w:p>
        </w:tc>
        <w:tc>
          <w:tcPr>
            <w:tcW w:w="1236" w:type="pct"/>
            <w:vAlign w:val="center"/>
          </w:tcPr>
          <w:p w14:paraId="39C032D4" w14:textId="77777777" w:rsidR="00CF0F0C" w:rsidRPr="00FC64BF" w:rsidRDefault="00CF0F0C" w:rsidP="00D36147">
            <w:pPr>
              <w:spacing w:line="276" w:lineRule="auto"/>
              <w:jc w:val="center"/>
              <w:rPr>
                <w:rFonts w:cs="Times New Roman"/>
                <w:b/>
                <w:sz w:val="20"/>
                <w:szCs w:val="20"/>
              </w:rPr>
            </w:pPr>
            <w:r w:rsidRPr="00FC64BF">
              <w:rPr>
                <w:rFonts w:cs="Times New Roman"/>
                <w:b/>
                <w:sz w:val="20"/>
                <w:szCs w:val="20"/>
              </w:rPr>
              <w:t>Državni proračun (EUR)</w:t>
            </w:r>
          </w:p>
        </w:tc>
        <w:tc>
          <w:tcPr>
            <w:tcW w:w="1209" w:type="pct"/>
            <w:vAlign w:val="center"/>
          </w:tcPr>
          <w:p w14:paraId="1D6AC99B" w14:textId="77777777" w:rsidR="00CF0F0C" w:rsidRPr="00FC64BF" w:rsidRDefault="00CF0F0C" w:rsidP="00D36147">
            <w:pPr>
              <w:spacing w:line="276" w:lineRule="auto"/>
              <w:jc w:val="center"/>
              <w:rPr>
                <w:rFonts w:cs="Times New Roman"/>
                <w:b/>
                <w:sz w:val="20"/>
                <w:szCs w:val="20"/>
              </w:rPr>
            </w:pPr>
            <w:r w:rsidRPr="00FC64BF">
              <w:rPr>
                <w:rFonts w:cs="Times New Roman"/>
                <w:b/>
                <w:sz w:val="20"/>
                <w:szCs w:val="20"/>
              </w:rPr>
              <w:t>EU financiranje (EUR)</w:t>
            </w:r>
          </w:p>
        </w:tc>
        <w:tc>
          <w:tcPr>
            <w:tcW w:w="1013" w:type="pct"/>
            <w:vAlign w:val="center"/>
          </w:tcPr>
          <w:p w14:paraId="24C509F0" w14:textId="77777777" w:rsidR="00CF0F0C" w:rsidRPr="00FC64BF" w:rsidRDefault="00CF0F0C" w:rsidP="00D36147">
            <w:pPr>
              <w:spacing w:line="276" w:lineRule="auto"/>
              <w:jc w:val="center"/>
              <w:rPr>
                <w:rFonts w:cs="Times New Roman"/>
                <w:b/>
                <w:sz w:val="18"/>
                <w:szCs w:val="18"/>
              </w:rPr>
            </w:pPr>
            <w:r w:rsidRPr="00FC64BF">
              <w:rPr>
                <w:rFonts w:cs="Times New Roman"/>
                <w:b/>
                <w:sz w:val="18"/>
                <w:szCs w:val="18"/>
              </w:rPr>
              <w:t>Drugi izvori (EUR)</w:t>
            </w:r>
          </w:p>
        </w:tc>
      </w:tr>
      <w:tr w:rsidR="00CE622A" w:rsidRPr="00CE622A" w14:paraId="5472B814" w14:textId="77777777" w:rsidTr="00073FB5">
        <w:tc>
          <w:tcPr>
            <w:tcW w:w="1542" w:type="pct"/>
            <w:vMerge/>
            <w:tcBorders>
              <w:bottom w:val="single" w:sz="4" w:space="0" w:color="auto"/>
            </w:tcBorders>
            <w:shd w:val="clear" w:color="auto" w:fill="F2F2F2" w:themeFill="background1" w:themeFillShade="F2"/>
            <w:vAlign w:val="center"/>
          </w:tcPr>
          <w:p w14:paraId="47AA61E8" w14:textId="77777777" w:rsidR="00CF0F0C" w:rsidRPr="00FC64BF" w:rsidRDefault="00CF0F0C" w:rsidP="00D36147">
            <w:pPr>
              <w:spacing w:line="276" w:lineRule="auto"/>
              <w:rPr>
                <w:rFonts w:cs="Times New Roman"/>
                <w:b/>
                <w:sz w:val="18"/>
                <w:szCs w:val="18"/>
              </w:rPr>
            </w:pPr>
          </w:p>
        </w:tc>
        <w:tc>
          <w:tcPr>
            <w:tcW w:w="1236" w:type="pct"/>
            <w:tcBorders>
              <w:bottom w:val="single" w:sz="4" w:space="0" w:color="auto"/>
            </w:tcBorders>
            <w:vAlign w:val="center"/>
          </w:tcPr>
          <w:p w14:paraId="789158D0" w14:textId="75341720" w:rsidR="00CF0F0C" w:rsidRPr="00FC64BF" w:rsidRDefault="000747C8">
            <w:pPr>
              <w:spacing w:line="276" w:lineRule="auto"/>
              <w:jc w:val="center"/>
              <w:rPr>
                <w:rFonts w:cs="Times New Roman"/>
                <w:b/>
                <w:bCs/>
                <w:sz w:val="20"/>
                <w:szCs w:val="20"/>
              </w:rPr>
            </w:pPr>
            <w:r w:rsidRPr="00FC64BF">
              <w:rPr>
                <w:rFonts w:cs="Times New Roman"/>
                <w:bCs/>
                <w:sz w:val="20"/>
                <w:szCs w:val="20"/>
              </w:rPr>
              <w:t>A732003</w:t>
            </w:r>
            <w:r w:rsidR="00CD78EF" w:rsidRPr="00FC64BF">
              <w:rPr>
                <w:rFonts w:cs="Times New Roman"/>
                <w:bCs/>
                <w:sz w:val="20"/>
                <w:szCs w:val="20"/>
              </w:rPr>
              <w:t xml:space="preserve"> -</w:t>
            </w:r>
            <w:r w:rsidRPr="00FC64BF">
              <w:rPr>
                <w:rFonts w:cs="Times New Roman"/>
                <w:bCs/>
                <w:sz w:val="20"/>
                <w:szCs w:val="20"/>
              </w:rPr>
              <w:t xml:space="preserve"> Potpore za</w:t>
            </w:r>
            <w:r w:rsidR="00A75D55" w:rsidRPr="00FC64BF">
              <w:rPr>
                <w:rFonts w:cs="Times New Roman"/>
                <w:bCs/>
                <w:sz w:val="20"/>
                <w:szCs w:val="20"/>
              </w:rPr>
              <w:t xml:space="preserve"> </w:t>
            </w:r>
            <w:r w:rsidRPr="00FC64BF">
              <w:rPr>
                <w:rFonts w:cs="Times New Roman"/>
                <w:bCs/>
                <w:sz w:val="20"/>
                <w:szCs w:val="20"/>
              </w:rPr>
              <w:t>programe ostvarivanja</w:t>
            </w:r>
            <w:r w:rsidR="00A75D55" w:rsidRPr="00FC64BF">
              <w:rPr>
                <w:rFonts w:cs="Times New Roman"/>
                <w:bCs/>
                <w:sz w:val="20"/>
                <w:szCs w:val="20"/>
              </w:rPr>
              <w:t xml:space="preserve"> </w:t>
            </w:r>
            <w:r w:rsidRPr="00FC64BF">
              <w:rPr>
                <w:rFonts w:cs="Times New Roman"/>
                <w:bCs/>
                <w:sz w:val="20"/>
                <w:szCs w:val="20"/>
              </w:rPr>
              <w:t>kulturne autonomije</w:t>
            </w:r>
            <w:r w:rsidR="00A75D55" w:rsidRPr="00FC64BF">
              <w:rPr>
                <w:rFonts w:cs="Times New Roman"/>
                <w:bCs/>
                <w:sz w:val="20"/>
                <w:szCs w:val="20"/>
              </w:rPr>
              <w:t xml:space="preserve"> </w:t>
            </w:r>
            <w:r w:rsidRPr="00FC64BF">
              <w:rPr>
                <w:rFonts w:cs="Times New Roman"/>
                <w:bCs/>
                <w:sz w:val="20"/>
                <w:szCs w:val="20"/>
              </w:rPr>
              <w:lastRenderedPageBreak/>
              <w:t>nacionalnih manjina</w:t>
            </w:r>
            <w:r w:rsidR="00A75D55" w:rsidRPr="00FC64BF">
              <w:rPr>
                <w:rFonts w:cs="Times New Roman"/>
                <w:b/>
                <w:bCs/>
                <w:sz w:val="20"/>
                <w:szCs w:val="20"/>
              </w:rPr>
              <w:t xml:space="preserve"> </w:t>
            </w:r>
            <w:r w:rsidR="00F648FF" w:rsidRPr="00FC64BF">
              <w:rPr>
                <w:rFonts w:cs="Times New Roman"/>
                <w:b/>
                <w:bCs/>
                <w:sz w:val="20"/>
                <w:szCs w:val="20"/>
              </w:rPr>
              <w:t>519.446,00</w:t>
            </w:r>
          </w:p>
        </w:tc>
        <w:tc>
          <w:tcPr>
            <w:tcW w:w="1209" w:type="pct"/>
            <w:tcBorders>
              <w:bottom w:val="single" w:sz="4" w:space="0" w:color="auto"/>
            </w:tcBorders>
            <w:vAlign w:val="center"/>
          </w:tcPr>
          <w:p w14:paraId="7B09172C" w14:textId="77777777" w:rsidR="00CF0F0C" w:rsidRPr="00FC64BF" w:rsidRDefault="00CF0F0C" w:rsidP="00D36147">
            <w:pPr>
              <w:spacing w:line="276" w:lineRule="auto"/>
              <w:jc w:val="center"/>
              <w:rPr>
                <w:rFonts w:cs="Times New Roman"/>
                <w:bCs/>
                <w:sz w:val="20"/>
                <w:szCs w:val="20"/>
              </w:rPr>
            </w:pPr>
            <w:r w:rsidRPr="00FC64BF">
              <w:rPr>
                <w:rFonts w:cs="Times New Roman"/>
                <w:bCs/>
                <w:sz w:val="20"/>
                <w:szCs w:val="20"/>
              </w:rPr>
              <w:lastRenderedPageBreak/>
              <w:t>0,00</w:t>
            </w:r>
          </w:p>
        </w:tc>
        <w:tc>
          <w:tcPr>
            <w:tcW w:w="1013" w:type="pct"/>
            <w:tcBorders>
              <w:bottom w:val="single" w:sz="4" w:space="0" w:color="auto"/>
            </w:tcBorders>
            <w:vAlign w:val="center"/>
          </w:tcPr>
          <w:p w14:paraId="26CAFDAE" w14:textId="77777777" w:rsidR="00CF0F0C" w:rsidRPr="00FC64BF" w:rsidRDefault="00CF0F0C" w:rsidP="00D36147">
            <w:pPr>
              <w:spacing w:line="276" w:lineRule="auto"/>
              <w:jc w:val="center"/>
              <w:rPr>
                <w:rFonts w:cs="Times New Roman"/>
                <w:bCs/>
                <w:sz w:val="18"/>
                <w:szCs w:val="18"/>
              </w:rPr>
            </w:pPr>
            <w:r w:rsidRPr="00FC64BF">
              <w:rPr>
                <w:rFonts w:cs="Times New Roman"/>
                <w:bCs/>
                <w:sz w:val="18"/>
                <w:szCs w:val="18"/>
              </w:rPr>
              <w:t xml:space="preserve">0,00 </w:t>
            </w:r>
          </w:p>
        </w:tc>
      </w:tr>
      <w:tr w:rsidR="00CE622A" w:rsidRPr="00CE622A" w14:paraId="151F40C0" w14:textId="77777777" w:rsidTr="00330FAE">
        <w:trPr>
          <w:trHeight w:val="375"/>
        </w:trPr>
        <w:tc>
          <w:tcPr>
            <w:tcW w:w="1542" w:type="pct"/>
            <w:tcBorders>
              <w:bottom w:val="single" w:sz="4" w:space="0" w:color="auto"/>
            </w:tcBorders>
            <w:shd w:val="clear" w:color="auto" w:fill="F2F2F2" w:themeFill="background1" w:themeFillShade="F2"/>
            <w:vAlign w:val="center"/>
          </w:tcPr>
          <w:p w14:paraId="500CB620" w14:textId="6846689E" w:rsidR="00CF0F0C" w:rsidRPr="00DC3D3E" w:rsidRDefault="00CF0F0C" w:rsidP="004A3B23">
            <w:pPr>
              <w:spacing w:line="276" w:lineRule="auto"/>
              <w:rPr>
                <w:rFonts w:cs="Times New Roman"/>
                <w:sz w:val="18"/>
                <w:szCs w:val="18"/>
              </w:rPr>
            </w:pPr>
            <w:r w:rsidRPr="00DC3D3E">
              <w:rPr>
                <w:rFonts w:cs="Times New Roman"/>
                <w:sz w:val="18"/>
                <w:szCs w:val="18"/>
              </w:rPr>
              <w:t xml:space="preserve">ROK PROVEDBE </w:t>
            </w:r>
            <w:r w:rsidR="0004140C" w:rsidRPr="00DC3D3E">
              <w:rPr>
                <w:rFonts w:cs="Times New Roman"/>
                <w:sz w:val="18"/>
                <w:szCs w:val="18"/>
              </w:rPr>
              <w:t>A</w:t>
            </w:r>
            <w:r w:rsidRPr="00DC3D3E">
              <w:rPr>
                <w:rFonts w:cs="Times New Roman"/>
                <w:sz w:val="18"/>
                <w:szCs w:val="18"/>
              </w:rPr>
              <w:t>KTIVNOSTI</w:t>
            </w:r>
          </w:p>
        </w:tc>
        <w:tc>
          <w:tcPr>
            <w:tcW w:w="3458" w:type="pct"/>
            <w:gridSpan w:val="3"/>
            <w:tcBorders>
              <w:bottom w:val="single" w:sz="4" w:space="0" w:color="auto"/>
            </w:tcBorders>
            <w:vAlign w:val="center"/>
          </w:tcPr>
          <w:p w14:paraId="12B3C1D2" w14:textId="77777777" w:rsidR="00CF0F0C" w:rsidRPr="00DC3D3E" w:rsidRDefault="00CF0F0C" w:rsidP="00D36147">
            <w:pPr>
              <w:spacing w:line="276" w:lineRule="auto"/>
              <w:rPr>
                <w:rFonts w:cs="Times New Roman"/>
                <w:sz w:val="18"/>
                <w:szCs w:val="18"/>
              </w:rPr>
            </w:pPr>
            <w:r w:rsidRPr="00DC3D3E">
              <w:rPr>
                <w:rFonts w:cs="Times New Roman"/>
                <w:sz w:val="18"/>
                <w:szCs w:val="18"/>
              </w:rPr>
              <w:t>IV. kvartal 2025.</w:t>
            </w:r>
          </w:p>
        </w:tc>
      </w:tr>
    </w:tbl>
    <w:p w14:paraId="2C283C99" w14:textId="77777777" w:rsidR="00330FAE" w:rsidRPr="00F46FC0" w:rsidRDefault="00330FAE" w:rsidP="00330FAE">
      <w:bookmarkStart w:id="34" w:name="_Toc132988318"/>
      <w:bookmarkStart w:id="35" w:name="_Hlk66118473"/>
    </w:p>
    <w:p w14:paraId="3E6EFDCF" w14:textId="77777777" w:rsidR="003379F1" w:rsidRPr="00F46FC0" w:rsidRDefault="003379F1" w:rsidP="00330FAE"/>
    <w:p w14:paraId="69449685" w14:textId="77777777" w:rsidR="00330FAE" w:rsidRPr="00F46FC0" w:rsidRDefault="00330FAE">
      <w:pPr>
        <w:rPr>
          <w:rFonts w:eastAsiaTheme="majorEastAsia" w:cs="Times New Roman"/>
          <w:b/>
          <w:bCs/>
          <w:szCs w:val="24"/>
        </w:rPr>
      </w:pPr>
      <w:r w:rsidRPr="00F46FC0">
        <w:rPr>
          <w:rFonts w:cs="Times New Roman"/>
        </w:rPr>
        <w:br w:type="page"/>
      </w:r>
    </w:p>
    <w:p w14:paraId="67CBC8FE" w14:textId="1EA98AF5" w:rsidR="00463A4E" w:rsidRPr="00DC3D3E" w:rsidRDefault="003C5FC2" w:rsidP="004A3B23">
      <w:pPr>
        <w:pStyle w:val="Heading1"/>
        <w:rPr>
          <w:rFonts w:cs="Times New Roman"/>
        </w:rPr>
      </w:pPr>
      <w:r w:rsidRPr="00DC3D3E">
        <w:rPr>
          <w:rFonts w:cs="Times New Roman"/>
        </w:rPr>
        <w:lastRenderedPageBreak/>
        <w:t>MJER</w:t>
      </w:r>
      <w:r w:rsidR="00A148D7" w:rsidRPr="00DC3D3E">
        <w:rPr>
          <w:rFonts w:cs="Times New Roman"/>
        </w:rPr>
        <w:t>E</w:t>
      </w:r>
      <w:r w:rsidRPr="00DC3D3E">
        <w:rPr>
          <w:rFonts w:cs="Times New Roman"/>
        </w:rPr>
        <w:t xml:space="preserve"> I </w:t>
      </w:r>
      <w:r w:rsidR="00CB102E" w:rsidRPr="00DC3D3E">
        <w:rPr>
          <w:rFonts w:cs="Times New Roman"/>
        </w:rPr>
        <w:t>AKTIVNOSTI</w:t>
      </w:r>
      <w:r w:rsidR="00D04ADD" w:rsidRPr="00DC3D3E">
        <w:rPr>
          <w:rFonts w:cs="Times New Roman"/>
        </w:rPr>
        <w:t xml:space="preserve"> U SEKTORSK</w:t>
      </w:r>
      <w:r w:rsidR="00E75CEB" w:rsidRPr="00DC3D3E">
        <w:rPr>
          <w:rFonts w:cs="Times New Roman"/>
        </w:rPr>
        <w:t>OM</w:t>
      </w:r>
      <w:r w:rsidR="00D04ADD" w:rsidRPr="00DC3D3E">
        <w:rPr>
          <w:rFonts w:cs="Times New Roman"/>
        </w:rPr>
        <w:t xml:space="preserve"> CILJ</w:t>
      </w:r>
      <w:r w:rsidR="00E75CEB" w:rsidRPr="00DC3D3E">
        <w:rPr>
          <w:rFonts w:cs="Times New Roman"/>
        </w:rPr>
        <w:t>U UČINKOVIT</w:t>
      </w:r>
      <w:r w:rsidR="000237A2" w:rsidRPr="00DC3D3E">
        <w:rPr>
          <w:rFonts w:cs="Times New Roman"/>
        </w:rPr>
        <w:t xml:space="preserve"> I</w:t>
      </w:r>
      <w:r w:rsidR="00E75CEB" w:rsidRPr="00DC3D3E">
        <w:rPr>
          <w:rFonts w:cs="Times New Roman"/>
        </w:rPr>
        <w:t xml:space="preserve"> JEDNAK PRISTUP </w:t>
      </w:r>
      <w:r w:rsidR="00AA6531" w:rsidRPr="00DC3D3E">
        <w:rPr>
          <w:rFonts w:cs="Times New Roman"/>
        </w:rPr>
        <w:t xml:space="preserve">ROMA </w:t>
      </w:r>
      <w:r w:rsidR="00E75CEB" w:rsidRPr="00DC3D3E">
        <w:rPr>
          <w:rFonts w:cs="Times New Roman"/>
        </w:rPr>
        <w:t>KVALITETNOM</w:t>
      </w:r>
      <w:r w:rsidR="00FA4E64" w:rsidRPr="00DC3D3E">
        <w:rPr>
          <w:rFonts w:cs="Times New Roman"/>
        </w:rPr>
        <w:t>,</w:t>
      </w:r>
      <w:r w:rsidR="00E75CEB" w:rsidRPr="00DC3D3E">
        <w:rPr>
          <w:rFonts w:cs="Times New Roman"/>
        </w:rPr>
        <w:t xml:space="preserve"> UKLJUČIVOM OBRAZOVANJU</w:t>
      </w:r>
      <w:bookmarkEnd w:id="34"/>
    </w:p>
    <w:p w14:paraId="0FEAB781" w14:textId="11686909" w:rsidR="00D04ADD" w:rsidRPr="00DC3D3E" w:rsidRDefault="00D04ADD" w:rsidP="00D36147">
      <w:pPr>
        <w:spacing w:after="0" w:line="276" w:lineRule="auto"/>
        <w:jc w:val="both"/>
        <w:rPr>
          <w:rFonts w:cs="Times New Roman"/>
          <w:sz w:val="18"/>
          <w:szCs w:val="18"/>
        </w:rPr>
      </w:pPr>
    </w:p>
    <w:p w14:paraId="0CCD384C" w14:textId="2EC55633" w:rsidR="005D0903" w:rsidRPr="00DC3D3E" w:rsidRDefault="005D0903" w:rsidP="00D36147">
      <w:pPr>
        <w:spacing w:after="0" w:line="276" w:lineRule="auto"/>
        <w:jc w:val="both"/>
        <w:rPr>
          <w:rFonts w:cs="Times New Roman"/>
        </w:rPr>
      </w:pPr>
      <w:r w:rsidRPr="00DC3D3E">
        <w:rPr>
          <w:rFonts w:cs="Times New Roman"/>
        </w:rPr>
        <w:t xml:space="preserve">Svrha provedbe mjera i aktivnosti </w:t>
      </w:r>
      <w:r w:rsidR="007C1340" w:rsidRPr="00DC3D3E">
        <w:rPr>
          <w:rFonts w:cs="Times New Roman"/>
        </w:rPr>
        <w:t>je</w:t>
      </w:r>
      <w:r w:rsidRPr="00DC3D3E">
        <w:rPr>
          <w:rFonts w:cs="Times New Roman"/>
        </w:rPr>
        <w:t xml:space="preserve">: </w:t>
      </w:r>
    </w:p>
    <w:p w14:paraId="37F5633F" w14:textId="1C0BE4F9" w:rsidR="005D0903" w:rsidRPr="00DC3D3E" w:rsidRDefault="007C1340" w:rsidP="004A3B23">
      <w:pPr>
        <w:pStyle w:val="ListParagraph"/>
        <w:numPr>
          <w:ilvl w:val="0"/>
          <w:numId w:val="3"/>
        </w:numPr>
        <w:spacing w:line="276" w:lineRule="auto"/>
        <w:jc w:val="both"/>
        <w:rPr>
          <w:szCs w:val="22"/>
        </w:rPr>
      </w:pPr>
      <w:r w:rsidRPr="00DC3D3E">
        <w:t>aktivno djelovanje usmjereno protiv segregacije u obrazovanju, od najranije dobi</w:t>
      </w:r>
      <w:r w:rsidR="00FD7FA0" w:rsidRPr="00DC3D3E">
        <w:t>;</w:t>
      </w:r>
    </w:p>
    <w:p w14:paraId="42D4D05F" w14:textId="3CF0A585" w:rsidR="00C55758" w:rsidRPr="00DC3D3E" w:rsidRDefault="00FD7FA0" w:rsidP="00D36147">
      <w:pPr>
        <w:pStyle w:val="ListParagraph"/>
        <w:numPr>
          <w:ilvl w:val="0"/>
          <w:numId w:val="3"/>
        </w:numPr>
        <w:spacing w:line="276" w:lineRule="auto"/>
        <w:jc w:val="both"/>
        <w:rPr>
          <w:szCs w:val="22"/>
        </w:rPr>
      </w:pPr>
      <w:r w:rsidRPr="00DC3D3E">
        <w:t>djelovanje na okolnosti koje dovode do razlika u sudjelovanju djece pripadnika romske nacionalne manjine u predškolskom odgoju i obrazovanju</w:t>
      </w:r>
      <w:r w:rsidR="00D66538">
        <w:t>;</w:t>
      </w:r>
    </w:p>
    <w:p w14:paraId="406D5172" w14:textId="33DFE1F0" w:rsidR="00C55758" w:rsidRPr="00DC3D3E" w:rsidRDefault="00FD7FA0" w:rsidP="00D36147">
      <w:pPr>
        <w:pStyle w:val="ListParagraph"/>
        <w:numPr>
          <w:ilvl w:val="0"/>
          <w:numId w:val="3"/>
        </w:numPr>
        <w:spacing w:line="276" w:lineRule="auto"/>
        <w:jc w:val="both"/>
        <w:rPr>
          <w:szCs w:val="22"/>
        </w:rPr>
      </w:pPr>
      <w:r w:rsidRPr="00DC3D3E">
        <w:t>djelovanje na okolnosti koje dovode do razlika u dovršetku srednjoškolskog obrazovanja djece pripadnika romske nacionalne manjine u odnosu na ostalu djecu</w:t>
      </w:r>
      <w:r w:rsidR="00D66538">
        <w:t>;</w:t>
      </w:r>
    </w:p>
    <w:p w14:paraId="230B55D6" w14:textId="2EEB7381" w:rsidR="00C55758" w:rsidRPr="00DC3D3E" w:rsidRDefault="00FD7FA0" w:rsidP="00D36147">
      <w:pPr>
        <w:pStyle w:val="ListParagraph"/>
        <w:numPr>
          <w:ilvl w:val="0"/>
          <w:numId w:val="3"/>
        </w:numPr>
        <w:spacing w:line="276" w:lineRule="auto"/>
        <w:jc w:val="both"/>
        <w:rPr>
          <w:szCs w:val="22"/>
        </w:rPr>
      </w:pPr>
      <w:r w:rsidRPr="00DC3D3E">
        <w:t>osiguravanje dodatne pomoći i podrške mladima tijekom stjecanja visokog obrazovanja</w:t>
      </w:r>
      <w:r w:rsidR="00D66538">
        <w:t>;</w:t>
      </w:r>
    </w:p>
    <w:p w14:paraId="365A1DDF" w14:textId="19BAF900" w:rsidR="00C55758" w:rsidRPr="00DC3D3E" w:rsidRDefault="00FD7FA0" w:rsidP="00D36147">
      <w:pPr>
        <w:pStyle w:val="ListParagraph"/>
        <w:numPr>
          <w:ilvl w:val="0"/>
          <w:numId w:val="3"/>
        </w:numPr>
        <w:spacing w:line="276" w:lineRule="auto"/>
        <w:jc w:val="both"/>
        <w:rPr>
          <w:szCs w:val="22"/>
        </w:rPr>
      </w:pPr>
      <w:r w:rsidRPr="00DC3D3E">
        <w:rPr>
          <w:szCs w:val="22"/>
        </w:rPr>
        <w:t>djelovanje na okolnosti koje dovode do malog sudjelovanja pripadnika romske nacionalne manjine u programima osposobljavanja i usavršavanja te poticanje sudjelovanja u programima osposobljavanja i usavršavanja</w:t>
      </w:r>
      <w:r w:rsidR="00D66538">
        <w:rPr>
          <w:szCs w:val="22"/>
        </w:rPr>
        <w:t>.</w:t>
      </w:r>
    </w:p>
    <w:p w14:paraId="6BF040FD" w14:textId="77777777" w:rsidR="00664C9A" w:rsidRPr="00DC3D3E" w:rsidRDefault="00664C9A" w:rsidP="00664C9A">
      <w:pPr>
        <w:pStyle w:val="ListParagraph"/>
        <w:spacing w:line="276" w:lineRule="auto"/>
        <w:jc w:val="both"/>
        <w:rPr>
          <w:szCs w:val="22"/>
        </w:rPr>
      </w:pPr>
    </w:p>
    <w:p w14:paraId="2AA1C04F" w14:textId="1A5B5CE9" w:rsidR="00E5482D" w:rsidRPr="00DC3D3E" w:rsidRDefault="006F2D62" w:rsidP="00E5482D">
      <w:pPr>
        <w:pStyle w:val="Heading2"/>
        <w:spacing w:before="0" w:line="276" w:lineRule="auto"/>
        <w:rPr>
          <w:rFonts w:cs="Times New Roman"/>
        </w:rPr>
      </w:pPr>
      <w:r w:rsidRPr="00DC3D3E">
        <w:rPr>
          <w:rFonts w:cs="Times New Roman"/>
        </w:rPr>
        <w:t xml:space="preserve">Mjera 4.1. </w:t>
      </w:r>
      <w:r w:rsidR="00A148D7" w:rsidRPr="00DC3D3E">
        <w:rPr>
          <w:rFonts w:cs="Times New Roman"/>
        </w:rPr>
        <w:t>Smanjivanje udjela romske djece koja pohađaju obvezni program</w:t>
      </w:r>
      <w:r w:rsidRPr="00DC3D3E">
        <w:rPr>
          <w:rFonts w:cs="Times New Roman"/>
        </w:rPr>
        <w:t xml:space="preserve"> p</w:t>
      </w:r>
      <w:r w:rsidR="00A148D7" w:rsidRPr="00DC3D3E">
        <w:rPr>
          <w:rFonts w:cs="Times New Roman"/>
        </w:rPr>
        <w:t>redškole/</w:t>
      </w:r>
      <w:r w:rsidRPr="00DC3D3E">
        <w:rPr>
          <w:rFonts w:cs="Times New Roman"/>
        </w:rPr>
        <w:t xml:space="preserve"> </w:t>
      </w:r>
      <w:r w:rsidR="00A148D7" w:rsidRPr="00DC3D3E">
        <w:rPr>
          <w:rFonts w:cs="Times New Roman"/>
        </w:rPr>
        <w:t>osnovnoškolsko obrazovanje u skupinama/ razredima u kojima je većina ili su sva djeca Romi</w:t>
      </w:r>
    </w:p>
    <w:p w14:paraId="5CA2A189" w14:textId="77777777" w:rsidR="00664C9A" w:rsidRPr="00DC3D3E" w:rsidRDefault="00664C9A" w:rsidP="001D2A9A">
      <w:pPr>
        <w:spacing w:after="0" w:line="276" w:lineRule="auto"/>
        <w:jc w:val="both"/>
        <w:rPr>
          <w:rFonts w:cs="Times New Roman"/>
          <w:i/>
          <w:iCs/>
        </w:rPr>
      </w:pPr>
    </w:p>
    <w:p w14:paraId="3F25D512" w14:textId="18324C37" w:rsidR="00385033" w:rsidRPr="00DC3D3E" w:rsidRDefault="006F2D62" w:rsidP="001D2A9A">
      <w:pPr>
        <w:spacing w:after="0" w:line="276" w:lineRule="auto"/>
        <w:jc w:val="both"/>
        <w:rPr>
          <w:rFonts w:cs="Times New Roman"/>
          <w:i/>
          <w:iCs/>
        </w:rPr>
      </w:pPr>
      <w:r w:rsidRPr="00DC3D3E">
        <w:rPr>
          <w:rFonts w:cs="Times New Roman"/>
          <w:i/>
          <w:iCs/>
        </w:rPr>
        <w:t>Aktivnost 4.1.1.</w:t>
      </w:r>
      <w:r w:rsidR="004F7E22" w:rsidRPr="00DC3D3E">
        <w:rPr>
          <w:rFonts w:cs="Times New Roman"/>
          <w:i/>
          <w:iCs/>
        </w:rPr>
        <w:t xml:space="preserve"> </w:t>
      </w:r>
      <w:r w:rsidRPr="00DC3D3E">
        <w:rPr>
          <w:rFonts w:cs="Times New Roman"/>
          <w:i/>
          <w:iCs/>
        </w:rPr>
        <w:t>Sufinanciranje namjenskog prijevoza od kuće do vrtića/škole za djecu i učenike pripadnike romske nacionalne manjine koja žive u izoliranim, segregiranim naseljima</w:t>
      </w:r>
    </w:p>
    <w:p w14:paraId="12F6E25A" w14:textId="6A681B23" w:rsidR="009C66A5" w:rsidRPr="00DC3D3E" w:rsidRDefault="00385033" w:rsidP="00D36147">
      <w:pPr>
        <w:spacing w:after="0" w:line="276" w:lineRule="auto"/>
        <w:jc w:val="both"/>
        <w:rPr>
          <w:rFonts w:cs="Times New Roman"/>
          <w:i/>
          <w:iCs/>
        </w:rPr>
      </w:pPr>
      <w:r w:rsidRPr="00DC3D3E">
        <w:rPr>
          <w:rFonts w:cs="Times New Roman"/>
          <w:i/>
          <w:iCs/>
        </w:rPr>
        <w:t>Nositelj provedbe:</w:t>
      </w:r>
      <w:r w:rsidR="00963FD0" w:rsidRPr="00DC3D3E">
        <w:rPr>
          <w:rFonts w:cs="Times New Roman"/>
          <w:i/>
          <w:iCs/>
        </w:rPr>
        <w:t xml:space="preserve"> </w:t>
      </w:r>
      <w:r w:rsidR="00F36CF1" w:rsidRPr="00DC3D3E">
        <w:rPr>
          <w:rFonts w:cs="Times New Roman"/>
          <w:i/>
          <w:iCs/>
        </w:rPr>
        <w:t>Ministarstvo znanosti, obrazovanja i mladih</w:t>
      </w:r>
    </w:p>
    <w:p w14:paraId="3595E598" w14:textId="33EFFA38" w:rsidR="004F7E22" w:rsidRPr="00FC64BF" w:rsidRDefault="004F7E22" w:rsidP="00D36147">
      <w:pPr>
        <w:spacing w:after="0" w:line="276" w:lineRule="auto"/>
        <w:jc w:val="both"/>
        <w:rPr>
          <w:rFonts w:cs="Times New Roman"/>
          <w:i/>
          <w:iCs/>
        </w:rPr>
      </w:pPr>
      <w:r w:rsidRPr="00FC64BF">
        <w:rPr>
          <w:rFonts w:cs="Times New Roman"/>
          <w:i/>
          <w:iCs/>
        </w:rPr>
        <w:t>Partneri:</w:t>
      </w:r>
      <w:r w:rsidRPr="00FC64BF">
        <w:rPr>
          <w:rFonts w:eastAsia="Calibri" w:cs="Times New Roman"/>
          <w:sz w:val="22"/>
          <w:lang w:eastAsia="hr-HR"/>
        </w:rPr>
        <w:t xml:space="preserve"> </w:t>
      </w:r>
      <w:r w:rsidRPr="00FC64BF">
        <w:rPr>
          <w:rFonts w:cs="Times New Roman"/>
          <w:i/>
          <w:iCs/>
        </w:rPr>
        <w:t>Upravni odjeli za obrazovanje u županijama</w:t>
      </w:r>
      <w:r w:rsidRPr="00B67C96">
        <w:rPr>
          <w:rFonts w:cs="Times New Roman"/>
          <w:i/>
          <w:iCs/>
        </w:rPr>
        <w:t xml:space="preserve">, </w:t>
      </w:r>
      <w:r w:rsidR="00F107CF" w:rsidRPr="00957968">
        <w:rPr>
          <w:i/>
        </w:rPr>
        <w:t>Gradski ured za obrazovanje Grada Zagreba</w:t>
      </w:r>
      <w:r w:rsidR="00F107CF" w:rsidRPr="00B67C96">
        <w:rPr>
          <w:rFonts w:cs="Times New Roman"/>
          <w:i/>
          <w:iCs/>
        </w:rPr>
        <w:t xml:space="preserve"> </w:t>
      </w:r>
      <w:r w:rsidRPr="00FC64BF">
        <w:rPr>
          <w:rFonts w:cs="Times New Roman"/>
          <w:i/>
          <w:iCs/>
        </w:rPr>
        <w:t xml:space="preserve">predškolske ustanove, osnovne škole, </w:t>
      </w:r>
      <w:r w:rsidR="00026107">
        <w:rPr>
          <w:rFonts w:cs="Times New Roman"/>
          <w:i/>
          <w:iCs/>
        </w:rPr>
        <w:t>JLP(R)S</w:t>
      </w:r>
    </w:p>
    <w:p w14:paraId="7794842F" w14:textId="77777777" w:rsidR="009C66A5" w:rsidRPr="00FC64BF" w:rsidRDefault="009C66A5" w:rsidP="00D36147">
      <w:pPr>
        <w:spacing w:after="0" w:line="276" w:lineRule="auto"/>
        <w:jc w:val="both"/>
        <w:rPr>
          <w:rFonts w:cs="Times New Roman"/>
          <w:i/>
          <w:iCs/>
        </w:rPr>
      </w:pPr>
    </w:p>
    <w:p w14:paraId="3E1B5E46" w14:textId="0749AD34" w:rsidR="003B763E" w:rsidRPr="00FC64BF" w:rsidRDefault="00F36CF1" w:rsidP="00D36147">
      <w:pPr>
        <w:spacing w:after="0" w:line="276" w:lineRule="auto"/>
        <w:jc w:val="both"/>
        <w:rPr>
          <w:rFonts w:cs="Times New Roman"/>
        </w:rPr>
      </w:pPr>
      <w:r>
        <w:rPr>
          <w:rFonts w:cs="Times New Roman"/>
        </w:rPr>
        <w:t>Ministarstvo znanosti, obrazovanja i mladih</w:t>
      </w:r>
      <w:r w:rsidR="00244453" w:rsidRPr="00FC64BF">
        <w:rPr>
          <w:rFonts w:cs="Times New Roman"/>
        </w:rPr>
        <w:t xml:space="preserve"> ima za cilj osiguravanje preduvjeta za poboljšanje obrazovnih postignuća, socijalizacije te uključivanje u društvo djece i učenika pripadnika romske nacionalne manjine. Jedna od predviđenih aktivnosti jest osiguravanje prijevoza od kuće do vrtića/škole za djecu i učenike pripadnike romske nacionalne manjine koja žive u udaljenim, izoliranim naseljima. U 202</w:t>
      </w:r>
      <w:r w:rsidR="0040573F">
        <w:rPr>
          <w:rFonts w:cs="Times New Roman"/>
        </w:rPr>
        <w:t>4</w:t>
      </w:r>
      <w:r w:rsidR="00244453" w:rsidRPr="00FC64BF">
        <w:rPr>
          <w:rFonts w:cs="Times New Roman"/>
        </w:rPr>
        <w:t xml:space="preserve">. </w:t>
      </w:r>
      <w:r w:rsidR="00C369F8">
        <w:rPr>
          <w:rFonts w:cs="Times New Roman"/>
        </w:rPr>
        <w:t xml:space="preserve">godini </w:t>
      </w:r>
      <w:r>
        <w:rPr>
          <w:rFonts w:cs="Times New Roman"/>
        </w:rPr>
        <w:t>Ministarstvo znanosti, obrazovanja i mladih</w:t>
      </w:r>
      <w:r w:rsidR="00244453" w:rsidRPr="00FC64BF">
        <w:rPr>
          <w:rFonts w:cs="Times New Roman"/>
        </w:rPr>
        <w:t xml:space="preserve"> nije zaprimilo zahtjeve za osiguravanjem prijevoza.</w:t>
      </w:r>
    </w:p>
    <w:p w14:paraId="0014AB55" w14:textId="77777777" w:rsidR="005C1C25" w:rsidRPr="00FC64BF" w:rsidRDefault="005C1C25" w:rsidP="00D36147">
      <w:pPr>
        <w:spacing w:after="0" w:line="276" w:lineRule="auto"/>
        <w:jc w:val="both"/>
        <w:rPr>
          <w:rFonts w:cs="Times New Roman"/>
        </w:rPr>
      </w:pPr>
    </w:p>
    <w:tbl>
      <w:tblPr>
        <w:tblStyle w:val="TableGrid"/>
        <w:tblW w:w="9067" w:type="dxa"/>
        <w:tblLayout w:type="fixed"/>
        <w:tblLook w:val="04A0" w:firstRow="1" w:lastRow="0" w:firstColumn="1" w:lastColumn="0" w:noHBand="0" w:noVBand="1"/>
      </w:tblPr>
      <w:tblGrid>
        <w:gridCol w:w="2547"/>
        <w:gridCol w:w="2551"/>
        <w:gridCol w:w="2127"/>
        <w:gridCol w:w="1842"/>
      </w:tblGrid>
      <w:tr w:rsidR="0040573F" w:rsidRPr="0040573F" w14:paraId="77AAB30F" w14:textId="77777777" w:rsidTr="002A04BF">
        <w:tc>
          <w:tcPr>
            <w:tcW w:w="2547" w:type="dxa"/>
            <w:shd w:val="clear" w:color="auto" w:fill="F2F2F2" w:themeFill="background1" w:themeFillShade="F2"/>
          </w:tcPr>
          <w:p w14:paraId="77856FEE" w14:textId="06543587" w:rsidR="004434C1" w:rsidRPr="00DD2F01" w:rsidRDefault="00B510B5" w:rsidP="002A04BF">
            <w:pPr>
              <w:rPr>
                <w:rFonts w:cs="Times New Roman"/>
                <w:b/>
                <w:sz w:val="20"/>
                <w:szCs w:val="20"/>
              </w:rPr>
            </w:pPr>
            <w:r w:rsidRPr="00DD2F01">
              <w:rPr>
                <w:rFonts w:cs="Times New Roman"/>
                <w:b/>
                <w:sz w:val="20"/>
                <w:szCs w:val="20"/>
              </w:rPr>
              <w:t>Pokazatelji provedbe i pokazatelji uspješnosti provedbe</w:t>
            </w:r>
          </w:p>
        </w:tc>
        <w:tc>
          <w:tcPr>
            <w:tcW w:w="2551" w:type="dxa"/>
            <w:shd w:val="clear" w:color="auto" w:fill="F2F2F2" w:themeFill="background1" w:themeFillShade="F2"/>
            <w:vAlign w:val="center"/>
          </w:tcPr>
          <w:p w14:paraId="397ABA7F" w14:textId="28288CB7" w:rsidR="004434C1" w:rsidRPr="00DD2F01" w:rsidRDefault="004434C1" w:rsidP="00A75D55">
            <w:pPr>
              <w:jc w:val="center"/>
              <w:rPr>
                <w:rFonts w:cs="Times New Roman"/>
                <w:b/>
                <w:sz w:val="20"/>
                <w:szCs w:val="20"/>
              </w:rPr>
            </w:pPr>
            <w:r w:rsidRPr="00DD2F01">
              <w:rPr>
                <w:rFonts w:cs="Times New Roman"/>
                <w:b/>
                <w:sz w:val="20"/>
                <w:szCs w:val="20"/>
              </w:rPr>
              <w:t>Broj vrtića/škola kojima</w:t>
            </w:r>
            <w:r w:rsidR="00A75D55" w:rsidRPr="00DD2F01">
              <w:rPr>
                <w:rFonts w:cs="Times New Roman"/>
                <w:b/>
                <w:sz w:val="20"/>
                <w:szCs w:val="20"/>
              </w:rPr>
              <w:t xml:space="preserve"> </w:t>
            </w:r>
            <w:r w:rsidRPr="00DD2F01">
              <w:rPr>
                <w:rFonts w:cs="Times New Roman"/>
                <w:b/>
                <w:sz w:val="20"/>
                <w:szCs w:val="20"/>
              </w:rPr>
              <w:t>se osigurava prijevoz</w:t>
            </w:r>
          </w:p>
        </w:tc>
        <w:tc>
          <w:tcPr>
            <w:tcW w:w="2127" w:type="dxa"/>
            <w:shd w:val="clear" w:color="auto" w:fill="F2F2F2" w:themeFill="background1" w:themeFillShade="F2"/>
            <w:vAlign w:val="center"/>
          </w:tcPr>
          <w:p w14:paraId="19DDCED0" w14:textId="36AB1D86" w:rsidR="004434C1" w:rsidRPr="00DD2F01" w:rsidRDefault="004434C1" w:rsidP="00A75D55">
            <w:pPr>
              <w:jc w:val="center"/>
              <w:rPr>
                <w:rFonts w:cs="Times New Roman"/>
                <w:b/>
                <w:sz w:val="20"/>
                <w:szCs w:val="20"/>
              </w:rPr>
            </w:pPr>
            <w:r w:rsidRPr="00DD2F01">
              <w:rPr>
                <w:rFonts w:cs="Times New Roman"/>
                <w:b/>
                <w:sz w:val="20"/>
                <w:szCs w:val="20"/>
              </w:rPr>
              <w:t>Broj djece kojima je</w:t>
            </w:r>
            <w:r w:rsidR="00A75D55" w:rsidRPr="00DD2F01">
              <w:rPr>
                <w:rFonts w:cs="Times New Roman"/>
                <w:b/>
                <w:sz w:val="20"/>
                <w:szCs w:val="20"/>
              </w:rPr>
              <w:t xml:space="preserve"> </w:t>
            </w:r>
            <w:r w:rsidRPr="00DD2F01">
              <w:rPr>
                <w:rFonts w:cs="Times New Roman"/>
                <w:b/>
                <w:sz w:val="20"/>
                <w:szCs w:val="20"/>
              </w:rPr>
              <w:t>osiguran prijevoz</w:t>
            </w:r>
          </w:p>
        </w:tc>
        <w:tc>
          <w:tcPr>
            <w:tcW w:w="1842" w:type="dxa"/>
            <w:shd w:val="clear" w:color="auto" w:fill="F2F2F2" w:themeFill="background1" w:themeFillShade="F2"/>
            <w:vAlign w:val="center"/>
          </w:tcPr>
          <w:p w14:paraId="53337209" w14:textId="501DA4F7" w:rsidR="004434C1" w:rsidRPr="00DD2F01" w:rsidRDefault="004434C1" w:rsidP="002A04BF">
            <w:pPr>
              <w:rPr>
                <w:rFonts w:cs="Times New Roman"/>
                <w:b/>
                <w:sz w:val="20"/>
                <w:szCs w:val="20"/>
              </w:rPr>
            </w:pPr>
            <w:r w:rsidRPr="00DD2F01">
              <w:rPr>
                <w:rFonts w:cs="Times New Roman"/>
                <w:b/>
                <w:sz w:val="20"/>
                <w:szCs w:val="20"/>
              </w:rPr>
              <w:t>Broj učenika kojima je</w:t>
            </w:r>
            <w:r w:rsidR="00D36147" w:rsidRPr="00DD2F01">
              <w:rPr>
                <w:rFonts w:cs="Times New Roman"/>
                <w:b/>
                <w:sz w:val="20"/>
                <w:szCs w:val="20"/>
              </w:rPr>
              <w:t xml:space="preserve"> </w:t>
            </w:r>
            <w:r w:rsidRPr="00DD2F01">
              <w:rPr>
                <w:rFonts w:cs="Times New Roman"/>
                <w:b/>
                <w:sz w:val="20"/>
                <w:szCs w:val="20"/>
              </w:rPr>
              <w:t>osiguran prijevoz</w:t>
            </w:r>
          </w:p>
        </w:tc>
      </w:tr>
      <w:tr w:rsidR="0040573F" w:rsidRPr="0040573F" w14:paraId="370EDBB8" w14:textId="77777777" w:rsidTr="002A04BF">
        <w:tc>
          <w:tcPr>
            <w:tcW w:w="2547" w:type="dxa"/>
            <w:shd w:val="clear" w:color="auto" w:fill="F2F2F2" w:themeFill="background1" w:themeFillShade="F2"/>
          </w:tcPr>
          <w:p w14:paraId="6AA446F3" w14:textId="0A73EC92" w:rsidR="004434C1" w:rsidRPr="00DD2F01" w:rsidRDefault="004434C1" w:rsidP="009B1CEB">
            <w:pPr>
              <w:rPr>
                <w:rFonts w:cs="Times New Roman"/>
                <w:sz w:val="20"/>
                <w:szCs w:val="20"/>
              </w:rPr>
            </w:pPr>
            <w:r w:rsidRPr="00DD2F01">
              <w:rPr>
                <w:rFonts w:cs="Times New Roman"/>
                <w:sz w:val="20"/>
                <w:szCs w:val="20"/>
              </w:rPr>
              <w:t>Planirani ishodi za pokazatelje provedbe u 202</w:t>
            </w:r>
            <w:r w:rsidR="0040573F" w:rsidRPr="00DD2F01">
              <w:rPr>
                <w:rFonts w:cs="Times New Roman"/>
                <w:sz w:val="20"/>
                <w:szCs w:val="20"/>
              </w:rPr>
              <w:t>4</w:t>
            </w:r>
            <w:r w:rsidRPr="00DD2F01">
              <w:rPr>
                <w:rFonts w:cs="Times New Roman"/>
                <w:sz w:val="20"/>
                <w:szCs w:val="20"/>
              </w:rPr>
              <w:t xml:space="preserve">. </w:t>
            </w:r>
          </w:p>
        </w:tc>
        <w:tc>
          <w:tcPr>
            <w:tcW w:w="2551" w:type="dxa"/>
            <w:vAlign w:val="center"/>
          </w:tcPr>
          <w:p w14:paraId="3B42C5E6" w14:textId="7CB3A93B" w:rsidR="004434C1" w:rsidRPr="00DD2F01" w:rsidRDefault="0040573F" w:rsidP="002A04BF">
            <w:pPr>
              <w:jc w:val="center"/>
              <w:rPr>
                <w:rFonts w:cs="Times New Roman"/>
                <w:sz w:val="20"/>
                <w:szCs w:val="20"/>
              </w:rPr>
            </w:pPr>
            <w:r w:rsidRPr="00DD2F01">
              <w:rPr>
                <w:rFonts w:cs="Times New Roman"/>
                <w:sz w:val="20"/>
                <w:szCs w:val="20"/>
              </w:rPr>
              <w:t>0</w:t>
            </w:r>
          </w:p>
        </w:tc>
        <w:tc>
          <w:tcPr>
            <w:tcW w:w="2127" w:type="dxa"/>
            <w:vAlign w:val="center"/>
          </w:tcPr>
          <w:p w14:paraId="0BAED86F" w14:textId="13703DC3" w:rsidR="004434C1" w:rsidRPr="00DD2F01" w:rsidRDefault="0040573F" w:rsidP="002A04BF">
            <w:pPr>
              <w:jc w:val="center"/>
              <w:rPr>
                <w:rFonts w:cs="Times New Roman"/>
                <w:sz w:val="20"/>
                <w:szCs w:val="20"/>
              </w:rPr>
            </w:pPr>
            <w:r w:rsidRPr="00DD2F01">
              <w:rPr>
                <w:rFonts w:cs="Times New Roman"/>
                <w:sz w:val="20"/>
                <w:szCs w:val="20"/>
              </w:rPr>
              <w:t>0</w:t>
            </w:r>
          </w:p>
        </w:tc>
        <w:tc>
          <w:tcPr>
            <w:tcW w:w="1842" w:type="dxa"/>
            <w:vAlign w:val="center"/>
          </w:tcPr>
          <w:p w14:paraId="4DB1BF90" w14:textId="53FE2919" w:rsidR="004434C1" w:rsidRPr="00DD2F01" w:rsidRDefault="0040573F" w:rsidP="002A04BF">
            <w:pPr>
              <w:jc w:val="center"/>
              <w:rPr>
                <w:rFonts w:cs="Times New Roman"/>
                <w:sz w:val="20"/>
                <w:szCs w:val="20"/>
              </w:rPr>
            </w:pPr>
            <w:r w:rsidRPr="00DD2F01">
              <w:rPr>
                <w:rFonts w:cs="Times New Roman"/>
                <w:sz w:val="20"/>
                <w:szCs w:val="20"/>
              </w:rPr>
              <w:t>0</w:t>
            </w:r>
          </w:p>
        </w:tc>
      </w:tr>
      <w:tr w:rsidR="0040573F" w:rsidRPr="0040573F" w14:paraId="278113EC" w14:textId="77777777" w:rsidTr="002A04BF">
        <w:tc>
          <w:tcPr>
            <w:tcW w:w="2547" w:type="dxa"/>
            <w:shd w:val="clear" w:color="auto" w:fill="F2F2F2" w:themeFill="background1" w:themeFillShade="F2"/>
          </w:tcPr>
          <w:p w14:paraId="500FE49B" w14:textId="1C4747E7" w:rsidR="004434C1" w:rsidRPr="00DD2F01" w:rsidRDefault="004434C1" w:rsidP="009B1CEB">
            <w:pPr>
              <w:rPr>
                <w:rFonts w:cs="Times New Roman"/>
                <w:sz w:val="20"/>
                <w:szCs w:val="20"/>
              </w:rPr>
            </w:pPr>
            <w:r w:rsidRPr="00DD2F01">
              <w:rPr>
                <w:rFonts w:cs="Times New Roman"/>
                <w:sz w:val="20"/>
                <w:szCs w:val="20"/>
              </w:rPr>
              <w:t>Ostvareni ishodi za pokazatelje provedbe u 202</w:t>
            </w:r>
            <w:r w:rsidR="0040573F" w:rsidRPr="00DD2F01">
              <w:rPr>
                <w:rFonts w:cs="Times New Roman"/>
                <w:sz w:val="20"/>
                <w:szCs w:val="20"/>
              </w:rPr>
              <w:t>4</w:t>
            </w:r>
            <w:r w:rsidRPr="00DD2F01">
              <w:rPr>
                <w:rFonts w:cs="Times New Roman"/>
                <w:sz w:val="20"/>
                <w:szCs w:val="20"/>
              </w:rPr>
              <w:t xml:space="preserve">. </w:t>
            </w:r>
          </w:p>
        </w:tc>
        <w:tc>
          <w:tcPr>
            <w:tcW w:w="2551" w:type="dxa"/>
            <w:vAlign w:val="center"/>
          </w:tcPr>
          <w:p w14:paraId="0CC1E215" w14:textId="405318DD" w:rsidR="004434C1" w:rsidRPr="00DD2F01" w:rsidRDefault="004434C1" w:rsidP="002A04BF">
            <w:pPr>
              <w:jc w:val="center"/>
              <w:rPr>
                <w:rFonts w:cs="Times New Roman"/>
                <w:sz w:val="20"/>
                <w:szCs w:val="20"/>
              </w:rPr>
            </w:pPr>
            <w:r w:rsidRPr="00DD2F01">
              <w:rPr>
                <w:rFonts w:cs="Times New Roman"/>
                <w:sz w:val="20"/>
                <w:szCs w:val="20"/>
              </w:rPr>
              <w:t>0</w:t>
            </w:r>
          </w:p>
        </w:tc>
        <w:tc>
          <w:tcPr>
            <w:tcW w:w="2127" w:type="dxa"/>
            <w:vAlign w:val="center"/>
          </w:tcPr>
          <w:p w14:paraId="050AF5F5" w14:textId="1CB7D293" w:rsidR="004434C1" w:rsidRPr="00DD2F01" w:rsidRDefault="00ED2E92" w:rsidP="002A04BF">
            <w:pPr>
              <w:jc w:val="center"/>
              <w:rPr>
                <w:rFonts w:cs="Times New Roman"/>
                <w:sz w:val="20"/>
                <w:szCs w:val="20"/>
              </w:rPr>
            </w:pPr>
            <w:r w:rsidRPr="00DD2F01">
              <w:rPr>
                <w:rFonts w:cs="Times New Roman"/>
                <w:sz w:val="20"/>
                <w:szCs w:val="20"/>
              </w:rPr>
              <w:t>0</w:t>
            </w:r>
          </w:p>
        </w:tc>
        <w:tc>
          <w:tcPr>
            <w:tcW w:w="1842" w:type="dxa"/>
            <w:vAlign w:val="center"/>
          </w:tcPr>
          <w:p w14:paraId="108A5F92" w14:textId="53162433" w:rsidR="004434C1" w:rsidRPr="00DD2F01" w:rsidRDefault="00ED2E92" w:rsidP="002A04BF">
            <w:pPr>
              <w:jc w:val="center"/>
              <w:rPr>
                <w:rFonts w:cs="Times New Roman"/>
                <w:sz w:val="20"/>
                <w:szCs w:val="20"/>
              </w:rPr>
            </w:pPr>
            <w:r w:rsidRPr="00DD2F01">
              <w:rPr>
                <w:rFonts w:cs="Times New Roman"/>
                <w:sz w:val="20"/>
                <w:szCs w:val="20"/>
              </w:rPr>
              <w:t>0</w:t>
            </w:r>
          </w:p>
        </w:tc>
      </w:tr>
      <w:tr w:rsidR="0040573F" w:rsidRPr="0040573F" w14:paraId="29AF1EB3" w14:textId="77777777" w:rsidTr="002A04BF">
        <w:tc>
          <w:tcPr>
            <w:tcW w:w="2547" w:type="dxa"/>
            <w:shd w:val="clear" w:color="auto" w:fill="F2F2F2" w:themeFill="background1" w:themeFillShade="F2"/>
          </w:tcPr>
          <w:p w14:paraId="1DE5FAD6" w14:textId="77777777" w:rsidR="004434C1" w:rsidRPr="00DD2F01" w:rsidRDefault="004434C1" w:rsidP="002A04BF">
            <w:pPr>
              <w:rPr>
                <w:rFonts w:cs="Times New Roman"/>
                <w:b/>
                <w:sz w:val="20"/>
                <w:szCs w:val="20"/>
              </w:rPr>
            </w:pPr>
            <w:r w:rsidRPr="00DD2F01">
              <w:rPr>
                <w:rFonts w:cs="Times New Roman"/>
                <w:b/>
                <w:sz w:val="20"/>
                <w:szCs w:val="20"/>
              </w:rPr>
              <w:t xml:space="preserve">IZVORI FINANCIRANJA </w:t>
            </w:r>
          </w:p>
        </w:tc>
        <w:tc>
          <w:tcPr>
            <w:tcW w:w="2551" w:type="dxa"/>
            <w:vAlign w:val="center"/>
          </w:tcPr>
          <w:p w14:paraId="1AD49CC4" w14:textId="54AA76D3" w:rsidR="004434C1" w:rsidRPr="00DD2F01" w:rsidRDefault="004434C1" w:rsidP="00A75D55">
            <w:pPr>
              <w:jc w:val="center"/>
              <w:rPr>
                <w:rFonts w:cs="Times New Roman"/>
                <w:b/>
                <w:sz w:val="20"/>
                <w:szCs w:val="20"/>
              </w:rPr>
            </w:pPr>
            <w:r w:rsidRPr="00DD2F01">
              <w:rPr>
                <w:rFonts w:cs="Times New Roman"/>
                <w:b/>
                <w:sz w:val="20"/>
                <w:szCs w:val="20"/>
              </w:rPr>
              <w:t>Državni proračun</w:t>
            </w:r>
            <w:r w:rsidR="002F7831" w:rsidRPr="00DD2F01">
              <w:rPr>
                <w:rFonts w:cs="Times New Roman"/>
                <w:b/>
                <w:sz w:val="20"/>
                <w:szCs w:val="20"/>
              </w:rPr>
              <w:t xml:space="preserve"> </w:t>
            </w:r>
            <w:r w:rsidRPr="00DD2F01">
              <w:rPr>
                <w:rFonts w:cs="Times New Roman"/>
                <w:b/>
                <w:sz w:val="20"/>
                <w:szCs w:val="20"/>
              </w:rPr>
              <w:t>(EUR)</w:t>
            </w:r>
          </w:p>
        </w:tc>
        <w:tc>
          <w:tcPr>
            <w:tcW w:w="2127" w:type="dxa"/>
            <w:vAlign w:val="center"/>
          </w:tcPr>
          <w:p w14:paraId="698EC771" w14:textId="77777777" w:rsidR="004434C1" w:rsidRPr="00DD2F01" w:rsidRDefault="004434C1" w:rsidP="002A04BF">
            <w:pPr>
              <w:jc w:val="center"/>
              <w:rPr>
                <w:rFonts w:cs="Times New Roman"/>
                <w:b/>
                <w:sz w:val="20"/>
                <w:szCs w:val="20"/>
              </w:rPr>
            </w:pPr>
            <w:r w:rsidRPr="00DD2F01">
              <w:rPr>
                <w:rFonts w:cs="Times New Roman"/>
                <w:b/>
                <w:sz w:val="20"/>
                <w:szCs w:val="20"/>
              </w:rPr>
              <w:t>EU financiranje (EUR)</w:t>
            </w:r>
          </w:p>
        </w:tc>
        <w:tc>
          <w:tcPr>
            <w:tcW w:w="1842" w:type="dxa"/>
            <w:vAlign w:val="center"/>
          </w:tcPr>
          <w:p w14:paraId="25863BC1" w14:textId="77777777" w:rsidR="004434C1" w:rsidRPr="00DD2F01" w:rsidRDefault="004434C1" w:rsidP="002A04BF">
            <w:pPr>
              <w:jc w:val="center"/>
              <w:rPr>
                <w:rFonts w:cs="Times New Roman"/>
                <w:b/>
                <w:sz w:val="20"/>
                <w:szCs w:val="20"/>
              </w:rPr>
            </w:pPr>
            <w:r w:rsidRPr="00DD2F01">
              <w:rPr>
                <w:rFonts w:cs="Times New Roman"/>
                <w:b/>
                <w:sz w:val="20"/>
                <w:szCs w:val="20"/>
              </w:rPr>
              <w:t>Drugi izvori (EUR)</w:t>
            </w:r>
          </w:p>
        </w:tc>
      </w:tr>
      <w:tr w:rsidR="0040573F" w:rsidRPr="0040573F" w14:paraId="4AE426D2" w14:textId="77777777" w:rsidTr="002A04BF">
        <w:tc>
          <w:tcPr>
            <w:tcW w:w="2547" w:type="dxa"/>
            <w:shd w:val="clear" w:color="auto" w:fill="F2F2F2" w:themeFill="background1" w:themeFillShade="F2"/>
          </w:tcPr>
          <w:p w14:paraId="3E398CB9" w14:textId="759E187F" w:rsidR="004434C1" w:rsidRPr="00DD2F01" w:rsidRDefault="004434C1" w:rsidP="009B1CEB">
            <w:pPr>
              <w:rPr>
                <w:rFonts w:cs="Times New Roman"/>
                <w:sz w:val="20"/>
                <w:szCs w:val="20"/>
              </w:rPr>
            </w:pPr>
            <w:r w:rsidRPr="00DD2F01">
              <w:rPr>
                <w:rFonts w:cs="Times New Roman"/>
                <w:sz w:val="20"/>
                <w:szCs w:val="20"/>
              </w:rPr>
              <w:t>Izvori financiranja u 202</w:t>
            </w:r>
            <w:r w:rsidR="0040573F" w:rsidRPr="00DD2F01">
              <w:rPr>
                <w:rFonts w:cs="Times New Roman"/>
                <w:sz w:val="20"/>
                <w:szCs w:val="20"/>
              </w:rPr>
              <w:t>4</w:t>
            </w:r>
            <w:r w:rsidRPr="00DD2F01">
              <w:rPr>
                <w:rFonts w:cs="Times New Roman"/>
                <w:sz w:val="20"/>
                <w:szCs w:val="20"/>
              </w:rPr>
              <w:t>. (proračunska pozicija i predviđeni iznos sredstava)</w:t>
            </w:r>
          </w:p>
        </w:tc>
        <w:tc>
          <w:tcPr>
            <w:tcW w:w="2551" w:type="dxa"/>
            <w:vAlign w:val="center"/>
          </w:tcPr>
          <w:p w14:paraId="1EE9B2C8" w14:textId="3E1C9041" w:rsidR="004434C1" w:rsidRPr="00DD2F01" w:rsidRDefault="004434C1" w:rsidP="002A04BF">
            <w:pPr>
              <w:jc w:val="center"/>
              <w:rPr>
                <w:rFonts w:cs="Times New Roman"/>
                <w:sz w:val="20"/>
                <w:szCs w:val="20"/>
              </w:rPr>
            </w:pPr>
            <w:r w:rsidRPr="00DD2F01">
              <w:rPr>
                <w:rFonts w:cs="Times New Roman"/>
                <w:sz w:val="20"/>
                <w:szCs w:val="20"/>
              </w:rPr>
              <w:t>A767015 – Provedba</w:t>
            </w:r>
            <w:r w:rsidR="00A75D55" w:rsidRPr="00DD2F01">
              <w:rPr>
                <w:rFonts w:cs="Times New Roman"/>
                <w:sz w:val="20"/>
                <w:szCs w:val="20"/>
              </w:rPr>
              <w:t xml:space="preserve"> </w:t>
            </w:r>
            <w:r w:rsidRPr="00DD2F01">
              <w:rPr>
                <w:rFonts w:cs="Times New Roman"/>
                <w:sz w:val="20"/>
                <w:szCs w:val="20"/>
              </w:rPr>
              <w:t>programa za uključivanje</w:t>
            </w:r>
            <w:r w:rsidR="00D36147" w:rsidRPr="00DD2F01">
              <w:rPr>
                <w:rFonts w:cs="Times New Roman"/>
                <w:sz w:val="20"/>
                <w:szCs w:val="20"/>
              </w:rPr>
              <w:t xml:space="preserve"> </w:t>
            </w:r>
            <w:r w:rsidRPr="00DD2F01">
              <w:rPr>
                <w:rFonts w:cs="Times New Roman"/>
                <w:sz w:val="20"/>
                <w:szCs w:val="20"/>
              </w:rPr>
              <w:t>Roma</w:t>
            </w:r>
          </w:p>
          <w:p w14:paraId="40A68646" w14:textId="2DD5663E" w:rsidR="004434C1" w:rsidRPr="00DD2F01" w:rsidRDefault="0040573F" w:rsidP="0040573F">
            <w:pPr>
              <w:jc w:val="center"/>
              <w:rPr>
                <w:rFonts w:cs="Times New Roman"/>
                <w:sz w:val="20"/>
                <w:szCs w:val="20"/>
              </w:rPr>
            </w:pPr>
            <w:r w:rsidRPr="00DD2F01">
              <w:rPr>
                <w:rFonts w:cs="Times New Roman"/>
                <w:sz w:val="20"/>
                <w:szCs w:val="20"/>
              </w:rPr>
              <w:t>0,00</w:t>
            </w:r>
          </w:p>
        </w:tc>
        <w:tc>
          <w:tcPr>
            <w:tcW w:w="2127" w:type="dxa"/>
            <w:vAlign w:val="center"/>
          </w:tcPr>
          <w:p w14:paraId="4F7A1321" w14:textId="77777777" w:rsidR="004434C1" w:rsidRPr="00DD2F01" w:rsidRDefault="004434C1" w:rsidP="002A04BF">
            <w:pPr>
              <w:jc w:val="center"/>
              <w:rPr>
                <w:rFonts w:cs="Times New Roman"/>
                <w:sz w:val="20"/>
                <w:szCs w:val="20"/>
              </w:rPr>
            </w:pPr>
            <w:r w:rsidRPr="00DD2F01">
              <w:rPr>
                <w:rFonts w:cs="Times New Roman"/>
                <w:sz w:val="20"/>
                <w:szCs w:val="20"/>
              </w:rPr>
              <w:t>0,00</w:t>
            </w:r>
          </w:p>
        </w:tc>
        <w:tc>
          <w:tcPr>
            <w:tcW w:w="1842" w:type="dxa"/>
            <w:vAlign w:val="center"/>
          </w:tcPr>
          <w:p w14:paraId="193CC1D1" w14:textId="77777777" w:rsidR="004434C1" w:rsidRPr="00DD2F01" w:rsidRDefault="004434C1" w:rsidP="002A04BF">
            <w:pPr>
              <w:jc w:val="center"/>
              <w:rPr>
                <w:rFonts w:cs="Times New Roman"/>
                <w:sz w:val="20"/>
                <w:szCs w:val="20"/>
              </w:rPr>
            </w:pPr>
            <w:r w:rsidRPr="00DD2F01">
              <w:rPr>
                <w:rFonts w:cs="Times New Roman"/>
                <w:sz w:val="20"/>
                <w:szCs w:val="20"/>
              </w:rPr>
              <w:t xml:space="preserve">0,00 </w:t>
            </w:r>
          </w:p>
        </w:tc>
      </w:tr>
      <w:tr w:rsidR="0040573F" w:rsidRPr="0040573F" w14:paraId="7466DDFD" w14:textId="77777777" w:rsidTr="002A04BF">
        <w:tc>
          <w:tcPr>
            <w:tcW w:w="2547" w:type="dxa"/>
            <w:vMerge w:val="restart"/>
            <w:shd w:val="clear" w:color="auto" w:fill="F2F2F2" w:themeFill="background1" w:themeFillShade="F2"/>
          </w:tcPr>
          <w:p w14:paraId="2DB23376" w14:textId="77777777" w:rsidR="004434C1" w:rsidRPr="00DD2F01" w:rsidRDefault="004434C1" w:rsidP="002A04BF">
            <w:pPr>
              <w:rPr>
                <w:rFonts w:cs="Times New Roman"/>
                <w:b/>
                <w:sz w:val="20"/>
                <w:szCs w:val="20"/>
              </w:rPr>
            </w:pPr>
            <w:r w:rsidRPr="00DD2F01">
              <w:rPr>
                <w:rFonts w:cs="Times New Roman"/>
                <w:b/>
                <w:sz w:val="20"/>
                <w:szCs w:val="20"/>
              </w:rPr>
              <w:t xml:space="preserve">UKUPNO UTROŠENA SREDSTVA PO IZVORU </w:t>
            </w:r>
          </w:p>
        </w:tc>
        <w:tc>
          <w:tcPr>
            <w:tcW w:w="2551" w:type="dxa"/>
            <w:vAlign w:val="center"/>
          </w:tcPr>
          <w:p w14:paraId="286D024C" w14:textId="17E47A08" w:rsidR="004434C1" w:rsidRPr="00DD2F01" w:rsidRDefault="004434C1" w:rsidP="00A75D55">
            <w:pPr>
              <w:jc w:val="center"/>
              <w:rPr>
                <w:rFonts w:cs="Times New Roman"/>
                <w:b/>
                <w:sz w:val="20"/>
                <w:szCs w:val="20"/>
              </w:rPr>
            </w:pPr>
            <w:r w:rsidRPr="00DD2F01">
              <w:rPr>
                <w:rFonts w:cs="Times New Roman"/>
                <w:b/>
                <w:sz w:val="20"/>
                <w:szCs w:val="20"/>
              </w:rPr>
              <w:t>Državni proračun</w:t>
            </w:r>
            <w:r w:rsidR="00A75D55" w:rsidRPr="00DD2F01">
              <w:rPr>
                <w:rFonts w:cs="Times New Roman"/>
                <w:b/>
                <w:sz w:val="20"/>
                <w:szCs w:val="20"/>
              </w:rPr>
              <w:t xml:space="preserve"> </w:t>
            </w:r>
            <w:r w:rsidRPr="00DD2F01">
              <w:rPr>
                <w:rFonts w:cs="Times New Roman"/>
                <w:b/>
                <w:sz w:val="20"/>
                <w:szCs w:val="20"/>
              </w:rPr>
              <w:t>(EUR)</w:t>
            </w:r>
          </w:p>
        </w:tc>
        <w:tc>
          <w:tcPr>
            <w:tcW w:w="2127" w:type="dxa"/>
            <w:vAlign w:val="center"/>
          </w:tcPr>
          <w:p w14:paraId="78FDDB92" w14:textId="77777777" w:rsidR="004434C1" w:rsidRPr="00DD2F01" w:rsidRDefault="004434C1" w:rsidP="002A04BF">
            <w:pPr>
              <w:jc w:val="center"/>
              <w:rPr>
                <w:rFonts w:cs="Times New Roman"/>
                <w:b/>
                <w:sz w:val="20"/>
                <w:szCs w:val="20"/>
              </w:rPr>
            </w:pPr>
            <w:r w:rsidRPr="00DD2F01">
              <w:rPr>
                <w:rFonts w:cs="Times New Roman"/>
                <w:b/>
                <w:sz w:val="20"/>
                <w:szCs w:val="20"/>
              </w:rPr>
              <w:t>EU financiranje (EUR)</w:t>
            </w:r>
          </w:p>
        </w:tc>
        <w:tc>
          <w:tcPr>
            <w:tcW w:w="1842" w:type="dxa"/>
            <w:vAlign w:val="center"/>
          </w:tcPr>
          <w:p w14:paraId="3DDD788F" w14:textId="77777777" w:rsidR="004434C1" w:rsidRPr="00DD2F01" w:rsidRDefault="004434C1" w:rsidP="002A04BF">
            <w:pPr>
              <w:jc w:val="center"/>
              <w:rPr>
                <w:rFonts w:cs="Times New Roman"/>
                <w:b/>
                <w:sz w:val="20"/>
                <w:szCs w:val="20"/>
              </w:rPr>
            </w:pPr>
            <w:r w:rsidRPr="00DD2F01">
              <w:rPr>
                <w:rFonts w:cs="Times New Roman"/>
                <w:b/>
                <w:sz w:val="20"/>
                <w:szCs w:val="20"/>
              </w:rPr>
              <w:t>Drugi izvori (EUR)</w:t>
            </w:r>
          </w:p>
        </w:tc>
      </w:tr>
      <w:tr w:rsidR="0040573F" w:rsidRPr="0040573F" w14:paraId="4F3FD5AA" w14:textId="77777777" w:rsidTr="002A04BF">
        <w:tc>
          <w:tcPr>
            <w:tcW w:w="2547" w:type="dxa"/>
            <w:vMerge/>
            <w:shd w:val="clear" w:color="auto" w:fill="F2F2F2" w:themeFill="background1" w:themeFillShade="F2"/>
          </w:tcPr>
          <w:p w14:paraId="295F1D29" w14:textId="77777777" w:rsidR="004434C1" w:rsidRPr="00DD2F01" w:rsidRDefault="004434C1" w:rsidP="002A04BF">
            <w:pPr>
              <w:rPr>
                <w:rFonts w:cs="Times New Roman"/>
                <w:b/>
                <w:sz w:val="20"/>
                <w:szCs w:val="20"/>
              </w:rPr>
            </w:pPr>
          </w:p>
        </w:tc>
        <w:tc>
          <w:tcPr>
            <w:tcW w:w="2551" w:type="dxa"/>
            <w:vAlign w:val="center"/>
          </w:tcPr>
          <w:p w14:paraId="40EE7740" w14:textId="281CF133" w:rsidR="004434C1" w:rsidRPr="00DD2F01" w:rsidRDefault="004434C1" w:rsidP="002A04BF">
            <w:pPr>
              <w:jc w:val="center"/>
              <w:rPr>
                <w:rFonts w:cs="Times New Roman"/>
                <w:b/>
                <w:bCs/>
                <w:sz w:val="20"/>
                <w:szCs w:val="20"/>
              </w:rPr>
            </w:pPr>
            <w:r w:rsidRPr="00DD2F01">
              <w:rPr>
                <w:rFonts w:cs="Times New Roman"/>
                <w:b/>
                <w:bCs/>
                <w:sz w:val="20"/>
                <w:szCs w:val="20"/>
              </w:rPr>
              <w:t>0,00</w:t>
            </w:r>
          </w:p>
        </w:tc>
        <w:tc>
          <w:tcPr>
            <w:tcW w:w="2127" w:type="dxa"/>
            <w:vAlign w:val="center"/>
          </w:tcPr>
          <w:p w14:paraId="1761A56C" w14:textId="77777777" w:rsidR="004434C1" w:rsidRPr="00DD2F01" w:rsidRDefault="004434C1" w:rsidP="002A04BF">
            <w:pPr>
              <w:jc w:val="center"/>
              <w:rPr>
                <w:rFonts w:cs="Times New Roman"/>
                <w:bCs/>
                <w:sz w:val="20"/>
                <w:szCs w:val="20"/>
              </w:rPr>
            </w:pPr>
            <w:r w:rsidRPr="00DD2F01">
              <w:rPr>
                <w:rFonts w:cs="Times New Roman"/>
                <w:bCs/>
                <w:sz w:val="20"/>
                <w:szCs w:val="20"/>
              </w:rPr>
              <w:t>0,00</w:t>
            </w:r>
          </w:p>
        </w:tc>
        <w:tc>
          <w:tcPr>
            <w:tcW w:w="1842" w:type="dxa"/>
            <w:vAlign w:val="center"/>
          </w:tcPr>
          <w:p w14:paraId="1813EB8A" w14:textId="77777777" w:rsidR="004434C1" w:rsidRPr="00DD2F01" w:rsidRDefault="004434C1" w:rsidP="002A04BF">
            <w:pPr>
              <w:jc w:val="center"/>
              <w:rPr>
                <w:rFonts w:cs="Times New Roman"/>
                <w:bCs/>
                <w:sz w:val="20"/>
                <w:szCs w:val="20"/>
              </w:rPr>
            </w:pPr>
            <w:r w:rsidRPr="00DD2F01">
              <w:rPr>
                <w:rFonts w:cs="Times New Roman"/>
                <w:bCs/>
                <w:sz w:val="20"/>
                <w:szCs w:val="20"/>
              </w:rPr>
              <w:t xml:space="preserve">0,00 </w:t>
            </w:r>
          </w:p>
        </w:tc>
      </w:tr>
      <w:tr w:rsidR="0040573F" w:rsidRPr="0040573F" w14:paraId="603DE79F" w14:textId="77777777" w:rsidTr="002A04BF">
        <w:tc>
          <w:tcPr>
            <w:tcW w:w="2547" w:type="dxa"/>
            <w:shd w:val="clear" w:color="auto" w:fill="F2F2F2" w:themeFill="background1" w:themeFillShade="F2"/>
          </w:tcPr>
          <w:p w14:paraId="5EF4AE00" w14:textId="138C74CE" w:rsidR="004434C1" w:rsidRPr="00DD2F01" w:rsidRDefault="004434C1" w:rsidP="002A04BF">
            <w:pPr>
              <w:rPr>
                <w:rFonts w:cs="Times New Roman"/>
                <w:sz w:val="20"/>
                <w:szCs w:val="20"/>
              </w:rPr>
            </w:pPr>
            <w:r w:rsidRPr="00DD2F01">
              <w:rPr>
                <w:rFonts w:cs="Times New Roman"/>
                <w:sz w:val="20"/>
                <w:szCs w:val="20"/>
              </w:rPr>
              <w:t xml:space="preserve">ROK PROVEDBE </w:t>
            </w:r>
            <w:r w:rsidR="00D36147" w:rsidRPr="00DD2F01">
              <w:rPr>
                <w:rFonts w:cs="Times New Roman"/>
                <w:sz w:val="20"/>
                <w:szCs w:val="20"/>
              </w:rPr>
              <w:t>A</w:t>
            </w:r>
            <w:r w:rsidRPr="00DD2F01">
              <w:rPr>
                <w:rFonts w:cs="Times New Roman"/>
                <w:sz w:val="20"/>
                <w:szCs w:val="20"/>
              </w:rPr>
              <w:t>KTIVNOSTI</w:t>
            </w:r>
          </w:p>
        </w:tc>
        <w:tc>
          <w:tcPr>
            <w:tcW w:w="6520" w:type="dxa"/>
            <w:gridSpan w:val="3"/>
            <w:vAlign w:val="center"/>
          </w:tcPr>
          <w:p w14:paraId="6BC42EA2" w14:textId="77777777" w:rsidR="004434C1" w:rsidRPr="00DD2F01" w:rsidRDefault="004434C1" w:rsidP="002A04BF">
            <w:pPr>
              <w:rPr>
                <w:rFonts w:cs="Times New Roman"/>
                <w:sz w:val="20"/>
                <w:szCs w:val="20"/>
              </w:rPr>
            </w:pPr>
            <w:r w:rsidRPr="00DD2F01">
              <w:rPr>
                <w:rFonts w:cs="Times New Roman"/>
                <w:sz w:val="20"/>
                <w:szCs w:val="20"/>
              </w:rPr>
              <w:t>IV. kvartal 2025.</w:t>
            </w:r>
          </w:p>
        </w:tc>
      </w:tr>
    </w:tbl>
    <w:p w14:paraId="3743FFDA" w14:textId="77777777" w:rsidR="001B48A1" w:rsidRDefault="001B48A1" w:rsidP="004A3B23">
      <w:pPr>
        <w:spacing w:after="0" w:line="276" w:lineRule="auto"/>
        <w:jc w:val="both"/>
        <w:rPr>
          <w:rFonts w:cs="Times New Roman"/>
          <w:i/>
        </w:rPr>
      </w:pPr>
    </w:p>
    <w:p w14:paraId="48BACC20" w14:textId="77777777" w:rsidR="003379F1" w:rsidRPr="00FC64BF" w:rsidRDefault="003379F1" w:rsidP="004A3B23">
      <w:pPr>
        <w:spacing w:after="0" w:line="276" w:lineRule="auto"/>
        <w:jc w:val="both"/>
        <w:rPr>
          <w:rFonts w:cs="Times New Roman"/>
          <w:i/>
        </w:rPr>
      </w:pPr>
    </w:p>
    <w:p w14:paraId="702E0327" w14:textId="074F4B08" w:rsidR="00455F3A" w:rsidRPr="00FC64BF" w:rsidRDefault="00455F3A" w:rsidP="00D36147">
      <w:pPr>
        <w:spacing w:after="0" w:line="276" w:lineRule="auto"/>
        <w:jc w:val="both"/>
        <w:rPr>
          <w:rFonts w:cs="Times New Roman"/>
          <w:i/>
        </w:rPr>
      </w:pPr>
      <w:r w:rsidRPr="00FC64BF">
        <w:rPr>
          <w:rFonts w:cs="Times New Roman"/>
          <w:i/>
        </w:rPr>
        <w:t>Aktivnost: 4.1.2. Izrada analize te plana za smanjivanje udjela romske djece pohađaju osnovnoškolsko obrazovanje u skupinama u kojima je većina ili su sva djeca Romi</w:t>
      </w:r>
    </w:p>
    <w:p w14:paraId="67BD61AE" w14:textId="1005A362" w:rsidR="00FC2B8D" w:rsidRPr="00FC64BF" w:rsidRDefault="00455F3A" w:rsidP="00D36147">
      <w:pPr>
        <w:spacing w:after="0" w:line="276" w:lineRule="auto"/>
        <w:jc w:val="both"/>
        <w:rPr>
          <w:rFonts w:cs="Times New Roman"/>
          <w:i/>
        </w:rPr>
      </w:pPr>
      <w:r w:rsidRPr="00FC64BF">
        <w:rPr>
          <w:rFonts w:cs="Times New Roman"/>
          <w:i/>
          <w:iCs/>
        </w:rPr>
        <w:t xml:space="preserve">Nositelj provedbe: </w:t>
      </w:r>
      <w:r w:rsidR="00F36CF1">
        <w:rPr>
          <w:rFonts w:cs="Times New Roman"/>
          <w:i/>
          <w:iCs/>
        </w:rPr>
        <w:t>Ministarstvo znanosti, obrazovanja i mladih</w:t>
      </w:r>
      <w:r w:rsidR="00ED2E92" w:rsidRPr="00FC64BF">
        <w:rPr>
          <w:rFonts w:cs="Times New Roman"/>
          <w:i/>
          <w:iCs/>
        </w:rPr>
        <w:t xml:space="preserve">, </w:t>
      </w:r>
      <w:r w:rsidR="00026107">
        <w:rPr>
          <w:rFonts w:cs="Times New Roman"/>
          <w:i/>
          <w:iCs/>
        </w:rPr>
        <w:t>JLP(R)S</w:t>
      </w:r>
      <w:r w:rsidR="00ED2E92" w:rsidRPr="00FC64BF">
        <w:rPr>
          <w:rFonts w:cs="Times New Roman"/>
          <w:i/>
          <w:iCs/>
        </w:rPr>
        <w:t xml:space="preserve"> </w:t>
      </w:r>
      <w:r w:rsidR="00ED2E92" w:rsidRPr="00FC64BF">
        <w:rPr>
          <w:rFonts w:cs="Times New Roman"/>
          <w:i/>
          <w:iCs/>
        </w:rPr>
        <w:cr/>
      </w:r>
      <w:r w:rsidRPr="00FC64BF">
        <w:rPr>
          <w:rFonts w:cs="Times New Roman"/>
          <w:i/>
        </w:rPr>
        <w:t>Partneri: Upravni odjeli za obrazovanje u županijama, Gradski ured za obrazovanje</w:t>
      </w:r>
      <w:r w:rsidR="00ED2E92" w:rsidRPr="00FC64BF">
        <w:rPr>
          <w:rFonts w:cs="Times New Roman"/>
          <w:i/>
        </w:rPr>
        <w:t xml:space="preserve"> </w:t>
      </w:r>
      <w:r w:rsidRPr="00FC64BF">
        <w:rPr>
          <w:rFonts w:cs="Times New Roman"/>
          <w:i/>
        </w:rPr>
        <w:t>Grada Zagreba, osnovne škole, pravobraniteljske institucije, predstavnici romske nacionalne manjine</w:t>
      </w:r>
    </w:p>
    <w:p w14:paraId="7FDFB17A" w14:textId="0405453D" w:rsidR="001C03B5" w:rsidRPr="00DC3D3E" w:rsidRDefault="001C03B5" w:rsidP="00D36147">
      <w:pPr>
        <w:spacing w:after="0" w:line="276" w:lineRule="auto"/>
        <w:jc w:val="both"/>
        <w:rPr>
          <w:rFonts w:cs="Times New Roman"/>
          <w:i/>
          <w:iCs/>
        </w:rPr>
      </w:pPr>
    </w:p>
    <w:p w14:paraId="572F1CDE" w14:textId="1BCDC168" w:rsidR="00A96984" w:rsidRPr="00FC64BF" w:rsidRDefault="00A96984" w:rsidP="00D36147">
      <w:pPr>
        <w:spacing w:after="0" w:line="276" w:lineRule="auto"/>
        <w:jc w:val="both"/>
        <w:rPr>
          <w:rFonts w:cs="Times New Roman"/>
          <w:iCs/>
        </w:rPr>
      </w:pPr>
      <w:r w:rsidRPr="00DC3D3E">
        <w:rPr>
          <w:rFonts w:cs="Times New Roman"/>
          <w:iCs/>
        </w:rPr>
        <w:t>M</w:t>
      </w:r>
      <w:r w:rsidRPr="00FC64BF">
        <w:rPr>
          <w:rFonts w:cs="Times New Roman"/>
          <w:iCs/>
        </w:rPr>
        <w:t xml:space="preserve">inistarstvo znanosti, obrazovanja i mladih ima za cilj osiguravanje preduvjeta za poboljšanje obrazovnih postignuća, socijalizacije te uključivanje u društvo djece i učenika pripadnika romske nacionalne manjine. Jedna od aktivnosti koja se pokazala nužnom jest rješavanje i poduzimanje radnji s ciljem rješavanja problematike formiranja razrednih odjela u kojima su svi učenici Romi u suradnji s osnivačima školskih ustanova kao glavnim predlagateljima mogućih rješenja. Navedena aktivnost uključuje redovite sastanke sa svim dionicima s ciljem definiranja i usuglašavanja polazišnih točaka, ciljeva te rješenja na svim razinama, od lokalne do nacionalne, uključujući predstavnike romske nacionalne manjine, s posebnim naglaskom na integraciju kao dvosmjerni proces koji obuhvaća aktivno sudjelovanje kako romske tako i većinske zajednice. Vezano uz problematiku segregacije romskih učenika te formiranje etnički segregiranih razrednih odjela važno je naglasiti kako je formiranje takvih odjela vezano uz segregirana područja na kojima većinom žive pripadnici romske nacionalne manjine što predstavlja izazov u integraciji u širu zajednicu, pa tako i odgojno-obrazovni sustav. Kontinuiranom provedbom svih aktivnosti na svim razinama odgojno-obrazovnog sustava poboljšavaju se uvjeti za osiguravanjem kvalitetnog i inkluzivnog odgoja i obrazovanja djece i učenika pripadnika romske nacionalne manjine, a posljedično sve navedeno doprinosi uspješnijoj integraciji učenika u društvo u cjelini. </w:t>
      </w:r>
      <w:r w:rsidR="00F36CF1">
        <w:rPr>
          <w:rFonts w:cs="Times New Roman"/>
          <w:iCs/>
        </w:rPr>
        <w:t>Ministarstvo znanosti, obrazovanja i mladih</w:t>
      </w:r>
      <w:r w:rsidRPr="00FC64BF">
        <w:rPr>
          <w:rFonts w:cs="Times New Roman"/>
          <w:iCs/>
        </w:rPr>
        <w:t xml:space="preserve"> dugogodišnjom provedbom svih mjera i aktivnosti značajno doprinosi integraciji i smanjenju potencijalne diskriminacije pripadnika romske nacionalne manjine. Ministarstvo je u 2024. </w:t>
      </w:r>
      <w:r w:rsidR="00B36ECB">
        <w:rPr>
          <w:rFonts w:cs="Times New Roman"/>
          <w:iCs/>
        </w:rPr>
        <w:t xml:space="preserve">godini </w:t>
      </w:r>
      <w:r w:rsidRPr="00FC64BF">
        <w:rPr>
          <w:rFonts w:cs="Times New Roman"/>
          <w:iCs/>
        </w:rPr>
        <w:t>održalo niz sastanaka s ravnateljima osnovnih škola u cilju iznalaženja zajedničkog rješenja oko razrednih odjela u kojima su većina ili svi učenici Romi. Ravnatelji osnovnih škola iznijeli su aktivnosti koje škole poduzimaju u cilju ublažavanja obrazovne segregacije kao i izazove s kojima se susreću pri formiranju razrednih odjela (iseljavanje većinskog stanovništva, udaljenost romskih naselja, pad broja učenika i većinskog i manjinskog stanovništva i dr.). Valja naglasiti kako sve škole provode veliki broj različitih izvannastavnih i izvanškolskih aktivnosti s ciljem dodatne integracije učenika pripadnika romske nacionalne manjine te osnaživanja učitelja i stručnih suradnika kao i povećanja kvalitete rada.</w:t>
      </w:r>
    </w:p>
    <w:p w14:paraId="2EF92D7A" w14:textId="77777777" w:rsidR="00ED2E92" w:rsidRPr="00FC64BF" w:rsidRDefault="00ED2E92" w:rsidP="00D36147">
      <w:pPr>
        <w:spacing w:after="0" w:line="276" w:lineRule="auto"/>
        <w:jc w:val="both"/>
        <w:rPr>
          <w:rFonts w:cs="Times New Roman"/>
          <w:iCs/>
        </w:rPr>
      </w:pPr>
    </w:p>
    <w:tbl>
      <w:tblPr>
        <w:tblStyle w:val="TableGrid"/>
        <w:tblW w:w="5000" w:type="pct"/>
        <w:tblLayout w:type="fixed"/>
        <w:tblLook w:val="04A0" w:firstRow="1" w:lastRow="0" w:firstColumn="1" w:lastColumn="0" w:noHBand="0" w:noVBand="1"/>
      </w:tblPr>
      <w:tblGrid>
        <w:gridCol w:w="2645"/>
        <w:gridCol w:w="2028"/>
        <w:gridCol w:w="1986"/>
        <w:gridCol w:w="2403"/>
      </w:tblGrid>
      <w:tr w:rsidR="00CE622A" w:rsidRPr="00A96984" w14:paraId="4B4C5CCE" w14:textId="77777777" w:rsidTr="00AF43CC">
        <w:tc>
          <w:tcPr>
            <w:tcW w:w="1459" w:type="pct"/>
            <w:shd w:val="clear" w:color="auto" w:fill="F2F2F2" w:themeFill="background1" w:themeFillShade="F2"/>
            <w:vAlign w:val="center"/>
          </w:tcPr>
          <w:p w14:paraId="02BD4793" w14:textId="57C30084" w:rsidR="00ED2E92" w:rsidRPr="00FC64BF" w:rsidRDefault="007E61F3" w:rsidP="002A04BF">
            <w:pPr>
              <w:rPr>
                <w:b/>
                <w:sz w:val="20"/>
                <w:szCs w:val="20"/>
              </w:rPr>
            </w:pPr>
            <w:r w:rsidRPr="00FC64BF">
              <w:rPr>
                <w:b/>
                <w:sz w:val="20"/>
                <w:szCs w:val="20"/>
              </w:rPr>
              <w:t>Pokazatelji provedbe i pokazatelji uspješnosti provedbe</w:t>
            </w:r>
          </w:p>
        </w:tc>
        <w:tc>
          <w:tcPr>
            <w:tcW w:w="1119" w:type="pct"/>
            <w:shd w:val="clear" w:color="auto" w:fill="F2F2F2" w:themeFill="background1" w:themeFillShade="F2"/>
            <w:vAlign w:val="center"/>
          </w:tcPr>
          <w:p w14:paraId="787EBC4B" w14:textId="4532FBE2" w:rsidR="00ED2E92" w:rsidRPr="00FC64BF" w:rsidRDefault="00ED2E92" w:rsidP="00AF43CC">
            <w:pPr>
              <w:jc w:val="center"/>
              <w:rPr>
                <w:b/>
                <w:sz w:val="20"/>
                <w:szCs w:val="20"/>
              </w:rPr>
            </w:pPr>
            <w:r w:rsidRPr="00FC64BF">
              <w:rPr>
                <w:b/>
                <w:sz w:val="20"/>
                <w:szCs w:val="20"/>
              </w:rPr>
              <w:t>Broj škola s odjelima koji pohađaju samo pripadnici romske nacionalne manjine</w:t>
            </w:r>
          </w:p>
        </w:tc>
        <w:tc>
          <w:tcPr>
            <w:tcW w:w="1096" w:type="pct"/>
            <w:shd w:val="clear" w:color="auto" w:fill="F2F2F2" w:themeFill="background1" w:themeFillShade="F2"/>
            <w:vAlign w:val="center"/>
          </w:tcPr>
          <w:p w14:paraId="7ABE0450" w14:textId="150655A5" w:rsidR="00ED2E92" w:rsidRPr="00FC64BF" w:rsidRDefault="00ED2E92" w:rsidP="00AF43CC">
            <w:pPr>
              <w:jc w:val="center"/>
              <w:rPr>
                <w:b/>
                <w:sz w:val="20"/>
                <w:szCs w:val="20"/>
              </w:rPr>
            </w:pPr>
            <w:r w:rsidRPr="00FC64BF">
              <w:rPr>
                <w:b/>
                <w:sz w:val="20"/>
                <w:szCs w:val="20"/>
              </w:rPr>
              <w:t>Broj odjela koje pohađaju samo pripadnici romske nacionalne manjine</w:t>
            </w:r>
          </w:p>
        </w:tc>
        <w:tc>
          <w:tcPr>
            <w:tcW w:w="1326" w:type="pct"/>
            <w:shd w:val="clear" w:color="auto" w:fill="F2F2F2" w:themeFill="background1" w:themeFillShade="F2"/>
            <w:vAlign w:val="center"/>
          </w:tcPr>
          <w:p w14:paraId="11A6E92F" w14:textId="520B75EC" w:rsidR="00ED2E92" w:rsidRPr="00FC64BF" w:rsidRDefault="00ED2E92" w:rsidP="00AF43CC">
            <w:pPr>
              <w:jc w:val="center"/>
              <w:rPr>
                <w:b/>
                <w:sz w:val="20"/>
                <w:szCs w:val="20"/>
              </w:rPr>
            </w:pPr>
            <w:r w:rsidRPr="00FC64BF">
              <w:rPr>
                <w:b/>
                <w:sz w:val="20"/>
                <w:szCs w:val="20"/>
              </w:rPr>
              <w:t>Broj izrađenih planova za smanjenje broja odjela koje pohađaju samo pripadnici romske nacionalne manjine</w:t>
            </w:r>
          </w:p>
        </w:tc>
      </w:tr>
      <w:tr w:rsidR="00CE622A" w:rsidRPr="00A96984" w14:paraId="2F122509" w14:textId="77777777" w:rsidTr="00A75D55">
        <w:tc>
          <w:tcPr>
            <w:tcW w:w="1459" w:type="pct"/>
            <w:shd w:val="clear" w:color="auto" w:fill="F2F2F2" w:themeFill="background1" w:themeFillShade="F2"/>
            <w:vAlign w:val="center"/>
          </w:tcPr>
          <w:p w14:paraId="4B913589" w14:textId="2BFCE703" w:rsidR="00ED2E92" w:rsidRPr="00FC64BF" w:rsidRDefault="00ED2E92" w:rsidP="009B1CEB">
            <w:pPr>
              <w:rPr>
                <w:rFonts w:cs="Times New Roman"/>
                <w:sz w:val="20"/>
                <w:szCs w:val="20"/>
              </w:rPr>
            </w:pPr>
            <w:r w:rsidRPr="00FC64BF">
              <w:rPr>
                <w:rFonts w:cs="Times New Roman"/>
                <w:sz w:val="20"/>
                <w:szCs w:val="20"/>
              </w:rPr>
              <w:t>Planirani ishodi za pokazatelje provedbe u 202</w:t>
            </w:r>
            <w:r w:rsidR="00A96984" w:rsidRPr="00FC64BF">
              <w:rPr>
                <w:rFonts w:cs="Times New Roman"/>
                <w:sz w:val="20"/>
                <w:szCs w:val="20"/>
              </w:rPr>
              <w:t>4</w:t>
            </w:r>
            <w:r w:rsidRPr="00FC64BF">
              <w:rPr>
                <w:rFonts w:cs="Times New Roman"/>
                <w:sz w:val="20"/>
                <w:szCs w:val="20"/>
              </w:rPr>
              <w:t xml:space="preserve">. </w:t>
            </w:r>
          </w:p>
        </w:tc>
        <w:tc>
          <w:tcPr>
            <w:tcW w:w="1119" w:type="pct"/>
            <w:vAlign w:val="center"/>
          </w:tcPr>
          <w:p w14:paraId="1CBF956C" w14:textId="6E410F5D" w:rsidR="00ED2E92" w:rsidRPr="00FC64BF" w:rsidRDefault="00A96984" w:rsidP="00A96984">
            <w:pPr>
              <w:jc w:val="center"/>
              <w:rPr>
                <w:rFonts w:cs="Times New Roman"/>
                <w:sz w:val="20"/>
                <w:szCs w:val="20"/>
              </w:rPr>
            </w:pPr>
            <w:r w:rsidRPr="00FC64BF">
              <w:rPr>
                <w:rFonts w:cs="Times New Roman"/>
                <w:sz w:val="20"/>
                <w:szCs w:val="20"/>
              </w:rPr>
              <w:t>6</w:t>
            </w:r>
          </w:p>
        </w:tc>
        <w:tc>
          <w:tcPr>
            <w:tcW w:w="1096" w:type="pct"/>
            <w:vAlign w:val="center"/>
          </w:tcPr>
          <w:p w14:paraId="7CD4231A" w14:textId="50F74637" w:rsidR="00ED2E92" w:rsidRPr="00FC64BF" w:rsidRDefault="00A96984" w:rsidP="002A04BF">
            <w:pPr>
              <w:jc w:val="center"/>
              <w:rPr>
                <w:rFonts w:cs="Times New Roman"/>
                <w:sz w:val="20"/>
                <w:szCs w:val="20"/>
              </w:rPr>
            </w:pPr>
            <w:r w:rsidRPr="00FC64BF">
              <w:rPr>
                <w:rFonts w:cs="Times New Roman"/>
                <w:sz w:val="20"/>
                <w:szCs w:val="20"/>
              </w:rPr>
              <w:t>5</w:t>
            </w:r>
            <w:r w:rsidR="00DC2303" w:rsidRPr="00FC64BF">
              <w:rPr>
                <w:rFonts w:cs="Times New Roman"/>
                <w:sz w:val="20"/>
                <w:szCs w:val="20"/>
              </w:rPr>
              <w:t>0</w:t>
            </w:r>
          </w:p>
        </w:tc>
        <w:tc>
          <w:tcPr>
            <w:tcW w:w="1326" w:type="pct"/>
            <w:vAlign w:val="center"/>
          </w:tcPr>
          <w:p w14:paraId="71539899" w14:textId="394D8752" w:rsidR="00ED2E92" w:rsidRPr="00FC64BF" w:rsidRDefault="00A96984" w:rsidP="00A96984">
            <w:pPr>
              <w:jc w:val="center"/>
              <w:rPr>
                <w:rFonts w:cs="Times New Roman"/>
                <w:sz w:val="20"/>
                <w:szCs w:val="20"/>
              </w:rPr>
            </w:pPr>
            <w:r w:rsidRPr="00FC64BF">
              <w:rPr>
                <w:rFonts w:cs="Times New Roman"/>
                <w:sz w:val="20"/>
                <w:szCs w:val="20"/>
              </w:rPr>
              <w:t>0</w:t>
            </w:r>
          </w:p>
        </w:tc>
      </w:tr>
      <w:tr w:rsidR="00CE622A" w:rsidRPr="00A96984" w14:paraId="2F28D4C7" w14:textId="77777777" w:rsidTr="00A75D55">
        <w:tc>
          <w:tcPr>
            <w:tcW w:w="1459" w:type="pct"/>
            <w:shd w:val="clear" w:color="auto" w:fill="F2F2F2" w:themeFill="background1" w:themeFillShade="F2"/>
            <w:vAlign w:val="center"/>
          </w:tcPr>
          <w:p w14:paraId="6623A30F" w14:textId="203726C6" w:rsidR="00ED2E92" w:rsidRPr="00FC64BF" w:rsidRDefault="00ED2E92" w:rsidP="009B1CEB">
            <w:pPr>
              <w:rPr>
                <w:rFonts w:cs="Times New Roman"/>
                <w:sz w:val="20"/>
                <w:szCs w:val="20"/>
              </w:rPr>
            </w:pPr>
            <w:r w:rsidRPr="00FC64BF">
              <w:rPr>
                <w:rFonts w:cs="Times New Roman"/>
                <w:sz w:val="20"/>
                <w:szCs w:val="20"/>
              </w:rPr>
              <w:lastRenderedPageBreak/>
              <w:t>Ostvareni ishodi za pokazatelje provedbe u 202</w:t>
            </w:r>
            <w:r w:rsidR="00A96984" w:rsidRPr="00FC64BF">
              <w:rPr>
                <w:rFonts w:cs="Times New Roman"/>
                <w:sz w:val="20"/>
                <w:szCs w:val="20"/>
              </w:rPr>
              <w:t>4</w:t>
            </w:r>
            <w:r w:rsidRPr="00FC64BF">
              <w:rPr>
                <w:rFonts w:cs="Times New Roman"/>
                <w:sz w:val="20"/>
                <w:szCs w:val="20"/>
              </w:rPr>
              <w:t xml:space="preserve">. </w:t>
            </w:r>
          </w:p>
        </w:tc>
        <w:tc>
          <w:tcPr>
            <w:tcW w:w="1119" w:type="pct"/>
            <w:vAlign w:val="center"/>
          </w:tcPr>
          <w:p w14:paraId="003359A9" w14:textId="1EACEE93" w:rsidR="00ED2E92" w:rsidRPr="00FC64BF" w:rsidRDefault="00A96984" w:rsidP="00A96984">
            <w:pPr>
              <w:jc w:val="center"/>
              <w:rPr>
                <w:rFonts w:cs="Times New Roman"/>
                <w:sz w:val="20"/>
                <w:szCs w:val="20"/>
              </w:rPr>
            </w:pPr>
            <w:r w:rsidRPr="00FC64BF">
              <w:rPr>
                <w:rFonts w:cs="Times New Roman"/>
                <w:sz w:val="20"/>
                <w:szCs w:val="20"/>
              </w:rPr>
              <w:t>6</w:t>
            </w:r>
          </w:p>
        </w:tc>
        <w:tc>
          <w:tcPr>
            <w:tcW w:w="1096" w:type="pct"/>
            <w:vAlign w:val="center"/>
          </w:tcPr>
          <w:p w14:paraId="4D034863" w14:textId="6B492CD4" w:rsidR="00ED2E92" w:rsidRPr="00FC64BF" w:rsidRDefault="00A96984">
            <w:pPr>
              <w:jc w:val="center"/>
              <w:rPr>
                <w:rFonts w:cs="Times New Roman"/>
                <w:sz w:val="20"/>
                <w:szCs w:val="20"/>
              </w:rPr>
            </w:pPr>
            <w:r w:rsidRPr="00FC64BF">
              <w:rPr>
                <w:rFonts w:cs="Times New Roman"/>
                <w:sz w:val="20"/>
                <w:szCs w:val="20"/>
              </w:rPr>
              <w:t>79</w:t>
            </w:r>
          </w:p>
        </w:tc>
        <w:tc>
          <w:tcPr>
            <w:tcW w:w="1326" w:type="pct"/>
            <w:vAlign w:val="center"/>
          </w:tcPr>
          <w:p w14:paraId="11FCED50" w14:textId="7BFA058F" w:rsidR="00ED2E92" w:rsidRPr="00FC64BF" w:rsidRDefault="00DC2303" w:rsidP="002A04BF">
            <w:pPr>
              <w:jc w:val="center"/>
              <w:rPr>
                <w:rFonts w:cs="Times New Roman"/>
                <w:sz w:val="20"/>
                <w:szCs w:val="20"/>
              </w:rPr>
            </w:pPr>
            <w:r w:rsidRPr="00FC64BF">
              <w:rPr>
                <w:rFonts w:cs="Times New Roman"/>
                <w:sz w:val="20"/>
                <w:szCs w:val="20"/>
              </w:rPr>
              <w:t>0</w:t>
            </w:r>
          </w:p>
        </w:tc>
      </w:tr>
      <w:tr w:rsidR="00CE622A" w:rsidRPr="00A96984" w14:paraId="6BD715BA" w14:textId="77777777" w:rsidTr="00A75D55">
        <w:tc>
          <w:tcPr>
            <w:tcW w:w="1459" w:type="pct"/>
            <w:shd w:val="clear" w:color="auto" w:fill="F2F2F2" w:themeFill="background1" w:themeFillShade="F2"/>
            <w:vAlign w:val="center"/>
          </w:tcPr>
          <w:p w14:paraId="4C77B168" w14:textId="77777777" w:rsidR="00ED2E92" w:rsidRPr="00FC64BF" w:rsidRDefault="00ED2E92" w:rsidP="002A04BF">
            <w:pPr>
              <w:rPr>
                <w:rFonts w:cs="Times New Roman"/>
                <w:b/>
                <w:sz w:val="20"/>
                <w:szCs w:val="20"/>
              </w:rPr>
            </w:pPr>
            <w:r w:rsidRPr="00FC64BF">
              <w:rPr>
                <w:rFonts w:cs="Times New Roman"/>
                <w:b/>
                <w:sz w:val="20"/>
                <w:szCs w:val="20"/>
              </w:rPr>
              <w:t xml:space="preserve">IZVORI FINANCIRANJA </w:t>
            </w:r>
          </w:p>
        </w:tc>
        <w:tc>
          <w:tcPr>
            <w:tcW w:w="1119" w:type="pct"/>
            <w:vAlign w:val="center"/>
          </w:tcPr>
          <w:p w14:paraId="26DDB7D4" w14:textId="77777777" w:rsidR="00ED2E92" w:rsidRPr="00FC64BF" w:rsidRDefault="00ED2E92" w:rsidP="002A04BF">
            <w:pPr>
              <w:jc w:val="center"/>
              <w:rPr>
                <w:rFonts w:cs="Times New Roman"/>
                <w:b/>
                <w:sz w:val="20"/>
                <w:szCs w:val="20"/>
              </w:rPr>
            </w:pPr>
            <w:r w:rsidRPr="00FC64BF">
              <w:rPr>
                <w:rFonts w:cs="Times New Roman"/>
                <w:b/>
                <w:sz w:val="20"/>
                <w:szCs w:val="20"/>
              </w:rPr>
              <w:t>Državni proračun (EUR)</w:t>
            </w:r>
          </w:p>
        </w:tc>
        <w:tc>
          <w:tcPr>
            <w:tcW w:w="1096" w:type="pct"/>
            <w:vAlign w:val="center"/>
          </w:tcPr>
          <w:p w14:paraId="22E1F9B6" w14:textId="77777777" w:rsidR="00ED2E92" w:rsidRPr="00FC64BF" w:rsidRDefault="00ED2E92" w:rsidP="002A04BF">
            <w:pPr>
              <w:jc w:val="center"/>
              <w:rPr>
                <w:rFonts w:cs="Times New Roman"/>
                <w:b/>
                <w:sz w:val="20"/>
                <w:szCs w:val="20"/>
              </w:rPr>
            </w:pPr>
            <w:r w:rsidRPr="00FC64BF">
              <w:rPr>
                <w:rFonts w:cs="Times New Roman"/>
                <w:b/>
                <w:sz w:val="20"/>
                <w:szCs w:val="20"/>
              </w:rPr>
              <w:t>EU financiranje (EUR)</w:t>
            </w:r>
          </w:p>
        </w:tc>
        <w:tc>
          <w:tcPr>
            <w:tcW w:w="1326" w:type="pct"/>
            <w:vAlign w:val="center"/>
          </w:tcPr>
          <w:p w14:paraId="52358FB6" w14:textId="73EEB035" w:rsidR="00ED2E92" w:rsidRPr="00FC64BF" w:rsidRDefault="00ED2E92" w:rsidP="00A75D55">
            <w:pPr>
              <w:jc w:val="center"/>
              <w:rPr>
                <w:rFonts w:cs="Times New Roman"/>
                <w:b/>
                <w:sz w:val="20"/>
                <w:szCs w:val="20"/>
              </w:rPr>
            </w:pPr>
            <w:r w:rsidRPr="00FC64BF">
              <w:rPr>
                <w:rFonts w:cs="Times New Roman"/>
                <w:b/>
                <w:sz w:val="20"/>
                <w:szCs w:val="20"/>
              </w:rPr>
              <w:t>Drugi izvori</w:t>
            </w:r>
            <w:r w:rsidR="002F7831">
              <w:rPr>
                <w:rFonts w:cs="Times New Roman"/>
                <w:b/>
                <w:sz w:val="20"/>
                <w:szCs w:val="20"/>
              </w:rPr>
              <w:t xml:space="preserve"> </w:t>
            </w:r>
            <w:r w:rsidRPr="00FC64BF">
              <w:rPr>
                <w:rFonts w:cs="Times New Roman"/>
                <w:b/>
                <w:sz w:val="20"/>
                <w:szCs w:val="20"/>
              </w:rPr>
              <w:t>(EUR)</w:t>
            </w:r>
          </w:p>
        </w:tc>
      </w:tr>
      <w:tr w:rsidR="00CE622A" w:rsidRPr="00A96984" w14:paraId="7AFB5F2D" w14:textId="77777777" w:rsidTr="00AF43CC">
        <w:tc>
          <w:tcPr>
            <w:tcW w:w="1459" w:type="pct"/>
            <w:shd w:val="clear" w:color="auto" w:fill="F2F2F2" w:themeFill="background1" w:themeFillShade="F2"/>
            <w:vAlign w:val="center"/>
          </w:tcPr>
          <w:p w14:paraId="35696DE4" w14:textId="7ED734BF" w:rsidR="00ED2E92" w:rsidRPr="00FC64BF" w:rsidRDefault="00ED2E92" w:rsidP="009B1CEB">
            <w:pPr>
              <w:rPr>
                <w:rFonts w:cs="Times New Roman"/>
                <w:sz w:val="20"/>
                <w:szCs w:val="20"/>
              </w:rPr>
            </w:pPr>
            <w:r w:rsidRPr="00FC64BF">
              <w:rPr>
                <w:rFonts w:cs="Times New Roman"/>
                <w:sz w:val="20"/>
                <w:szCs w:val="20"/>
              </w:rPr>
              <w:t>Izvori financiranja u 202</w:t>
            </w:r>
            <w:r w:rsidR="00A96984" w:rsidRPr="00FC64BF">
              <w:rPr>
                <w:rFonts w:cs="Times New Roman"/>
                <w:sz w:val="20"/>
                <w:szCs w:val="20"/>
              </w:rPr>
              <w:t>4</w:t>
            </w:r>
            <w:r w:rsidRPr="00FC64BF">
              <w:rPr>
                <w:rFonts w:cs="Times New Roman"/>
                <w:sz w:val="20"/>
                <w:szCs w:val="20"/>
              </w:rPr>
              <w:t>. (proračunska pozicija i predviđeni iznos sredstava)</w:t>
            </w:r>
          </w:p>
        </w:tc>
        <w:tc>
          <w:tcPr>
            <w:tcW w:w="1119" w:type="pct"/>
            <w:vAlign w:val="center"/>
          </w:tcPr>
          <w:p w14:paraId="36FE6990" w14:textId="0AA6A5D9" w:rsidR="00ED2E92" w:rsidRPr="00FC64BF" w:rsidRDefault="00DC2303" w:rsidP="002A04BF">
            <w:pPr>
              <w:jc w:val="center"/>
              <w:rPr>
                <w:rFonts w:cs="Times New Roman"/>
                <w:sz w:val="20"/>
                <w:szCs w:val="20"/>
              </w:rPr>
            </w:pPr>
            <w:r w:rsidRPr="00FC64BF">
              <w:rPr>
                <w:rFonts w:cs="Times New Roman"/>
                <w:sz w:val="20"/>
                <w:szCs w:val="20"/>
              </w:rPr>
              <w:t>A577000 -</w:t>
            </w:r>
            <w:r w:rsidR="002E3267" w:rsidRPr="00FC64BF">
              <w:rPr>
                <w:rFonts w:cs="Times New Roman"/>
                <w:sz w:val="20"/>
                <w:szCs w:val="20"/>
              </w:rPr>
              <w:t xml:space="preserve"> </w:t>
            </w:r>
            <w:r w:rsidRPr="00FC64BF">
              <w:rPr>
                <w:rFonts w:cs="Times New Roman"/>
                <w:sz w:val="20"/>
                <w:szCs w:val="20"/>
              </w:rPr>
              <w:t>Administracija</w:t>
            </w:r>
            <w:r w:rsidR="00D36147" w:rsidRPr="00FC64BF">
              <w:rPr>
                <w:rFonts w:cs="Times New Roman"/>
                <w:sz w:val="20"/>
                <w:szCs w:val="20"/>
              </w:rPr>
              <w:t xml:space="preserve"> </w:t>
            </w:r>
            <w:r w:rsidRPr="00FC64BF">
              <w:rPr>
                <w:rFonts w:cs="Times New Roman"/>
                <w:sz w:val="20"/>
                <w:szCs w:val="20"/>
              </w:rPr>
              <w:t>i upravljanje</w:t>
            </w:r>
          </w:p>
        </w:tc>
        <w:tc>
          <w:tcPr>
            <w:tcW w:w="1096" w:type="pct"/>
            <w:vAlign w:val="center"/>
          </w:tcPr>
          <w:p w14:paraId="59248F41" w14:textId="77777777" w:rsidR="00ED2E92" w:rsidRPr="00FC64BF" w:rsidRDefault="00ED2E92" w:rsidP="002A04BF">
            <w:pPr>
              <w:jc w:val="center"/>
              <w:rPr>
                <w:rFonts w:cs="Times New Roman"/>
                <w:sz w:val="20"/>
                <w:szCs w:val="20"/>
              </w:rPr>
            </w:pPr>
            <w:r w:rsidRPr="00FC64BF">
              <w:rPr>
                <w:rFonts w:cs="Times New Roman"/>
                <w:sz w:val="20"/>
                <w:szCs w:val="20"/>
              </w:rPr>
              <w:t>0,00</w:t>
            </w:r>
          </w:p>
        </w:tc>
        <w:tc>
          <w:tcPr>
            <w:tcW w:w="1326" w:type="pct"/>
            <w:vAlign w:val="center"/>
          </w:tcPr>
          <w:p w14:paraId="6A989790" w14:textId="77777777" w:rsidR="00ED2E92" w:rsidRPr="00FC64BF" w:rsidRDefault="00ED2E92" w:rsidP="002A04BF">
            <w:pPr>
              <w:jc w:val="center"/>
              <w:rPr>
                <w:rFonts w:cs="Times New Roman"/>
                <w:sz w:val="20"/>
                <w:szCs w:val="20"/>
              </w:rPr>
            </w:pPr>
            <w:r w:rsidRPr="00FC64BF">
              <w:rPr>
                <w:rFonts w:cs="Times New Roman"/>
                <w:sz w:val="20"/>
                <w:szCs w:val="20"/>
              </w:rPr>
              <w:t xml:space="preserve">0,00 </w:t>
            </w:r>
          </w:p>
        </w:tc>
      </w:tr>
      <w:tr w:rsidR="00CE622A" w:rsidRPr="00A96984" w14:paraId="06AA28AF" w14:textId="77777777" w:rsidTr="00A75D55">
        <w:tc>
          <w:tcPr>
            <w:tcW w:w="1459" w:type="pct"/>
            <w:vMerge w:val="restart"/>
            <w:shd w:val="clear" w:color="auto" w:fill="F2F2F2" w:themeFill="background1" w:themeFillShade="F2"/>
            <w:vAlign w:val="center"/>
          </w:tcPr>
          <w:p w14:paraId="187F48D2" w14:textId="77777777" w:rsidR="00ED2E92" w:rsidRPr="00FC64BF" w:rsidRDefault="00ED2E92" w:rsidP="002A04BF">
            <w:pPr>
              <w:rPr>
                <w:rFonts w:cs="Times New Roman"/>
                <w:b/>
                <w:sz w:val="20"/>
                <w:szCs w:val="20"/>
              </w:rPr>
            </w:pPr>
            <w:r w:rsidRPr="00FC64BF">
              <w:rPr>
                <w:rFonts w:cs="Times New Roman"/>
                <w:b/>
                <w:sz w:val="20"/>
                <w:szCs w:val="20"/>
              </w:rPr>
              <w:t xml:space="preserve">UKUPNO UTROŠENA SREDSTVA PO IZVORU </w:t>
            </w:r>
          </w:p>
        </w:tc>
        <w:tc>
          <w:tcPr>
            <w:tcW w:w="1119" w:type="pct"/>
            <w:vAlign w:val="center"/>
          </w:tcPr>
          <w:p w14:paraId="66196359" w14:textId="77777777" w:rsidR="00ED2E92" w:rsidRPr="00FC64BF" w:rsidRDefault="00ED2E92" w:rsidP="002A04BF">
            <w:pPr>
              <w:jc w:val="center"/>
              <w:rPr>
                <w:rFonts w:cs="Times New Roman"/>
                <w:b/>
                <w:sz w:val="20"/>
                <w:szCs w:val="20"/>
              </w:rPr>
            </w:pPr>
            <w:r w:rsidRPr="00FC64BF">
              <w:rPr>
                <w:rFonts w:cs="Times New Roman"/>
                <w:b/>
                <w:sz w:val="20"/>
                <w:szCs w:val="20"/>
              </w:rPr>
              <w:t>Državni proračun (EUR)</w:t>
            </w:r>
          </w:p>
        </w:tc>
        <w:tc>
          <w:tcPr>
            <w:tcW w:w="1096" w:type="pct"/>
            <w:vAlign w:val="center"/>
          </w:tcPr>
          <w:p w14:paraId="77053CF9" w14:textId="77777777" w:rsidR="00ED2E92" w:rsidRPr="00FC64BF" w:rsidRDefault="00ED2E92" w:rsidP="002A04BF">
            <w:pPr>
              <w:jc w:val="center"/>
              <w:rPr>
                <w:rFonts w:cs="Times New Roman"/>
                <w:b/>
                <w:sz w:val="20"/>
                <w:szCs w:val="20"/>
              </w:rPr>
            </w:pPr>
            <w:r w:rsidRPr="00FC64BF">
              <w:rPr>
                <w:rFonts w:cs="Times New Roman"/>
                <w:b/>
                <w:sz w:val="20"/>
                <w:szCs w:val="20"/>
              </w:rPr>
              <w:t>EU financiranje (EUR)</w:t>
            </w:r>
          </w:p>
        </w:tc>
        <w:tc>
          <w:tcPr>
            <w:tcW w:w="1326" w:type="pct"/>
            <w:vAlign w:val="center"/>
          </w:tcPr>
          <w:p w14:paraId="1F010F06" w14:textId="2CA6110E" w:rsidR="00ED2E92" w:rsidRPr="00FC64BF" w:rsidRDefault="00ED2E92" w:rsidP="00A75D55">
            <w:pPr>
              <w:jc w:val="center"/>
              <w:rPr>
                <w:rFonts w:cs="Times New Roman"/>
                <w:b/>
                <w:sz w:val="20"/>
                <w:szCs w:val="20"/>
              </w:rPr>
            </w:pPr>
            <w:r w:rsidRPr="00FC64BF">
              <w:rPr>
                <w:rFonts w:cs="Times New Roman"/>
                <w:b/>
                <w:sz w:val="20"/>
                <w:szCs w:val="20"/>
              </w:rPr>
              <w:t>Drugi izvori (EUR)</w:t>
            </w:r>
          </w:p>
        </w:tc>
      </w:tr>
      <w:tr w:rsidR="00CE622A" w:rsidRPr="00A96984" w14:paraId="71B08B5C" w14:textId="77777777" w:rsidTr="00330FAE">
        <w:tc>
          <w:tcPr>
            <w:tcW w:w="1459" w:type="pct"/>
            <w:vMerge/>
            <w:tcBorders>
              <w:bottom w:val="single" w:sz="4" w:space="0" w:color="auto"/>
            </w:tcBorders>
            <w:shd w:val="clear" w:color="auto" w:fill="F2F2F2" w:themeFill="background1" w:themeFillShade="F2"/>
            <w:vAlign w:val="center"/>
          </w:tcPr>
          <w:p w14:paraId="48E76A56" w14:textId="77777777" w:rsidR="00ED2E92" w:rsidRPr="00FC64BF" w:rsidRDefault="00ED2E92" w:rsidP="002A04BF">
            <w:pPr>
              <w:rPr>
                <w:rFonts w:cs="Times New Roman"/>
                <w:b/>
                <w:sz w:val="20"/>
                <w:szCs w:val="20"/>
              </w:rPr>
            </w:pPr>
          </w:p>
        </w:tc>
        <w:tc>
          <w:tcPr>
            <w:tcW w:w="1119" w:type="pct"/>
            <w:tcBorders>
              <w:bottom w:val="single" w:sz="4" w:space="0" w:color="auto"/>
            </w:tcBorders>
            <w:vAlign w:val="center"/>
          </w:tcPr>
          <w:p w14:paraId="7576BAF6" w14:textId="36353CA4" w:rsidR="00ED2E92" w:rsidRPr="00FC64BF" w:rsidRDefault="009C66A5" w:rsidP="002A04BF">
            <w:pPr>
              <w:jc w:val="center"/>
              <w:rPr>
                <w:rFonts w:cs="Times New Roman"/>
                <w:bCs/>
                <w:sz w:val="20"/>
                <w:szCs w:val="20"/>
              </w:rPr>
            </w:pPr>
            <w:r w:rsidRPr="00FC64BF">
              <w:rPr>
                <w:rFonts w:cs="Times New Roman"/>
                <w:bCs/>
                <w:sz w:val="20"/>
                <w:szCs w:val="20"/>
              </w:rPr>
              <w:t xml:space="preserve">A577000 - </w:t>
            </w:r>
            <w:r w:rsidR="00DC2303" w:rsidRPr="00FC64BF">
              <w:rPr>
                <w:rFonts w:cs="Times New Roman"/>
                <w:bCs/>
                <w:sz w:val="20"/>
                <w:szCs w:val="20"/>
              </w:rPr>
              <w:t>Administracija</w:t>
            </w:r>
            <w:r w:rsidR="00D36147" w:rsidRPr="00FC64BF">
              <w:rPr>
                <w:rFonts w:cs="Times New Roman"/>
                <w:bCs/>
                <w:sz w:val="20"/>
                <w:szCs w:val="20"/>
              </w:rPr>
              <w:t xml:space="preserve"> </w:t>
            </w:r>
            <w:r w:rsidR="00DC2303" w:rsidRPr="00FC64BF">
              <w:rPr>
                <w:rFonts w:cs="Times New Roman"/>
                <w:bCs/>
                <w:sz w:val="20"/>
                <w:szCs w:val="20"/>
              </w:rPr>
              <w:t>i upravljanje</w:t>
            </w:r>
          </w:p>
          <w:p w14:paraId="70E737E3" w14:textId="34BA418B" w:rsidR="00082E76" w:rsidRPr="00FC64BF" w:rsidRDefault="00082E76" w:rsidP="002A04BF">
            <w:pPr>
              <w:jc w:val="center"/>
              <w:rPr>
                <w:rFonts w:cs="Times New Roman"/>
                <w:b/>
                <w:bCs/>
                <w:sz w:val="20"/>
                <w:szCs w:val="20"/>
              </w:rPr>
            </w:pPr>
            <w:r w:rsidRPr="00FC64BF">
              <w:rPr>
                <w:rFonts w:cs="Times New Roman"/>
                <w:b/>
                <w:bCs/>
                <w:sz w:val="20"/>
                <w:szCs w:val="20"/>
              </w:rPr>
              <w:t>0,00</w:t>
            </w:r>
          </w:p>
        </w:tc>
        <w:tc>
          <w:tcPr>
            <w:tcW w:w="1096" w:type="pct"/>
            <w:tcBorders>
              <w:bottom w:val="single" w:sz="4" w:space="0" w:color="auto"/>
            </w:tcBorders>
            <w:vAlign w:val="center"/>
          </w:tcPr>
          <w:p w14:paraId="7157E6B7" w14:textId="77777777" w:rsidR="00ED2E92" w:rsidRPr="00FC64BF" w:rsidRDefault="00ED2E92" w:rsidP="002A04BF">
            <w:pPr>
              <w:jc w:val="center"/>
              <w:rPr>
                <w:rFonts w:cs="Times New Roman"/>
                <w:bCs/>
                <w:sz w:val="20"/>
                <w:szCs w:val="20"/>
              </w:rPr>
            </w:pPr>
            <w:r w:rsidRPr="00FC64BF">
              <w:rPr>
                <w:rFonts w:cs="Times New Roman"/>
                <w:bCs/>
                <w:sz w:val="20"/>
                <w:szCs w:val="20"/>
              </w:rPr>
              <w:t>0,00</w:t>
            </w:r>
          </w:p>
        </w:tc>
        <w:tc>
          <w:tcPr>
            <w:tcW w:w="1326" w:type="pct"/>
            <w:tcBorders>
              <w:bottom w:val="single" w:sz="4" w:space="0" w:color="auto"/>
            </w:tcBorders>
            <w:vAlign w:val="center"/>
          </w:tcPr>
          <w:p w14:paraId="543AE002" w14:textId="77777777" w:rsidR="00ED2E92" w:rsidRPr="00FC64BF" w:rsidRDefault="00ED2E92" w:rsidP="002A04BF">
            <w:pPr>
              <w:jc w:val="center"/>
              <w:rPr>
                <w:rFonts w:cs="Times New Roman"/>
                <w:bCs/>
                <w:sz w:val="20"/>
                <w:szCs w:val="20"/>
              </w:rPr>
            </w:pPr>
            <w:r w:rsidRPr="00FC64BF">
              <w:rPr>
                <w:rFonts w:cs="Times New Roman"/>
                <w:bCs/>
                <w:sz w:val="20"/>
                <w:szCs w:val="20"/>
              </w:rPr>
              <w:t xml:space="preserve">0,00 </w:t>
            </w:r>
          </w:p>
        </w:tc>
      </w:tr>
      <w:tr w:rsidR="00CE622A" w:rsidRPr="00A96984" w14:paraId="005DF128" w14:textId="77777777" w:rsidTr="00330FAE">
        <w:tc>
          <w:tcPr>
            <w:tcW w:w="1459" w:type="pct"/>
            <w:tcBorders>
              <w:bottom w:val="single" w:sz="4" w:space="0" w:color="auto"/>
            </w:tcBorders>
            <w:shd w:val="clear" w:color="auto" w:fill="F2F2F2" w:themeFill="background1" w:themeFillShade="F2"/>
            <w:vAlign w:val="center"/>
          </w:tcPr>
          <w:p w14:paraId="1CDF3213" w14:textId="74DFD0E6" w:rsidR="00ED2E92" w:rsidRPr="00FC64BF" w:rsidRDefault="00ED2E92" w:rsidP="002A04BF">
            <w:pPr>
              <w:rPr>
                <w:rFonts w:cs="Times New Roman"/>
                <w:sz w:val="20"/>
                <w:szCs w:val="20"/>
              </w:rPr>
            </w:pPr>
            <w:r w:rsidRPr="00FC64BF">
              <w:rPr>
                <w:rFonts w:cs="Times New Roman"/>
                <w:sz w:val="20"/>
                <w:szCs w:val="20"/>
              </w:rPr>
              <w:t xml:space="preserve">ROK PROVEDBE </w:t>
            </w:r>
            <w:r w:rsidR="00D36147" w:rsidRPr="00FC64BF">
              <w:rPr>
                <w:rFonts w:cs="Times New Roman"/>
                <w:sz w:val="20"/>
                <w:szCs w:val="20"/>
              </w:rPr>
              <w:t>A</w:t>
            </w:r>
            <w:r w:rsidRPr="00FC64BF">
              <w:rPr>
                <w:rFonts w:cs="Times New Roman"/>
                <w:sz w:val="20"/>
                <w:szCs w:val="20"/>
              </w:rPr>
              <w:t>KTIVNOSTI</w:t>
            </w:r>
          </w:p>
        </w:tc>
        <w:tc>
          <w:tcPr>
            <w:tcW w:w="3541" w:type="pct"/>
            <w:gridSpan w:val="3"/>
            <w:tcBorders>
              <w:bottom w:val="single" w:sz="4" w:space="0" w:color="auto"/>
            </w:tcBorders>
            <w:vAlign w:val="center"/>
          </w:tcPr>
          <w:p w14:paraId="3990BAE0" w14:textId="77777777" w:rsidR="00ED2E92" w:rsidRPr="00FC64BF" w:rsidRDefault="00ED2E92" w:rsidP="002A04BF">
            <w:pPr>
              <w:rPr>
                <w:rFonts w:cs="Times New Roman"/>
                <w:sz w:val="20"/>
                <w:szCs w:val="20"/>
              </w:rPr>
            </w:pPr>
            <w:r w:rsidRPr="00FC64BF">
              <w:rPr>
                <w:rFonts w:cs="Times New Roman"/>
                <w:sz w:val="20"/>
                <w:szCs w:val="20"/>
              </w:rPr>
              <w:t>IV. kvartal 2025.</w:t>
            </w:r>
          </w:p>
        </w:tc>
      </w:tr>
    </w:tbl>
    <w:p w14:paraId="39970D2D" w14:textId="77777777" w:rsidR="00330FAE" w:rsidRDefault="00330FAE" w:rsidP="00330FAE"/>
    <w:p w14:paraId="09BF4968" w14:textId="77777777" w:rsidR="003379F1" w:rsidRPr="00FC64BF" w:rsidRDefault="003379F1" w:rsidP="00330FAE"/>
    <w:p w14:paraId="76B1A582" w14:textId="6EDE72F7" w:rsidR="00242FE6" w:rsidRPr="00FC64BF" w:rsidRDefault="00626E68" w:rsidP="00B36ECB">
      <w:pPr>
        <w:pStyle w:val="Heading2"/>
        <w:spacing w:line="276" w:lineRule="auto"/>
        <w:jc w:val="both"/>
        <w:rPr>
          <w:rFonts w:cs="Times New Roman"/>
        </w:rPr>
      </w:pPr>
      <w:r w:rsidRPr="00FC64BF">
        <w:rPr>
          <w:rFonts w:cs="Times New Roman"/>
        </w:rPr>
        <w:t>Mjera 4.2.</w:t>
      </w:r>
      <w:r w:rsidR="0093347B" w:rsidRPr="00FC64BF">
        <w:rPr>
          <w:rFonts w:cs="Times New Roman"/>
        </w:rPr>
        <w:t xml:space="preserve"> </w:t>
      </w:r>
      <w:r w:rsidRPr="00FC64BF">
        <w:rPr>
          <w:rFonts w:cs="Times New Roman"/>
        </w:rPr>
        <w:t>Smanjivanje jaza u sudjelovanju u predškolskom odgoju i obrazovanju između romske djece i djece iz opće populacije</w:t>
      </w:r>
    </w:p>
    <w:p w14:paraId="7CCE2EAD" w14:textId="2CF57F1E" w:rsidR="001C03B5" w:rsidRPr="00FC64BF" w:rsidRDefault="001C03B5" w:rsidP="004A3B23">
      <w:pPr>
        <w:spacing w:after="0" w:line="276" w:lineRule="auto"/>
        <w:jc w:val="both"/>
        <w:rPr>
          <w:rFonts w:cs="Times New Roman"/>
          <w:i/>
          <w:iCs/>
        </w:rPr>
      </w:pPr>
    </w:p>
    <w:p w14:paraId="611A675B" w14:textId="020A384F" w:rsidR="00626E68" w:rsidRPr="00FC64BF" w:rsidRDefault="00626E68" w:rsidP="00D36147">
      <w:pPr>
        <w:spacing w:after="0" w:line="276" w:lineRule="auto"/>
        <w:jc w:val="both"/>
        <w:rPr>
          <w:rFonts w:cs="Times New Roman"/>
          <w:i/>
          <w:iCs/>
        </w:rPr>
      </w:pPr>
      <w:r w:rsidRPr="00FC64BF">
        <w:rPr>
          <w:rFonts w:cs="Times New Roman"/>
          <w:i/>
          <w:iCs/>
        </w:rPr>
        <w:t>Aktivnost: 4.2.1. Sufinanciranje roditeljskog udjela za pripadnike romske nacionalne manjine u integriranim programima predškolskog odgoja</w:t>
      </w:r>
    </w:p>
    <w:p w14:paraId="5DFB1B92" w14:textId="40250D1F" w:rsidR="001C03B5" w:rsidRPr="00FC64BF" w:rsidRDefault="00626E68" w:rsidP="00D36147">
      <w:pPr>
        <w:spacing w:after="0" w:line="276" w:lineRule="auto"/>
        <w:jc w:val="both"/>
        <w:rPr>
          <w:rFonts w:cs="Times New Roman"/>
          <w:i/>
          <w:iCs/>
        </w:rPr>
      </w:pPr>
      <w:r w:rsidRPr="00FC64BF">
        <w:rPr>
          <w:rFonts w:cs="Times New Roman"/>
          <w:i/>
          <w:iCs/>
        </w:rPr>
        <w:t xml:space="preserve">Nositelj: </w:t>
      </w:r>
      <w:r w:rsidR="00F36CF1">
        <w:rPr>
          <w:rFonts w:cs="Times New Roman"/>
          <w:i/>
          <w:iCs/>
        </w:rPr>
        <w:t>Ministarstvo znanosti, obrazovanja i mladih</w:t>
      </w:r>
    </w:p>
    <w:p w14:paraId="7405E67E" w14:textId="2E4AB7E4" w:rsidR="001E3580" w:rsidRPr="00FC64BF" w:rsidRDefault="001E3580" w:rsidP="00D36147">
      <w:pPr>
        <w:spacing w:after="0" w:line="276" w:lineRule="auto"/>
        <w:jc w:val="both"/>
        <w:rPr>
          <w:rFonts w:cs="Times New Roman"/>
          <w:i/>
          <w:iCs/>
        </w:rPr>
      </w:pPr>
      <w:r w:rsidRPr="00FC64BF">
        <w:rPr>
          <w:rFonts w:cs="Times New Roman"/>
          <w:i/>
          <w:iCs/>
        </w:rPr>
        <w:t xml:space="preserve">Partneri: Upravni odjeli za obrazovanje u županijama, Gradski ured za obrazovanje Grada Zagreba, predškolske ustanove,  </w:t>
      </w:r>
      <w:r w:rsidR="00026107">
        <w:rPr>
          <w:rFonts w:cs="Times New Roman"/>
          <w:i/>
          <w:iCs/>
        </w:rPr>
        <w:t>JLP(R)S</w:t>
      </w:r>
    </w:p>
    <w:p w14:paraId="17C3D6ED" w14:textId="4F18FE31" w:rsidR="00242FE6" w:rsidRPr="00DC3D3E" w:rsidRDefault="00242FE6" w:rsidP="00D36147">
      <w:pPr>
        <w:spacing w:after="0" w:line="276" w:lineRule="auto"/>
        <w:jc w:val="both"/>
        <w:rPr>
          <w:rFonts w:cs="Times New Roman"/>
          <w:i/>
          <w:iCs/>
        </w:rPr>
      </w:pPr>
    </w:p>
    <w:p w14:paraId="28EB0D50" w14:textId="0A63715D" w:rsidR="00C35224" w:rsidRPr="000470E7" w:rsidRDefault="00C35224" w:rsidP="00D36147">
      <w:pPr>
        <w:spacing w:after="0" w:line="276" w:lineRule="auto"/>
        <w:jc w:val="both"/>
        <w:rPr>
          <w:rFonts w:cs="Times New Roman"/>
          <w:iCs/>
        </w:rPr>
      </w:pPr>
      <w:r w:rsidRPr="00DC3D3E">
        <w:rPr>
          <w:rFonts w:cs="Times New Roman"/>
          <w:iCs/>
        </w:rPr>
        <w:t xml:space="preserve">Za djecu pripadnike romske nacionalne manjine Ministarstvo znanosti, obrazovanja i mladih osigurava uključivanje u programe integriranog predškolskog odgoja kako bi se premostio jaz između </w:t>
      </w:r>
      <w:r w:rsidRPr="00FC64BF">
        <w:rPr>
          <w:rFonts w:cs="Times New Roman"/>
          <w:iCs/>
        </w:rPr>
        <w:t>socio-ekonomske situacije u kojoj djeca pripadnici romske nacionalne manjine žive i povećale mogućnosti za njihovu uspješnu integraciju tijekom obveznog osnovnog obrazovanja. Aktivnost uključuje sufinanciranje roditeljskog udjela u ekonomskoj cijeni predškolskog odgoja za djecu pripadnike romske nacionalne manjine koja su integrirana u predškolske programe tj. polaznici su redovitog programa dječjih vrtića. I u 2024.</w:t>
      </w:r>
      <w:r w:rsidR="00B36ECB">
        <w:rPr>
          <w:rFonts w:cs="Times New Roman"/>
          <w:iCs/>
        </w:rPr>
        <w:t xml:space="preserve"> godini</w:t>
      </w:r>
      <w:r w:rsidRPr="00FC64BF">
        <w:rPr>
          <w:rFonts w:cs="Times New Roman"/>
          <w:iCs/>
        </w:rPr>
        <w:t xml:space="preserve"> temeljem zaprimljenih zahtjeva predškolskih ustanova i Odluke o kriterijima za sufinanciranje roditeljskog udjela u cijeni predškolskog odgoja, Ministarstvo znanosti, obrazovanja i mladih sufinanciralo je roditeljski udio za djecu pripadnike romske nacionalne manjine polaznike </w:t>
      </w:r>
      <w:r w:rsidRPr="000470E7">
        <w:rPr>
          <w:rFonts w:cs="Times New Roman"/>
          <w:iCs/>
        </w:rPr>
        <w:t>dječjih vrtića.</w:t>
      </w:r>
    </w:p>
    <w:p w14:paraId="509FE987" w14:textId="77777777" w:rsidR="00A93B7D" w:rsidRPr="000470E7" w:rsidRDefault="00A93B7D">
      <w:pPr>
        <w:rPr>
          <w:rFonts w:cs="Times New Roman"/>
          <w:iCs/>
        </w:rPr>
      </w:pPr>
    </w:p>
    <w:tbl>
      <w:tblPr>
        <w:tblStyle w:val="TableGrid"/>
        <w:tblW w:w="5000" w:type="pct"/>
        <w:tblLayout w:type="fixed"/>
        <w:tblLook w:val="04A0" w:firstRow="1" w:lastRow="0" w:firstColumn="1" w:lastColumn="0" w:noHBand="0" w:noVBand="1"/>
      </w:tblPr>
      <w:tblGrid>
        <w:gridCol w:w="2829"/>
        <w:gridCol w:w="2124"/>
        <w:gridCol w:w="2130"/>
        <w:gridCol w:w="1979"/>
      </w:tblGrid>
      <w:tr w:rsidR="00CE622A" w:rsidRPr="00CE622A" w14:paraId="2D75C98A" w14:textId="77777777" w:rsidTr="002A04BF">
        <w:tc>
          <w:tcPr>
            <w:tcW w:w="1561" w:type="pct"/>
            <w:shd w:val="clear" w:color="auto" w:fill="F2F2F2" w:themeFill="background1" w:themeFillShade="F2"/>
            <w:vAlign w:val="center"/>
          </w:tcPr>
          <w:p w14:paraId="112AC1F8" w14:textId="2F48806D" w:rsidR="00DC2303" w:rsidRPr="000470E7" w:rsidRDefault="007E61F3" w:rsidP="002A04BF">
            <w:pPr>
              <w:rPr>
                <w:rFonts w:cs="Times New Roman"/>
                <w:b/>
                <w:sz w:val="20"/>
                <w:szCs w:val="20"/>
              </w:rPr>
            </w:pPr>
            <w:r w:rsidRPr="000470E7">
              <w:rPr>
                <w:rFonts w:cs="Times New Roman"/>
                <w:b/>
                <w:sz w:val="20"/>
                <w:szCs w:val="20"/>
              </w:rPr>
              <w:t>Pokazatelji provedbe i pokazatelji uspješnosti provedbe</w:t>
            </w:r>
          </w:p>
        </w:tc>
        <w:tc>
          <w:tcPr>
            <w:tcW w:w="1172" w:type="pct"/>
            <w:shd w:val="clear" w:color="auto" w:fill="F2F2F2" w:themeFill="background1" w:themeFillShade="F2"/>
          </w:tcPr>
          <w:p w14:paraId="305FF21B" w14:textId="7E21A849" w:rsidR="00DC2303" w:rsidRPr="000470E7" w:rsidRDefault="00DC2303" w:rsidP="00A75D55">
            <w:pPr>
              <w:jc w:val="center"/>
              <w:rPr>
                <w:rFonts w:cs="Times New Roman"/>
                <w:b/>
                <w:sz w:val="20"/>
                <w:szCs w:val="20"/>
              </w:rPr>
            </w:pPr>
            <w:r w:rsidRPr="000470E7">
              <w:rPr>
                <w:rFonts w:cs="Times New Roman"/>
                <w:b/>
                <w:sz w:val="20"/>
                <w:szCs w:val="20"/>
              </w:rPr>
              <w:t>Broj djece za koju je</w:t>
            </w:r>
            <w:r w:rsidR="00A75D55" w:rsidRPr="000470E7">
              <w:rPr>
                <w:rFonts w:cs="Times New Roman"/>
                <w:b/>
                <w:sz w:val="20"/>
                <w:szCs w:val="20"/>
              </w:rPr>
              <w:t xml:space="preserve"> </w:t>
            </w:r>
            <w:r w:rsidRPr="000470E7">
              <w:rPr>
                <w:rFonts w:cs="Times New Roman"/>
                <w:b/>
                <w:sz w:val="20"/>
                <w:szCs w:val="20"/>
              </w:rPr>
              <w:t>odobreno sufinanciranje</w:t>
            </w:r>
            <w:r w:rsidR="00A75D55" w:rsidRPr="000470E7">
              <w:rPr>
                <w:rFonts w:cs="Times New Roman"/>
                <w:b/>
                <w:sz w:val="20"/>
                <w:szCs w:val="20"/>
              </w:rPr>
              <w:t xml:space="preserve"> </w:t>
            </w:r>
            <w:r w:rsidRPr="000470E7">
              <w:rPr>
                <w:rFonts w:cs="Times New Roman"/>
                <w:b/>
                <w:sz w:val="20"/>
                <w:szCs w:val="20"/>
              </w:rPr>
              <w:t>roditeljskog udjela</w:t>
            </w:r>
          </w:p>
        </w:tc>
        <w:tc>
          <w:tcPr>
            <w:tcW w:w="1175" w:type="pct"/>
            <w:shd w:val="clear" w:color="auto" w:fill="F2F2F2" w:themeFill="background1" w:themeFillShade="F2"/>
          </w:tcPr>
          <w:p w14:paraId="6BD7B353" w14:textId="60CA79A2" w:rsidR="00DC2303" w:rsidRPr="000470E7" w:rsidRDefault="00DC2303" w:rsidP="00A75D55">
            <w:pPr>
              <w:jc w:val="center"/>
              <w:rPr>
                <w:rFonts w:cs="Times New Roman"/>
                <w:b/>
                <w:sz w:val="20"/>
                <w:szCs w:val="20"/>
              </w:rPr>
            </w:pPr>
            <w:r w:rsidRPr="000470E7">
              <w:rPr>
                <w:rFonts w:cs="Times New Roman"/>
                <w:b/>
                <w:sz w:val="20"/>
                <w:szCs w:val="20"/>
              </w:rPr>
              <w:t>Broj dječjih vrtića u</w:t>
            </w:r>
            <w:r w:rsidR="00A75D55" w:rsidRPr="000470E7">
              <w:rPr>
                <w:rFonts w:cs="Times New Roman"/>
                <w:b/>
                <w:sz w:val="20"/>
                <w:szCs w:val="20"/>
              </w:rPr>
              <w:t xml:space="preserve"> </w:t>
            </w:r>
            <w:r w:rsidRPr="000470E7">
              <w:rPr>
                <w:rFonts w:cs="Times New Roman"/>
                <w:b/>
                <w:sz w:val="20"/>
                <w:szCs w:val="20"/>
              </w:rPr>
              <w:t>kojima se provode</w:t>
            </w:r>
            <w:r w:rsidR="00A75D55" w:rsidRPr="000470E7">
              <w:rPr>
                <w:rFonts w:cs="Times New Roman"/>
                <w:b/>
                <w:sz w:val="20"/>
                <w:szCs w:val="20"/>
              </w:rPr>
              <w:t xml:space="preserve"> </w:t>
            </w:r>
            <w:r w:rsidRPr="000470E7">
              <w:rPr>
                <w:rFonts w:cs="Times New Roman"/>
                <w:b/>
                <w:sz w:val="20"/>
                <w:szCs w:val="20"/>
              </w:rPr>
              <w:t>programi predškolskog</w:t>
            </w:r>
            <w:r w:rsidR="00A75D55" w:rsidRPr="000470E7">
              <w:rPr>
                <w:rFonts w:cs="Times New Roman"/>
                <w:b/>
                <w:sz w:val="20"/>
                <w:szCs w:val="20"/>
              </w:rPr>
              <w:t xml:space="preserve"> </w:t>
            </w:r>
            <w:r w:rsidRPr="000470E7">
              <w:rPr>
                <w:rFonts w:cs="Times New Roman"/>
                <w:b/>
                <w:sz w:val="20"/>
                <w:szCs w:val="20"/>
              </w:rPr>
              <w:t>odgoja</w:t>
            </w:r>
          </w:p>
        </w:tc>
        <w:tc>
          <w:tcPr>
            <w:tcW w:w="1092" w:type="pct"/>
            <w:shd w:val="clear" w:color="auto" w:fill="F2F2F2" w:themeFill="background1" w:themeFillShade="F2"/>
          </w:tcPr>
          <w:p w14:paraId="4D0755DC" w14:textId="3CC30CB0" w:rsidR="00DC2303" w:rsidRPr="000470E7" w:rsidRDefault="00DC2303" w:rsidP="00A75D55">
            <w:pPr>
              <w:jc w:val="center"/>
              <w:rPr>
                <w:rFonts w:cs="Times New Roman"/>
                <w:b/>
                <w:sz w:val="20"/>
                <w:szCs w:val="20"/>
              </w:rPr>
            </w:pPr>
            <w:r w:rsidRPr="000470E7">
              <w:rPr>
                <w:rFonts w:cs="Times New Roman"/>
                <w:b/>
                <w:sz w:val="20"/>
                <w:szCs w:val="20"/>
              </w:rPr>
              <w:t>Ukupan broj djece u</w:t>
            </w:r>
            <w:r w:rsidR="00A75D55" w:rsidRPr="000470E7">
              <w:rPr>
                <w:rFonts w:cs="Times New Roman"/>
                <w:b/>
                <w:sz w:val="20"/>
                <w:szCs w:val="20"/>
              </w:rPr>
              <w:t xml:space="preserve"> </w:t>
            </w:r>
            <w:r w:rsidRPr="000470E7">
              <w:rPr>
                <w:rFonts w:cs="Times New Roman"/>
                <w:b/>
                <w:sz w:val="20"/>
                <w:szCs w:val="20"/>
              </w:rPr>
              <w:t>programima</w:t>
            </w:r>
            <w:r w:rsidR="00A75D55" w:rsidRPr="000470E7">
              <w:rPr>
                <w:rFonts w:cs="Times New Roman"/>
                <w:b/>
                <w:sz w:val="20"/>
                <w:szCs w:val="20"/>
              </w:rPr>
              <w:t xml:space="preserve"> </w:t>
            </w:r>
            <w:r w:rsidRPr="000470E7">
              <w:rPr>
                <w:rFonts w:cs="Times New Roman"/>
                <w:b/>
                <w:sz w:val="20"/>
                <w:szCs w:val="20"/>
              </w:rPr>
              <w:t>predškolskog odgoja</w:t>
            </w:r>
          </w:p>
        </w:tc>
      </w:tr>
      <w:tr w:rsidR="00CE622A" w:rsidRPr="00CE622A" w14:paraId="5F931B17" w14:textId="77777777" w:rsidTr="002A04BF">
        <w:tc>
          <w:tcPr>
            <w:tcW w:w="1561" w:type="pct"/>
            <w:shd w:val="clear" w:color="auto" w:fill="F2F2F2" w:themeFill="background1" w:themeFillShade="F2"/>
            <w:vAlign w:val="center"/>
          </w:tcPr>
          <w:p w14:paraId="1AC18D33" w14:textId="68D984D0" w:rsidR="00DC2303" w:rsidRPr="000470E7" w:rsidRDefault="00DC2303" w:rsidP="009B1CEB">
            <w:pPr>
              <w:rPr>
                <w:rFonts w:cs="Times New Roman"/>
                <w:sz w:val="20"/>
                <w:szCs w:val="20"/>
              </w:rPr>
            </w:pPr>
            <w:r w:rsidRPr="000470E7">
              <w:rPr>
                <w:rFonts w:cs="Times New Roman"/>
                <w:sz w:val="20"/>
                <w:szCs w:val="20"/>
              </w:rPr>
              <w:t>Planirani ishodi za pokazatelje provedbe u 202</w:t>
            </w:r>
            <w:r w:rsidR="00C35224" w:rsidRPr="000470E7">
              <w:rPr>
                <w:rFonts w:cs="Times New Roman"/>
                <w:sz w:val="20"/>
                <w:szCs w:val="20"/>
              </w:rPr>
              <w:t>4</w:t>
            </w:r>
            <w:r w:rsidRPr="000470E7">
              <w:rPr>
                <w:rFonts w:cs="Times New Roman"/>
                <w:sz w:val="20"/>
                <w:szCs w:val="20"/>
              </w:rPr>
              <w:t>.</w:t>
            </w:r>
          </w:p>
        </w:tc>
        <w:tc>
          <w:tcPr>
            <w:tcW w:w="1172" w:type="pct"/>
            <w:vAlign w:val="center"/>
          </w:tcPr>
          <w:p w14:paraId="0E529DBF" w14:textId="0BADF66F" w:rsidR="00DC2303" w:rsidRPr="000470E7" w:rsidRDefault="00C35224" w:rsidP="002A04BF">
            <w:pPr>
              <w:jc w:val="center"/>
              <w:rPr>
                <w:rFonts w:cs="Times New Roman"/>
                <w:sz w:val="20"/>
                <w:szCs w:val="20"/>
              </w:rPr>
            </w:pPr>
            <w:r w:rsidRPr="000470E7">
              <w:rPr>
                <w:rFonts w:cs="Times New Roman"/>
                <w:sz w:val="20"/>
                <w:szCs w:val="20"/>
              </w:rPr>
              <w:t>8</w:t>
            </w:r>
            <w:r w:rsidR="00DC2303" w:rsidRPr="000470E7">
              <w:rPr>
                <w:rFonts w:cs="Times New Roman"/>
                <w:sz w:val="20"/>
                <w:szCs w:val="20"/>
              </w:rPr>
              <w:t>00</w:t>
            </w:r>
          </w:p>
        </w:tc>
        <w:tc>
          <w:tcPr>
            <w:tcW w:w="1175" w:type="pct"/>
            <w:vAlign w:val="center"/>
          </w:tcPr>
          <w:p w14:paraId="127A4F0E" w14:textId="2BD3B5C0" w:rsidR="00DC2303" w:rsidRPr="000470E7" w:rsidRDefault="00C35224">
            <w:pPr>
              <w:jc w:val="center"/>
              <w:rPr>
                <w:rFonts w:cs="Times New Roman"/>
                <w:sz w:val="20"/>
                <w:szCs w:val="20"/>
              </w:rPr>
            </w:pPr>
            <w:r w:rsidRPr="000470E7">
              <w:rPr>
                <w:rFonts w:cs="Times New Roman"/>
                <w:sz w:val="20"/>
                <w:szCs w:val="20"/>
              </w:rPr>
              <w:t>10</w:t>
            </w:r>
            <w:r w:rsidR="00DC2303" w:rsidRPr="000470E7">
              <w:rPr>
                <w:rFonts w:cs="Times New Roman"/>
                <w:sz w:val="20"/>
                <w:szCs w:val="20"/>
              </w:rPr>
              <w:t>0</w:t>
            </w:r>
          </w:p>
        </w:tc>
        <w:tc>
          <w:tcPr>
            <w:tcW w:w="1092" w:type="pct"/>
            <w:vAlign w:val="center"/>
          </w:tcPr>
          <w:p w14:paraId="79377512" w14:textId="669E0F22" w:rsidR="00DC2303" w:rsidRPr="000470E7" w:rsidRDefault="00DC2303">
            <w:pPr>
              <w:jc w:val="center"/>
              <w:rPr>
                <w:rFonts w:cs="Times New Roman"/>
                <w:sz w:val="20"/>
                <w:szCs w:val="20"/>
              </w:rPr>
            </w:pPr>
            <w:r w:rsidRPr="000470E7">
              <w:rPr>
                <w:rFonts w:cs="Times New Roman"/>
                <w:sz w:val="20"/>
                <w:szCs w:val="20"/>
              </w:rPr>
              <w:t>1</w:t>
            </w:r>
            <w:r w:rsidR="00C35224" w:rsidRPr="000470E7">
              <w:rPr>
                <w:rFonts w:cs="Times New Roman"/>
                <w:sz w:val="20"/>
                <w:szCs w:val="20"/>
              </w:rPr>
              <w:t>50</w:t>
            </w:r>
            <w:r w:rsidRPr="000470E7">
              <w:rPr>
                <w:rFonts w:cs="Times New Roman"/>
                <w:sz w:val="20"/>
                <w:szCs w:val="20"/>
              </w:rPr>
              <w:t>0</w:t>
            </w:r>
          </w:p>
        </w:tc>
      </w:tr>
      <w:tr w:rsidR="00CE622A" w:rsidRPr="00CE622A" w14:paraId="5D9C166C" w14:textId="77777777" w:rsidTr="002A04BF">
        <w:tc>
          <w:tcPr>
            <w:tcW w:w="1561" w:type="pct"/>
            <w:shd w:val="clear" w:color="auto" w:fill="F2F2F2" w:themeFill="background1" w:themeFillShade="F2"/>
            <w:vAlign w:val="center"/>
          </w:tcPr>
          <w:p w14:paraId="29831C65" w14:textId="7BC91280" w:rsidR="00DC2303" w:rsidRPr="000470E7" w:rsidRDefault="00DC2303" w:rsidP="009B1CEB">
            <w:pPr>
              <w:rPr>
                <w:rFonts w:cs="Times New Roman"/>
                <w:sz w:val="20"/>
                <w:szCs w:val="20"/>
              </w:rPr>
            </w:pPr>
            <w:r w:rsidRPr="000470E7">
              <w:rPr>
                <w:rFonts w:cs="Times New Roman"/>
                <w:sz w:val="20"/>
                <w:szCs w:val="20"/>
              </w:rPr>
              <w:t>Ostvareni ishodi za pokazatelje provedbe u 202</w:t>
            </w:r>
            <w:r w:rsidR="00C35224" w:rsidRPr="000470E7">
              <w:rPr>
                <w:rFonts w:cs="Times New Roman"/>
                <w:sz w:val="20"/>
                <w:szCs w:val="20"/>
              </w:rPr>
              <w:t>4</w:t>
            </w:r>
            <w:r w:rsidRPr="000470E7">
              <w:rPr>
                <w:rFonts w:cs="Times New Roman"/>
                <w:sz w:val="20"/>
                <w:szCs w:val="20"/>
              </w:rPr>
              <w:t xml:space="preserve">. </w:t>
            </w:r>
          </w:p>
        </w:tc>
        <w:tc>
          <w:tcPr>
            <w:tcW w:w="1172" w:type="pct"/>
            <w:vAlign w:val="center"/>
          </w:tcPr>
          <w:p w14:paraId="3F896C0E" w14:textId="77777777" w:rsidR="00C35224" w:rsidRPr="000470E7" w:rsidRDefault="00C35224" w:rsidP="00C35224">
            <w:pPr>
              <w:jc w:val="center"/>
              <w:rPr>
                <w:rFonts w:eastAsia="Calibri"/>
                <w:sz w:val="20"/>
                <w:szCs w:val="20"/>
              </w:rPr>
            </w:pPr>
            <w:r w:rsidRPr="000470E7">
              <w:rPr>
                <w:rFonts w:eastAsia="Calibri"/>
                <w:sz w:val="20"/>
                <w:szCs w:val="20"/>
              </w:rPr>
              <w:t xml:space="preserve">(kraj </w:t>
            </w:r>
            <w:proofErr w:type="spellStart"/>
            <w:r w:rsidRPr="000470E7">
              <w:rPr>
                <w:rFonts w:eastAsia="Calibri"/>
                <w:sz w:val="20"/>
                <w:szCs w:val="20"/>
              </w:rPr>
              <w:t>ped</w:t>
            </w:r>
            <w:proofErr w:type="spellEnd"/>
            <w:r w:rsidRPr="000470E7">
              <w:rPr>
                <w:rFonts w:eastAsia="Calibri"/>
                <w:sz w:val="20"/>
                <w:szCs w:val="20"/>
              </w:rPr>
              <w:t>. god. 2023./2024.)</w:t>
            </w:r>
          </w:p>
          <w:p w14:paraId="25E51CC5" w14:textId="143DDA97" w:rsidR="00DC2303" w:rsidRPr="000470E7" w:rsidRDefault="00C35224">
            <w:pPr>
              <w:jc w:val="center"/>
              <w:rPr>
                <w:rFonts w:cs="Times New Roman"/>
                <w:sz w:val="20"/>
                <w:szCs w:val="20"/>
              </w:rPr>
            </w:pPr>
            <w:r w:rsidRPr="000470E7">
              <w:rPr>
                <w:rFonts w:eastAsia="Calibri"/>
                <w:sz w:val="20"/>
                <w:szCs w:val="20"/>
              </w:rPr>
              <w:t>494</w:t>
            </w:r>
          </w:p>
        </w:tc>
        <w:tc>
          <w:tcPr>
            <w:tcW w:w="1175" w:type="pct"/>
            <w:vAlign w:val="center"/>
          </w:tcPr>
          <w:p w14:paraId="08E2C668" w14:textId="23F78356" w:rsidR="00C35224" w:rsidRPr="000470E7" w:rsidRDefault="00C35224" w:rsidP="00C35224">
            <w:pPr>
              <w:jc w:val="center"/>
              <w:rPr>
                <w:rFonts w:cs="Times New Roman"/>
                <w:sz w:val="20"/>
                <w:szCs w:val="20"/>
              </w:rPr>
            </w:pPr>
            <w:r w:rsidRPr="000470E7">
              <w:rPr>
                <w:rFonts w:cs="Times New Roman"/>
                <w:sz w:val="20"/>
                <w:szCs w:val="20"/>
              </w:rPr>
              <w:t xml:space="preserve"> Pedagoška godina 2023./2024. </w:t>
            </w:r>
          </w:p>
          <w:p w14:paraId="618D6F61" w14:textId="7EE24737" w:rsidR="00DC2303" w:rsidRPr="000470E7" w:rsidRDefault="00C35224" w:rsidP="00C35224">
            <w:pPr>
              <w:jc w:val="center"/>
              <w:rPr>
                <w:rFonts w:cs="Times New Roman"/>
                <w:sz w:val="20"/>
                <w:szCs w:val="20"/>
              </w:rPr>
            </w:pPr>
            <w:r w:rsidRPr="000470E7">
              <w:rPr>
                <w:rFonts w:cs="Times New Roman"/>
                <w:sz w:val="20"/>
                <w:szCs w:val="20"/>
              </w:rPr>
              <w:t>90</w:t>
            </w:r>
          </w:p>
        </w:tc>
        <w:tc>
          <w:tcPr>
            <w:tcW w:w="1092" w:type="pct"/>
            <w:vAlign w:val="center"/>
          </w:tcPr>
          <w:p w14:paraId="556567B3" w14:textId="77777777" w:rsidR="00C35224" w:rsidRPr="000470E7" w:rsidRDefault="00C35224" w:rsidP="00C35224">
            <w:pPr>
              <w:jc w:val="center"/>
              <w:rPr>
                <w:rFonts w:eastAsia="Calibri"/>
                <w:sz w:val="20"/>
                <w:szCs w:val="20"/>
              </w:rPr>
            </w:pPr>
            <w:r w:rsidRPr="000470E7">
              <w:rPr>
                <w:rFonts w:eastAsia="Calibri"/>
                <w:sz w:val="20"/>
                <w:szCs w:val="20"/>
              </w:rPr>
              <w:t xml:space="preserve">(kraj </w:t>
            </w:r>
            <w:proofErr w:type="spellStart"/>
            <w:r w:rsidRPr="000470E7">
              <w:rPr>
                <w:rFonts w:eastAsia="Calibri"/>
                <w:sz w:val="20"/>
                <w:szCs w:val="20"/>
              </w:rPr>
              <w:t>ped</w:t>
            </w:r>
            <w:proofErr w:type="spellEnd"/>
            <w:r w:rsidRPr="000470E7">
              <w:rPr>
                <w:rFonts w:eastAsia="Calibri"/>
                <w:sz w:val="20"/>
                <w:szCs w:val="20"/>
              </w:rPr>
              <w:t>. god. 2023./2024.)</w:t>
            </w:r>
          </w:p>
          <w:p w14:paraId="09F6D6D3" w14:textId="1B17BB27" w:rsidR="00DC2303" w:rsidRPr="000470E7" w:rsidRDefault="00C35224">
            <w:pPr>
              <w:jc w:val="center"/>
              <w:rPr>
                <w:rFonts w:cs="Times New Roman"/>
                <w:sz w:val="20"/>
                <w:szCs w:val="20"/>
              </w:rPr>
            </w:pPr>
            <w:r w:rsidRPr="000470E7">
              <w:rPr>
                <w:rFonts w:eastAsia="Calibri"/>
                <w:sz w:val="20"/>
                <w:szCs w:val="20"/>
              </w:rPr>
              <w:t>1.123 (588m/535ž</w:t>
            </w:r>
            <w:r w:rsidRPr="000470E7">
              <w:rPr>
                <w:rFonts w:cs="Times New Roman"/>
                <w:sz w:val="20"/>
                <w:szCs w:val="20"/>
              </w:rPr>
              <w:t xml:space="preserve"> </w:t>
            </w:r>
          </w:p>
        </w:tc>
      </w:tr>
      <w:tr w:rsidR="00CE622A" w:rsidRPr="00CE622A" w14:paraId="3BAB13B3" w14:textId="77777777" w:rsidTr="002A04BF">
        <w:tc>
          <w:tcPr>
            <w:tcW w:w="1561" w:type="pct"/>
            <w:shd w:val="clear" w:color="auto" w:fill="F2F2F2" w:themeFill="background1" w:themeFillShade="F2"/>
            <w:vAlign w:val="center"/>
          </w:tcPr>
          <w:p w14:paraId="481508CC" w14:textId="77777777" w:rsidR="00DC2303" w:rsidRPr="000470E7" w:rsidRDefault="00DC2303" w:rsidP="002A04BF">
            <w:pPr>
              <w:rPr>
                <w:rFonts w:cs="Times New Roman"/>
                <w:b/>
                <w:sz w:val="20"/>
                <w:szCs w:val="20"/>
              </w:rPr>
            </w:pPr>
            <w:r w:rsidRPr="000470E7">
              <w:rPr>
                <w:rFonts w:cs="Times New Roman"/>
                <w:b/>
                <w:sz w:val="20"/>
                <w:szCs w:val="20"/>
              </w:rPr>
              <w:t xml:space="preserve">IZVORI FINANCIRANJA </w:t>
            </w:r>
          </w:p>
        </w:tc>
        <w:tc>
          <w:tcPr>
            <w:tcW w:w="1172" w:type="pct"/>
            <w:vAlign w:val="center"/>
          </w:tcPr>
          <w:p w14:paraId="69FF5299" w14:textId="77777777" w:rsidR="00DC2303" w:rsidRPr="000470E7" w:rsidRDefault="00DC2303" w:rsidP="002A04BF">
            <w:pPr>
              <w:jc w:val="center"/>
              <w:rPr>
                <w:rFonts w:cs="Times New Roman"/>
                <w:b/>
                <w:sz w:val="20"/>
                <w:szCs w:val="20"/>
              </w:rPr>
            </w:pPr>
            <w:r w:rsidRPr="000470E7">
              <w:rPr>
                <w:rFonts w:cs="Times New Roman"/>
                <w:b/>
                <w:sz w:val="20"/>
                <w:szCs w:val="20"/>
              </w:rPr>
              <w:t>Državni proračun (EUR)</w:t>
            </w:r>
          </w:p>
        </w:tc>
        <w:tc>
          <w:tcPr>
            <w:tcW w:w="1175" w:type="pct"/>
            <w:vAlign w:val="center"/>
          </w:tcPr>
          <w:p w14:paraId="0310A548" w14:textId="77777777" w:rsidR="00DC2303" w:rsidRPr="000470E7" w:rsidRDefault="00DC2303" w:rsidP="002A04BF">
            <w:pPr>
              <w:jc w:val="center"/>
              <w:rPr>
                <w:rFonts w:cs="Times New Roman"/>
                <w:b/>
                <w:sz w:val="20"/>
                <w:szCs w:val="20"/>
              </w:rPr>
            </w:pPr>
            <w:r w:rsidRPr="000470E7">
              <w:rPr>
                <w:rFonts w:cs="Times New Roman"/>
                <w:b/>
                <w:sz w:val="20"/>
                <w:szCs w:val="20"/>
              </w:rPr>
              <w:t>EU financiranje (EUR)</w:t>
            </w:r>
          </w:p>
        </w:tc>
        <w:tc>
          <w:tcPr>
            <w:tcW w:w="1092" w:type="pct"/>
            <w:vAlign w:val="center"/>
          </w:tcPr>
          <w:p w14:paraId="17367D1E" w14:textId="77777777" w:rsidR="00D36147" w:rsidRPr="000470E7" w:rsidRDefault="00DC2303" w:rsidP="002A04BF">
            <w:pPr>
              <w:jc w:val="center"/>
              <w:rPr>
                <w:rFonts w:cs="Times New Roman"/>
                <w:b/>
                <w:sz w:val="20"/>
                <w:szCs w:val="20"/>
              </w:rPr>
            </w:pPr>
            <w:r w:rsidRPr="000470E7">
              <w:rPr>
                <w:rFonts w:cs="Times New Roman"/>
                <w:b/>
                <w:sz w:val="20"/>
                <w:szCs w:val="20"/>
              </w:rPr>
              <w:t xml:space="preserve">Drugi izvori </w:t>
            </w:r>
          </w:p>
          <w:p w14:paraId="30A16BA3" w14:textId="206AB48D" w:rsidR="00DC2303" w:rsidRPr="000470E7" w:rsidRDefault="00DC2303" w:rsidP="002A04BF">
            <w:pPr>
              <w:jc w:val="center"/>
              <w:rPr>
                <w:rFonts w:cs="Times New Roman"/>
                <w:b/>
                <w:sz w:val="20"/>
                <w:szCs w:val="20"/>
              </w:rPr>
            </w:pPr>
            <w:r w:rsidRPr="000470E7">
              <w:rPr>
                <w:rFonts w:cs="Times New Roman"/>
                <w:b/>
                <w:sz w:val="20"/>
                <w:szCs w:val="20"/>
              </w:rPr>
              <w:t>(EUR)</w:t>
            </w:r>
          </w:p>
        </w:tc>
      </w:tr>
      <w:tr w:rsidR="00CE622A" w:rsidRPr="00CE622A" w14:paraId="0381760D" w14:textId="77777777" w:rsidTr="002A04BF">
        <w:tc>
          <w:tcPr>
            <w:tcW w:w="1561" w:type="pct"/>
            <w:shd w:val="clear" w:color="auto" w:fill="F2F2F2" w:themeFill="background1" w:themeFillShade="F2"/>
            <w:vAlign w:val="center"/>
          </w:tcPr>
          <w:p w14:paraId="2D1F8F72" w14:textId="6BD7AAC3" w:rsidR="00DC2303" w:rsidRPr="000470E7" w:rsidRDefault="00DC2303" w:rsidP="009B1CEB">
            <w:pPr>
              <w:rPr>
                <w:rFonts w:cs="Times New Roman"/>
                <w:sz w:val="20"/>
                <w:szCs w:val="20"/>
              </w:rPr>
            </w:pPr>
            <w:r w:rsidRPr="000470E7">
              <w:rPr>
                <w:rFonts w:cs="Times New Roman"/>
                <w:sz w:val="20"/>
                <w:szCs w:val="20"/>
              </w:rPr>
              <w:lastRenderedPageBreak/>
              <w:t xml:space="preserve">Izvori financiranja u </w:t>
            </w:r>
            <w:r w:rsidR="003379F1" w:rsidRPr="000470E7">
              <w:rPr>
                <w:rFonts w:cs="Times New Roman"/>
                <w:sz w:val="20"/>
                <w:szCs w:val="20"/>
              </w:rPr>
              <w:t>2024</w:t>
            </w:r>
            <w:r w:rsidRPr="000470E7">
              <w:rPr>
                <w:rFonts w:cs="Times New Roman"/>
                <w:sz w:val="20"/>
                <w:szCs w:val="20"/>
              </w:rPr>
              <w:t>. (proračunska pozicija i predviđeni iznos sredstava)</w:t>
            </w:r>
          </w:p>
        </w:tc>
        <w:tc>
          <w:tcPr>
            <w:tcW w:w="1172" w:type="pct"/>
            <w:vAlign w:val="center"/>
          </w:tcPr>
          <w:p w14:paraId="523224A1" w14:textId="195A62A7" w:rsidR="00DC2303" w:rsidRPr="000470E7" w:rsidRDefault="000747C8" w:rsidP="00447EFE">
            <w:pPr>
              <w:jc w:val="center"/>
              <w:rPr>
                <w:rFonts w:cs="Times New Roman"/>
                <w:sz w:val="20"/>
                <w:szCs w:val="20"/>
              </w:rPr>
            </w:pPr>
            <w:r w:rsidRPr="000470E7">
              <w:rPr>
                <w:rFonts w:cs="Times New Roman"/>
                <w:sz w:val="20"/>
                <w:szCs w:val="20"/>
              </w:rPr>
              <w:t>A767015 – Provedba</w:t>
            </w:r>
            <w:r w:rsidR="00447EFE" w:rsidRPr="000470E7">
              <w:rPr>
                <w:rFonts w:cs="Times New Roman"/>
                <w:sz w:val="20"/>
                <w:szCs w:val="20"/>
              </w:rPr>
              <w:t xml:space="preserve"> </w:t>
            </w:r>
            <w:r w:rsidRPr="000470E7">
              <w:rPr>
                <w:rFonts w:cs="Times New Roman"/>
                <w:sz w:val="20"/>
                <w:szCs w:val="20"/>
              </w:rPr>
              <w:t>programa za uključivanj</w:t>
            </w:r>
            <w:r w:rsidR="00447EFE" w:rsidRPr="000470E7">
              <w:rPr>
                <w:rFonts w:cs="Times New Roman"/>
                <w:sz w:val="20"/>
                <w:szCs w:val="20"/>
              </w:rPr>
              <w:t>e</w:t>
            </w:r>
            <w:r w:rsidR="002F7831" w:rsidRPr="000470E7">
              <w:rPr>
                <w:rFonts w:cs="Times New Roman"/>
                <w:sz w:val="20"/>
                <w:szCs w:val="20"/>
              </w:rPr>
              <w:t xml:space="preserve"> </w:t>
            </w:r>
            <w:r w:rsidRPr="000470E7">
              <w:rPr>
                <w:rFonts w:cs="Times New Roman"/>
                <w:sz w:val="20"/>
                <w:szCs w:val="20"/>
              </w:rPr>
              <w:t>Roma 398.168,00</w:t>
            </w:r>
          </w:p>
        </w:tc>
        <w:tc>
          <w:tcPr>
            <w:tcW w:w="1175" w:type="pct"/>
            <w:vAlign w:val="center"/>
          </w:tcPr>
          <w:p w14:paraId="68B412F8" w14:textId="77777777" w:rsidR="00DC2303" w:rsidRPr="000470E7" w:rsidRDefault="00DC2303" w:rsidP="002A04BF">
            <w:pPr>
              <w:jc w:val="center"/>
              <w:rPr>
                <w:rFonts w:cs="Times New Roman"/>
                <w:sz w:val="20"/>
                <w:szCs w:val="20"/>
              </w:rPr>
            </w:pPr>
            <w:r w:rsidRPr="000470E7">
              <w:rPr>
                <w:rFonts w:cs="Times New Roman"/>
                <w:sz w:val="20"/>
                <w:szCs w:val="20"/>
              </w:rPr>
              <w:t>0,00</w:t>
            </w:r>
          </w:p>
        </w:tc>
        <w:tc>
          <w:tcPr>
            <w:tcW w:w="1092" w:type="pct"/>
            <w:vAlign w:val="center"/>
          </w:tcPr>
          <w:p w14:paraId="5F48B62B" w14:textId="77777777" w:rsidR="00DC2303" w:rsidRPr="000470E7" w:rsidRDefault="00DC2303" w:rsidP="002A04BF">
            <w:pPr>
              <w:jc w:val="center"/>
              <w:rPr>
                <w:rFonts w:cs="Times New Roman"/>
                <w:sz w:val="20"/>
                <w:szCs w:val="20"/>
              </w:rPr>
            </w:pPr>
            <w:r w:rsidRPr="000470E7">
              <w:rPr>
                <w:rFonts w:cs="Times New Roman"/>
                <w:sz w:val="20"/>
                <w:szCs w:val="20"/>
              </w:rPr>
              <w:t xml:space="preserve">0,00 </w:t>
            </w:r>
          </w:p>
        </w:tc>
      </w:tr>
      <w:tr w:rsidR="00CE622A" w:rsidRPr="00CE622A" w14:paraId="4CED2787" w14:textId="77777777" w:rsidTr="002A04BF">
        <w:tc>
          <w:tcPr>
            <w:tcW w:w="1561" w:type="pct"/>
            <w:vMerge w:val="restart"/>
            <w:shd w:val="clear" w:color="auto" w:fill="F2F2F2" w:themeFill="background1" w:themeFillShade="F2"/>
            <w:vAlign w:val="center"/>
          </w:tcPr>
          <w:p w14:paraId="189A8FD1" w14:textId="77777777" w:rsidR="00DC2303" w:rsidRPr="000470E7" w:rsidRDefault="00DC2303" w:rsidP="002A04BF">
            <w:pPr>
              <w:rPr>
                <w:rFonts w:cs="Times New Roman"/>
                <w:b/>
                <w:sz w:val="20"/>
                <w:szCs w:val="20"/>
              </w:rPr>
            </w:pPr>
            <w:r w:rsidRPr="000470E7">
              <w:rPr>
                <w:rFonts w:cs="Times New Roman"/>
                <w:b/>
                <w:sz w:val="20"/>
                <w:szCs w:val="20"/>
              </w:rPr>
              <w:t xml:space="preserve">UKUPNO UTROŠENA SREDSTVA PO IZVORU </w:t>
            </w:r>
          </w:p>
        </w:tc>
        <w:tc>
          <w:tcPr>
            <w:tcW w:w="1172" w:type="pct"/>
            <w:vAlign w:val="center"/>
          </w:tcPr>
          <w:p w14:paraId="7C8BF626" w14:textId="77777777" w:rsidR="00DC2303" w:rsidRPr="000470E7" w:rsidRDefault="00DC2303" w:rsidP="002A04BF">
            <w:pPr>
              <w:jc w:val="center"/>
              <w:rPr>
                <w:rFonts w:cs="Times New Roman"/>
                <w:b/>
                <w:sz w:val="20"/>
                <w:szCs w:val="20"/>
              </w:rPr>
            </w:pPr>
            <w:r w:rsidRPr="000470E7">
              <w:rPr>
                <w:rFonts w:cs="Times New Roman"/>
                <w:b/>
                <w:sz w:val="20"/>
                <w:szCs w:val="20"/>
              </w:rPr>
              <w:t>Državni proračun (EUR)</w:t>
            </w:r>
          </w:p>
        </w:tc>
        <w:tc>
          <w:tcPr>
            <w:tcW w:w="1175" w:type="pct"/>
            <w:vAlign w:val="center"/>
          </w:tcPr>
          <w:p w14:paraId="206F1CF9" w14:textId="77777777" w:rsidR="00DC2303" w:rsidRPr="000470E7" w:rsidRDefault="00DC2303" w:rsidP="002A04BF">
            <w:pPr>
              <w:jc w:val="center"/>
              <w:rPr>
                <w:rFonts w:cs="Times New Roman"/>
                <w:b/>
                <w:sz w:val="20"/>
                <w:szCs w:val="20"/>
              </w:rPr>
            </w:pPr>
            <w:r w:rsidRPr="000470E7">
              <w:rPr>
                <w:rFonts w:cs="Times New Roman"/>
                <w:b/>
                <w:sz w:val="20"/>
                <w:szCs w:val="20"/>
              </w:rPr>
              <w:t>EU financiranje (EUR)</w:t>
            </w:r>
          </w:p>
        </w:tc>
        <w:tc>
          <w:tcPr>
            <w:tcW w:w="1092" w:type="pct"/>
            <w:vAlign w:val="center"/>
          </w:tcPr>
          <w:p w14:paraId="389D5818" w14:textId="77777777" w:rsidR="00D36147" w:rsidRPr="000470E7" w:rsidRDefault="00DC2303" w:rsidP="002A04BF">
            <w:pPr>
              <w:jc w:val="center"/>
              <w:rPr>
                <w:rFonts w:cs="Times New Roman"/>
                <w:b/>
                <w:sz w:val="20"/>
                <w:szCs w:val="20"/>
              </w:rPr>
            </w:pPr>
            <w:r w:rsidRPr="000470E7">
              <w:rPr>
                <w:rFonts w:cs="Times New Roman"/>
                <w:b/>
                <w:sz w:val="20"/>
                <w:szCs w:val="20"/>
              </w:rPr>
              <w:t xml:space="preserve">Drugi izvori </w:t>
            </w:r>
          </w:p>
          <w:p w14:paraId="61B73806" w14:textId="07496684" w:rsidR="00DC2303" w:rsidRPr="000470E7" w:rsidRDefault="00DC2303" w:rsidP="002A04BF">
            <w:pPr>
              <w:jc w:val="center"/>
              <w:rPr>
                <w:rFonts w:cs="Times New Roman"/>
                <w:b/>
                <w:sz w:val="20"/>
                <w:szCs w:val="20"/>
              </w:rPr>
            </w:pPr>
            <w:r w:rsidRPr="000470E7">
              <w:rPr>
                <w:rFonts w:cs="Times New Roman"/>
                <w:b/>
                <w:sz w:val="20"/>
                <w:szCs w:val="20"/>
              </w:rPr>
              <w:t>(EUR)</w:t>
            </w:r>
          </w:p>
        </w:tc>
      </w:tr>
      <w:tr w:rsidR="00CE622A" w:rsidRPr="00CE622A" w14:paraId="3D253A99" w14:textId="77777777" w:rsidTr="002A04BF">
        <w:tc>
          <w:tcPr>
            <w:tcW w:w="1561" w:type="pct"/>
            <w:vMerge/>
            <w:shd w:val="clear" w:color="auto" w:fill="F2F2F2" w:themeFill="background1" w:themeFillShade="F2"/>
            <w:vAlign w:val="center"/>
          </w:tcPr>
          <w:p w14:paraId="41124EB8" w14:textId="77777777" w:rsidR="00DC2303" w:rsidRPr="000470E7" w:rsidRDefault="00DC2303" w:rsidP="002A04BF">
            <w:pPr>
              <w:rPr>
                <w:rFonts w:cs="Times New Roman"/>
                <w:b/>
                <w:sz w:val="20"/>
                <w:szCs w:val="20"/>
              </w:rPr>
            </w:pPr>
          </w:p>
        </w:tc>
        <w:tc>
          <w:tcPr>
            <w:tcW w:w="1172" w:type="pct"/>
            <w:vAlign w:val="center"/>
          </w:tcPr>
          <w:p w14:paraId="3C6AC91F" w14:textId="5C36F6C0" w:rsidR="00DC2303" w:rsidRDefault="00F5670A" w:rsidP="00F5670A">
            <w:pPr>
              <w:jc w:val="center"/>
              <w:rPr>
                <w:rFonts w:cs="Times New Roman"/>
                <w:bCs/>
                <w:sz w:val="20"/>
                <w:szCs w:val="20"/>
              </w:rPr>
            </w:pPr>
            <w:r>
              <w:rPr>
                <w:rFonts w:cs="Times New Roman"/>
                <w:bCs/>
                <w:sz w:val="20"/>
                <w:szCs w:val="20"/>
              </w:rPr>
              <w:t>(</w:t>
            </w:r>
            <w:r w:rsidR="000747C8" w:rsidRPr="000470E7">
              <w:rPr>
                <w:rFonts w:cs="Times New Roman"/>
                <w:bCs/>
                <w:sz w:val="20"/>
                <w:szCs w:val="20"/>
              </w:rPr>
              <w:t xml:space="preserve">A767015 </w:t>
            </w:r>
            <w:r>
              <w:rPr>
                <w:rFonts w:cs="Times New Roman"/>
                <w:bCs/>
                <w:sz w:val="20"/>
                <w:szCs w:val="20"/>
              </w:rPr>
              <w:t>470.045,00, A 577137 59.105,38)</w:t>
            </w:r>
          </w:p>
          <w:p w14:paraId="446675AC" w14:textId="30BC63A0" w:rsidR="00F5670A" w:rsidRPr="00F5670A" w:rsidRDefault="00F5670A" w:rsidP="00F5670A">
            <w:pPr>
              <w:jc w:val="center"/>
              <w:rPr>
                <w:rFonts w:cs="Times New Roman"/>
                <w:b/>
                <w:bCs/>
                <w:sz w:val="20"/>
                <w:szCs w:val="20"/>
              </w:rPr>
            </w:pPr>
            <w:r w:rsidRPr="00423491">
              <w:rPr>
                <w:rFonts w:cs="Times New Roman"/>
                <w:b/>
                <w:bCs/>
                <w:sz w:val="20"/>
                <w:szCs w:val="20"/>
              </w:rPr>
              <w:t>529.150,38</w:t>
            </w:r>
          </w:p>
        </w:tc>
        <w:tc>
          <w:tcPr>
            <w:tcW w:w="1175" w:type="pct"/>
            <w:vAlign w:val="center"/>
          </w:tcPr>
          <w:p w14:paraId="29BD133D" w14:textId="77777777" w:rsidR="00DC2303" w:rsidRPr="000470E7" w:rsidRDefault="00DC2303" w:rsidP="002A04BF">
            <w:pPr>
              <w:jc w:val="center"/>
              <w:rPr>
                <w:rFonts w:cs="Times New Roman"/>
                <w:bCs/>
                <w:sz w:val="20"/>
                <w:szCs w:val="20"/>
              </w:rPr>
            </w:pPr>
            <w:r w:rsidRPr="000470E7">
              <w:rPr>
                <w:rFonts w:cs="Times New Roman"/>
                <w:bCs/>
                <w:sz w:val="20"/>
                <w:szCs w:val="20"/>
              </w:rPr>
              <w:t>0,00</w:t>
            </w:r>
          </w:p>
        </w:tc>
        <w:tc>
          <w:tcPr>
            <w:tcW w:w="1092" w:type="pct"/>
            <w:vAlign w:val="center"/>
          </w:tcPr>
          <w:p w14:paraId="5597D723" w14:textId="77777777" w:rsidR="00DC2303" w:rsidRPr="000470E7" w:rsidRDefault="00DC2303" w:rsidP="002A04BF">
            <w:pPr>
              <w:jc w:val="center"/>
              <w:rPr>
                <w:rFonts w:cs="Times New Roman"/>
                <w:bCs/>
                <w:sz w:val="20"/>
                <w:szCs w:val="20"/>
              </w:rPr>
            </w:pPr>
            <w:r w:rsidRPr="000470E7">
              <w:rPr>
                <w:rFonts w:cs="Times New Roman"/>
                <w:bCs/>
                <w:sz w:val="20"/>
                <w:szCs w:val="20"/>
              </w:rPr>
              <w:t xml:space="preserve">0,00 </w:t>
            </w:r>
          </w:p>
        </w:tc>
      </w:tr>
      <w:tr w:rsidR="00CE622A" w:rsidRPr="00CE622A" w14:paraId="743DA06E" w14:textId="77777777" w:rsidTr="00D36147">
        <w:tc>
          <w:tcPr>
            <w:tcW w:w="1561" w:type="pct"/>
            <w:shd w:val="clear" w:color="auto" w:fill="F2F2F2" w:themeFill="background1" w:themeFillShade="F2"/>
            <w:vAlign w:val="center"/>
          </w:tcPr>
          <w:p w14:paraId="5845D41A" w14:textId="249685BC" w:rsidR="00DC2303" w:rsidRPr="000470E7" w:rsidRDefault="00DC2303" w:rsidP="002A04BF">
            <w:pPr>
              <w:rPr>
                <w:rFonts w:cs="Times New Roman"/>
                <w:sz w:val="20"/>
                <w:szCs w:val="20"/>
              </w:rPr>
            </w:pPr>
            <w:r w:rsidRPr="000470E7">
              <w:rPr>
                <w:rFonts w:cs="Times New Roman"/>
                <w:sz w:val="20"/>
                <w:szCs w:val="20"/>
              </w:rPr>
              <w:t xml:space="preserve">ROK PROVEDBE </w:t>
            </w:r>
            <w:r w:rsidR="00E63507" w:rsidRPr="000470E7">
              <w:rPr>
                <w:rFonts w:cs="Times New Roman"/>
                <w:sz w:val="20"/>
                <w:szCs w:val="20"/>
              </w:rPr>
              <w:t>A</w:t>
            </w:r>
            <w:r w:rsidRPr="000470E7">
              <w:rPr>
                <w:rFonts w:cs="Times New Roman"/>
                <w:sz w:val="20"/>
                <w:szCs w:val="20"/>
              </w:rPr>
              <w:t>KTIVNOSTI</w:t>
            </w:r>
          </w:p>
        </w:tc>
        <w:tc>
          <w:tcPr>
            <w:tcW w:w="3439" w:type="pct"/>
            <w:gridSpan w:val="3"/>
            <w:vAlign w:val="center"/>
          </w:tcPr>
          <w:p w14:paraId="09E6BF18" w14:textId="77777777" w:rsidR="00DC2303" w:rsidRPr="000470E7" w:rsidRDefault="00DC2303" w:rsidP="002A04BF">
            <w:pPr>
              <w:rPr>
                <w:rFonts w:cs="Times New Roman"/>
                <w:sz w:val="20"/>
                <w:szCs w:val="20"/>
              </w:rPr>
            </w:pPr>
            <w:r w:rsidRPr="000470E7">
              <w:rPr>
                <w:rFonts w:cs="Times New Roman"/>
                <w:sz w:val="20"/>
                <w:szCs w:val="20"/>
              </w:rPr>
              <w:t>IV. kvartal 2025.</w:t>
            </w:r>
          </w:p>
        </w:tc>
      </w:tr>
    </w:tbl>
    <w:p w14:paraId="337B02E4" w14:textId="2386292C" w:rsidR="00E5482D" w:rsidRPr="00F46FC0" w:rsidRDefault="00E5482D" w:rsidP="004A3B23">
      <w:pPr>
        <w:spacing w:after="0" w:line="276" w:lineRule="auto"/>
        <w:jc w:val="both"/>
        <w:rPr>
          <w:rFonts w:cs="Times New Roman"/>
          <w:iCs/>
        </w:rPr>
      </w:pPr>
    </w:p>
    <w:p w14:paraId="575D48B5" w14:textId="77777777" w:rsidR="003379F1" w:rsidRPr="00F46FC0" w:rsidRDefault="003379F1" w:rsidP="004A3B23">
      <w:pPr>
        <w:spacing w:after="0" w:line="276" w:lineRule="auto"/>
        <w:jc w:val="both"/>
        <w:rPr>
          <w:rFonts w:cs="Times New Roman"/>
          <w:iCs/>
        </w:rPr>
      </w:pPr>
    </w:p>
    <w:p w14:paraId="0EB89248" w14:textId="6E5C3327" w:rsidR="001E3580" w:rsidRPr="00FC64BF" w:rsidRDefault="000E59EB" w:rsidP="00D36147">
      <w:pPr>
        <w:spacing w:after="0" w:line="276" w:lineRule="auto"/>
        <w:jc w:val="both"/>
        <w:rPr>
          <w:rFonts w:cs="Times New Roman"/>
          <w:i/>
          <w:iCs/>
        </w:rPr>
      </w:pPr>
      <w:r w:rsidRPr="00FC64BF">
        <w:rPr>
          <w:rFonts w:cs="Times New Roman"/>
          <w:i/>
          <w:iCs/>
        </w:rPr>
        <w:t xml:space="preserve">Aktivnost: 4.2.2. </w:t>
      </w:r>
      <w:r w:rsidRPr="00FC64BF">
        <w:rPr>
          <w:rFonts w:cs="Times New Roman"/>
          <w:bCs/>
          <w:i/>
          <w:iCs/>
        </w:rPr>
        <w:t>Sufinanciranje programa predškole za djecu pripadnike romske nacionalne manjine</w:t>
      </w:r>
    </w:p>
    <w:p w14:paraId="44AAED3A" w14:textId="3CC52833" w:rsidR="000E59EB" w:rsidRPr="00FC64BF" w:rsidRDefault="000E59EB" w:rsidP="00D36147">
      <w:pPr>
        <w:spacing w:after="0" w:line="276" w:lineRule="auto"/>
        <w:jc w:val="both"/>
        <w:rPr>
          <w:rFonts w:cs="Times New Roman"/>
          <w:i/>
          <w:iCs/>
        </w:rPr>
      </w:pPr>
      <w:r w:rsidRPr="00FC64BF">
        <w:rPr>
          <w:rFonts w:cs="Times New Roman"/>
          <w:i/>
          <w:iCs/>
        </w:rPr>
        <w:t xml:space="preserve">Nositelj: </w:t>
      </w:r>
      <w:r w:rsidR="00F36CF1">
        <w:rPr>
          <w:rFonts w:cs="Times New Roman"/>
          <w:i/>
          <w:iCs/>
        </w:rPr>
        <w:t>Ministarstvo znanosti, obrazovanja i mladih</w:t>
      </w:r>
    </w:p>
    <w:p w14:paraId="6A0F36C7" w14:textId="037D71CF" w:rsidR="000E59EB" w:rsidRPr="00FC64BF" w:rsidRDefault="000E59EB" w:rsidP="00D36147">
      <w:pPr>
        <w:spacing w:after="0" w:line="276" w:lineRule="auto"/>
        <w:jc w:val="both"/>
        <w:rPr>
          <w:rFonts w:cs="Times New Roman"/>
          <w:i/>
          <w:iCs/>
        </w:rPr>
      </w:pPr>
      <w:r w:rsidRPr="00FC64BF">
        <w:rPr>
          <w:rFonts w:cs="Times New Roman"/>
          <w:i/>
          <w:iCs/>
        </w:rPr>
        <w:t xml:space="preserve">Partneri: Upravni odjeli za obrazovanje u županijama, Gradski ured za obrazovanje Grada Zagreba, predškolske ustanove, osnovne škole, </w:t>
      </w:r>
      <w:r w:rsidR="00026107">
        <w:rPr>
          <w:rFonts w:cs="Times New Roman"/>
          <w:i/>
          <w:iCs/>
        </w:rPr>
        <w:t>JLP(R)S</w:t>
      </w:r>
    </w:p>
    <w:p w14:paraId="6B36C237" w14:textId="184D2540" w:rsidR="000E59EB" w:rsidRPr="00FC64BF" w:rsidRDefault="000E59EB" w:rsidP="00D36147">
      <w:pPr>
        <w:spacing w:after="0" w:line="276" w:lineRule="auto"/>
        <w:jc w:val="both"/>
        <w:rPr>
          <w:rFonts w:cs="Times New Roman"/>
          <w:i/>
          <w:iCs/>
        </w:rPr>
      </w:pPr>
    </w:p>
    <w:p w14:paraId="03B5002F" w14:textId="55C7E2C8" w:rsidR="003334D4" w:rsidRPr="00FC64BF" w:rsidRDefault="003334D4" w:rsidP="00D36147">
      <w:pPr>
        <w:spacing w:after="0" w:line="276" w:lineRule="auto"/>
        <w:jc w:val="both"/>
        <w:rPr>
          <w:rFonts w:cs="Times New Roman"/>
          <w:iCs/>
        </w:rPr>
      </w:pPr>
      <w:r w:rsidRPr="00FC64BF">
        <w:rPr>
          <w:rFonts w:cs="Times New Roman"/>
          <w:iCs/>
        </w:rPr>
        <w:t xml:space="preserve">Ministarstvo znanosti, obrazovanja i mladih sufinancira provedbu programa predškole za djecu pripadnike romske nacionalne manjine te se osiguravaju sredstva za rad odgajatelja, didaktike te prehranu djece. U slučaju da ne postoje prostorni uvjeti u predškolskoj ustanovi, program predškole organizira se u osnovnim školama te se praćenje i vrednovanje ostvarivanja ciljeva i zadataka uključivanja romske djece prati suradnjom sa školama i vrtićima. I u 2024. </w:t>
      </w:r>
      <w:r w:rsidR="002D0484">
        <w:rPr>
          <w:rFonts w:cs="Times New Roman"/>
          <w:iCs/>
        </w:rPr>
        <w:t xml:space="preserve">godini </w:t>
      </w:r>
      <w:r w:rsidRPr="00FC64BF">
        <w:rPr>
          <w:rFonts w:cs="Times New Roman"/>
          <w:iCs/>
        </w:rPr>
        <w:t xml:space="preserve">Ministarstvo znanosti, obrazovanja i mladih </w:t>
      </w:r>
      <w:r w:rsidR="00DC3D3E">
        <w:rPr>
          <w:rFonts w:cs="Times New Roman"/>
          <w:iCs/>
        </w:rPr>
        <w:t xml:space="preserve">je osiguralo sufinanciranje </w:t>
      </w:r>
      <w:r w:rsidRPr="00FC64BF">
        <w:rPr>
          <w:rFonts w:cs="Times New Roman"/>
          <w:iCs/>
        </w:rPr>
        <w:t>temeljem zaprimljenih zahtjeva odgojno-obrazovnih ustanova i Odluke o kriterijima za sufinanciranje programa predškole za djecu pripadnike romske nacionalne manjine te je vidljivo povećanje broja djece u navedenim programima.</w:t>
      </w:r>
    </w:p>
    <w:p w14:paraId="01A20450" w14:textId="77777777" w:rsidR="0029699C" w:rsidRPr="00FC64BF" w:rsidRDefault="0029699C" w:rsidP="00D36147">
      <w:pPr>
        <w:spacing w:after="0" w:line="276" w:lineRule="auto"/>
        <w:jc w:val="both"/>
        <w:rPr>
          <w:rFonts w:cs="Times New Roman"/>
          <w:i/>
          <w:iCs/>
        </w:rPr>
      </w:pPr>
    </w:p>
    <w:tbl>
      <w:tblPr>
        <w:tblStyle w:val="TableGrid"/>
        <w:tblW w:w="5130" w:type="pct"/>
        <w:tblLayout w:type="fixed"/>
        <w:tblLook w:val="04A0" w:firstRow="1" w:lastRow="0" w:firstColumn="1" w:lastColumn="0" w:noHBand="0" w:noVBand="1"/>
      </w:tblPr>
      <w:tblGrid>
        <w:gridCol w:w="2828"/>
        <w:gridCol w:w="2364"/>
        <w:gridCol w:w="2012"/>
        <w:gridCol w:w="2094"/>
      </w:tblGrid>
      <w:tr w:rsidR="003334D4" w:rsidRPr="003334D4" w14:paraId="4B67B518" w14:textId="77777777" w:rsidTr="00B66CD2">
        <w:tc>
          <w:tcPr>
            <w:tcW w:w="1521" w:type="pct"/>
            <w:shd w:val="clear" w:color="auto" w:fill="F2F2F2" w:themeFill="background1" w:themeFillShade="F2"/>
            <w:vAlign w:val="center"/>
          </w:tcPr>
          <w:p w14:paraId="6D764082" w14:textId="6CA8D530" w:rsidR="000747C8" w:rsidRPr="00DD2F01" w:rsidRDefault="007E61F3" w:rsidP="002A04BF">
            <w:pPr>
              <w:rPr>
                <w:rFonts w:cs="Times New Roman"/>
                <w:b/>
                <w:sz w:val="20"/>
                <w:szCs w:val="20"/>
              </w:rPr>
            </w:pPr>
            <w:r w:rsidRPr="00DD2F01">
              <w:rPr>
                <w:rFonts w:cs="Times New Roman"/>
                <w:b/>
                <w:sz w:val="20"/>
                <w:szCs w:val="20"/>
              </w:rPr>
              <w:t>Pokazatelji provedbe i pokazatelji uspješnosti provedbe</w:t>
            </w:r>
          </w:p>
        </w:tc>
        <w:tc>
          <w:tcPr>
            <w:tcW w:w="1271" w:type="pct"/>
            <w:shd w:val="clear" w:color="auto" w:fill="F2F2F2" w:themeFill="background1" w:themeFillShade="F2"/>
            <w:vAlign w:val="center"/>
          </w:tcPr>
          <w:p w14:paraId="6B0A612D" w14:textId="67BC9400" w:rsidR="000747C8" w:rsidRPr="00DD2F01" w:rsidRDefault="000747C8" w:rsidP="00447EFE">
            <w:pPr>
              <w:jc w:val="center"/>
              <w:rPr>
                <w:rFonts w:cs="Times New Roman"/>
                <w:b/>
                <w:sz w:val="20"/>
                <w:szCs w:val="20"/>
              </w:rPr>
            </w:pPr>
            <w:r w:rsidRPr="00DD2F01">
              <w:rPr>
                <w:rFonts w:cs="Times New Roman"/>
                <w:b/>
                <w:sz w:val="20"/>
                <w:szCs w:val="20"/>
              </w:rPr>
              <w:t>Broj djece uključene u</w:t>
            </w:r>
            <w:r w:rsidR="00447EFE" w:rsidRPr="00DD2F01">
              <w:rPr>
                <w:rFonts w:cs="Times New Roman"/>
                <w:b/>
                <w:sz w:val="20"/>
                <w:szCs w:val="20"/>
              </w:rPr>
              <w:t xml:space="preserve"> </w:t>
            </w:r>
            <w:r w:rsidRPr="00DD2F01">
              <w:rPr>
                <w:rFonts w:cs="Times New Roman"/>
                <w:b/>
                <w:sz w:val="20"/>
                <w:szCs w:val="20"/>
              </w:rPr>
              <w:t>program predškole</w:t>
            </w:r>
          </w:p>
        </w:tc>
        <w:tc>
          <w:tcPr>
            <w:tcW w:w="1082" w:type="pct"/>
            <w:shd w:val="clear" w:color="auto" w:fill="F2F2F2" w:themeFill="background1" w:themeFillShade="F2"/>
            <w:vAlign w:val="center"/>
          </w:tcPr>
          <w:p w14:paraId="52E5868A" w14:textId="74A07661" w:rsidR="000747C8" w:rsidRPr="00DD2F01" w:rsidRDefault="000747C8" w:rsidP="00447EFE">
            <w:pPr>
              <w:jc w:val="center"/>
              <w:rPr>
                <w:rFonts w:cs="Times New Roman"/>
                <w:b/>
                <w:sz w:val="20"/>
                <w:szCs w:val="20"/>
              </w:rPr>
            </w:pPr>
            <w:r w:rsidRPr="00DD2F01">
              <w:rPr>
                <w:rFonts w:cs="Times New Roman"/>
                <w:b/>
                <w:sz w:val="20"/>
                <w:szCs w:val="20"/>
              </w:rPr>
              <w:t>Broj ustanova u kojima</w:t>
            </w:r>
            <w:r w:rsidR="00447EFE" w:rsidRPr="00DD2F01">
              <w:rPr>
                <w:rFonts w:cs="Times New Roman"/>
                <w:b/>
                <w:sz w:val="20"/>
                <w:szCs w:val="20"/>
              </w:rPr>
              <w:t xml:space="preserve"> </w:t>
            </w:r>
            <w:r w:rsidRPr="00DD2F01">
              <w:rPr>
                <w:rFonts w:cs="Times New Roman"/>
                <w:b/>
                <w:sz w:val="20"/>
                <w:szCs w:val="20"/>
              </w:rPr>
              <w:t>se provodi program</w:t>
            </w:r>
            <w:r w:rsidR="00447EFE" w:rsidRPr="00DD2F01">
              <w:rPr>
                <w:rFonts w:cs="Times New Roman"/>
                <w:b/>
                <w:sz w:val="20"/>
                <w:szCs w:val="20"/>
              </w:rPr>
              <w:t xml:space="preserve"> </w:t>
            </w:r>
            <w:r w:rsidRPr="00DD2F01">
              <w:rPr>
                <w:rFonts w:cs="Times New Roman"/>
                <w:b/>
                <w:sz w:val="20"/>
                <w:szCs w:val="20"/>
              </w:rPr>
              <w:t>predškole</w:t>
            </w:r>
          </w:p>
        </w:tc>
        <w:tc>
          <w:tcPr>
            <w:tcW w:w="1126" w:type="pct"/>
            <w:shd w:val="clear" w:color="auto" w:fill="F2F2F2" w:themeFill="background1" w:themeFillShade="F2"/>
            <w:vAlign w:val="center"/>
          </w:tcPr>
          <w:p w14:paraId="4EB6870C" w14:textId="1C89977E" w:rsidR="000747C8" w:rsidRPr="00DD2F01" w:rsidRDefault="000747C8" w:rsidP="00447EFE">
            <w:pPr>
              <w:jc w:val="center"/>
              <w:rPr>
                <w:rFonts w:cs="Times New Roman"/>
                <w:b/>
                <w:sz w:val="20"/>
                <w:szCs w:val="20"/>
              </w:rPr>
            </w:pPr>
            <w:r w:rsidRPr="00DD2F01">
              <w:rPr>
                <w:rFonts w:cs="Times New Roman"/>
                <w:b/>
                <w:sz w:val="20"/>
                <w:szCs w:val="20"/>
              </w:rPr>
              <w:t>Ukupan broj djece u</w:t>
            </w:r>
            <w:r w:rsidR="00447EFE" w:rsidRPr="00DD2F01">
              <w:rPr>
                <w:rFonts w:cs="Times New Roman"/>
                <w:b/>
                <w:sz w:val="20"/>
                <w:szCs w:val="20"/>
              </w:rPr>
              <w:t xml:space="preserve"> </w:t>
            </w:r>
            <w:r w:rsidRPr="00DD2F01">
              <w:rPr>
                <w:rFonts w:cs="Times New Roman"/>
                <w:b/>
                <w:sz w:val="20"/>
                <w:szCs w:val="20"/>
              </w:rPr>
              <w:t>programima</w:t>
            </w:r>
            <w:r w:rsidR="00447EFE" w:rsidRPr="00DD2F01">
              <w:rPr>
                <w:rFonts w:cs="Times New Roman"/>
                <w:b/>
                <w:sz w:val="20"/>
                <w:szCs w:val="20"/>
              </w:rPr>
              <w:t xml:space="preserve"> </w:t>
            </w:r>
            <w:r w:rsidRPr="00DD2F01">
              <w:rPr>
                <w:rFonts w:cs="Times New Roman"/>
                <w:b/>
                <w:sz w:val="20"/>
                <w:szCs w:val="20"/>
              </w:rPr>
              <w:t>predškolskog odgoja</w:t>
            </w:r>
          </w:p>
        </w:tc>
      </w:tr>
      <w:tr w:rsidR="003334D4" w:rsidRPr="003334D4" w14:paraId="6AEC0C6D" w14:textId="77777777" w:rsidTr="00FC64BF">
        <w:tc>
          <w:tcPr>
            <w:tcW w:w="1521" w:type="pct"/>
            <w:shd w:val="clear" w:color="auto" w:fill="F2F2F2" w:themeFill="background1" w:themeFillShade="F2"/>
            <w:vAlign w:val="center"/>
          </w:tcPr>
          <w:p w14:paraId="649B3C79" w14:textId="78B7667B" w:rsidR="003334D4" w:rsidRPr="00DD2F01" w:rsidRDefault="003334D4" w:rsidP="009B1CEB">
            <w:pPr>
              <w:rPr>
                <w:rFonts w:cs="Times New Roman"/>
                <w:sz w:val="20"/>
                <w:szCs w:val="20"/>
              </w:rPr>
            </w:pPr>
            <w:r w:rsidRPr="00DD2F01">
              <w:rPr>
                <w:rFonts w:cs="Times New Roman"/>
                <w:sz w:val="20"/>
                <w:szCs w:val="20"/>
              </w:rPr>
              <w:t xml:space="preserve">Planirani ishodi za pokazatelje provedbe u 2024. </w:t>
            </w:r>
          </w:p>
        </w:tc>
        <w:tc>
          <w:tcPr>
            <w:tcW w:w="1271" w:type="pct"/>
          </w:tcPr>
          <w:p w14:paraId="326BD73C" w14:textId="5328AFBB" w:rsidR="003334D4" w:rsidRPr="00DD2F01" w:rsidRDefault="003334D4" w:rsidP="003334D4">
            <w:pPr>
              <w:jc w:val="center"/>
              <w:rPr>
                <w:rFonts w:cs="Times New Roman"/>
                <w:sz w:val="20"/>
                <w:szCs w:val="20"/>
              </w:rPr>
            </w:pPr>
            <w:r w:rsidRPr="00DD2F01">
              <w:rPr>
                <w:rFonts w:cs="Times New Roman"/>
                <w:sz w:val="20"/>
                <w:szCs w:val="20"/>
              </w:rPr>
              <w:t>700</w:t>
            </w:r>
          </w:p>
        </w:tc>
        <w:tc>
          <w:tcPr>
            <w:tcW w:w="1082" w:type="pct"/>
          </w:tcPr>
          <w:p w14:paraId="6E2CD423" w14:textId="5AEA86DA" w:rsidR="003334D4" w:rsidRPr="00DD2F01" w:rsidRDefault="003334D4" w:rsidP="003334D4">
            <w:pPr>
              <w:jc w:val="center"/>
              <w:rPr>
                <w:rFonts w:cs="Times New Roman"/>
                <w:sz w:val="20"/>
                <w:szCs w:val="20"/>
              </w:rPr>
            </w:pPr>
            <w:r w:rsidRPr="00DD2F01">
              <w:rPr>
                <w:rFonts w:cs="Times New Roman"/>
                <w:sz w:val="20"/>
                <w:szCs w:val="20"/>
              </w:rPr>
              <w:t>50</w:t>
            </w:r>
          </w:p>
        </w:tc>
        <w:tc>
          <w:tcPr>
            <w:tcW w:w="1126" w:type="pct"/>
          </w:tcPr>
          <w:p w14:paraId="48D33D86" w14:textId="724444F0" w:rsidR="003334D4" w:rsidRPr="00DD2F01" w:rsidRDefault="003334D4" w:rsidP="003334D4">
            <w:pPr>
              <w:jc w:val="center"/>
              <w:rPr>
                <w:rFonts w:cs="Times New Roman"/>
                <w:sz w:val="20"/>
                <w:szCs w:val="20"/>
              </w:rPr>
            </w:pPr>
            <w:r w:rsidRPr="00DD2F01">
              <w:rPr>
                <w:rFonts w:cs="Times New Roman"/>
                <w:sz w:val="20"/>
                <w:szCs w:val="20"/>
              </w:rPr>
              <w:t>1500</w:t>
            </w:r>
          </w:p>
        </w:tc>
      </w:tr>
      <w:tr w:rsidR="003334D4" w:rsidRPr="003334D4" w14:paraId="165CA326" w14:textId="77777777" w:rsidTr="00FC64BF">
        <w:tc>
          <w:tcPr>
            <w:tcW w:w="1521" w:type="pct"/>
            <w:shd w:val="clear" w:color="auto" w:fill="F2F2F2" w:themeFill="background1" w:themeFillShade="F2"/>
            <w:vAlign w:val="center"/>
          </w:tcPr>
          <w:p w14:paraId="7CA5AE20" w14:textId="2EE37B2A" w:rsidR="003334D4" w:rsidRPr="00DD2F01" w:rsidRDefault="003334D4" w:rsidP="009B1CEB">
            <w:pPr>
              <w:rPr>
                <w:rFonts w:cs="Times New Roman"/>
                <w:sz w:val="20"/>
                <w:szCs w:val="20"/>
              </w:rPr>
            </w:pPr>
            <w:r w:rsidRPr="00DD2F01">
              <w:rPr>
                <w:rFonts w:cs="Times New Roman"/>
                <w:sz w:val="20"/>
                <w:szCs w:val="20"/>
              </w:rPr>
              <w:t>Ostvareni ishodi za pokazatelje provedbe u 2024.</w:t>
            </w:r>
          </w:p>
        </w:tc>
        <w:tc>
          <w:tcPr>
            <w:tcW w:w="1271" w:type="pct"/>
          </w:tcPr>
          <w:p w14:paraId="43F4C875" w14:textId="77777777" w:rsidR="003334D4" w:rsidRPr="00DD2F01" w:rsidRDefault="003334D4" w:rsidP="003334D4">
            <w:pPr>
              <w:jc w:val="center"/>
              <w:rPr>
                <w:rFonts w:eastAsia="Calibri"/>
                <w:sz w:val="20"/>
                <w:szCs w:val="20"/>
              </w:rPr>
            </w:pPr>
            <w:r w:rsidRPr="00DD2F01">
              <w:rPr>
                <w:rFonts w:eastAsia="Calibri"/>
                <w:sz w:val="20"/>
                <w:szCs w:val="20"/>
              </w:rPr>
              <w:t xml:space="preserve">(kraj </w:t>
            </w:r>
            <w:proofErr w:type="spellStart"/>
            <w:r w:rsidRPr="00DD2F01">
              <w:rPr>
                <w:rFonts w:eastAsia="Calibri"/>
                <w:sz w:val="20"/>
                <w:szCs w:val="20"/>
              </w:rPr>
              <w:t>ped</w:t>
            </w:r>
            <w:proofErr w:type="spellEnd"/>
            <w:r w:rsidRPr="00DD2F01">
              <w:rPr>
                <w:rFonts w:eastAsia="Calibri"/>
                <w:sz w:val="20"/>
                <w:szCs w:val="20"/>
              </w:rPr>
              <w:t>. god. 2023./2024.)</w:t>
            </w:r>
          </w:p>
          <w:p w14:paraId="7B15FDA1" w14:textId="6A0E031B" w:rsidR="003334D4" w:rsidRPr="00DD2F01" w:rsidRDefault="003334D4" w:rsidP="003334D4">
            <w:pPr>
              <w:jc w:val="center"/>
              <w:rPr>
                <w:rFonts w:cs="Times New Roman"/>
                <w:sz w:val="20"/>
                <w:szCs w:val="20"/>
              </w:rPr>
            </w:pPr>
            <w:r w:rsidRPr="00DD2F01">
              <w:rPr>
                <w:rFonts w:eastAsia="Calibri"/>
                <w:sz w:val="20"/>
                <w:szCs w:val="20"/>
              </w:rPr>
              <w:t>628 (340m/288ž)</w:t>
            </w:r>
          </w:p>
        </w:tc>
        <w:tc>
          <w:tcPr>
            <w:tcW w:w="1082" w:type="pct"/>
          </w:tcPr>
          <w:p w14:paraId="15AFFB02" w14:textId="369A1321" w:rsidR="003334D4" w:rsidRPr="00DD2F01" w:rsidRDefault="003334D4" w:rsidP="003334D4">
            <w:pPr>
              <w:jc w:val="center"/>
              <w:rPr>
                <w:rFonts w:cs="Times New Roman"/>
                <w:sz w:val="20"/>
                <w:szCs w:val="20"/>
              </w:rPr>
            </w:pPr>
            <w:r w:rsidRPr="00DD2F01">
              <w:rPr>
                <w:rFonts w:cs="Times New Roman"/>
                <w:sz w:val="20"/>
                <w:szCs w:val="20"/>
              </w:rPr>
              <w:t>86</w:t>
            </w:r>
          </w:p>
        </w:tc>
        <w:tc>
          <w:tcPr>
            <w:tcW w:w="1126" w:type="pct"/>
          </w:tcPr>
          <w:p w14:paraId="7F2640B8" w14:textId="77777777" w:rsidR="003334D4" w:rsidRPr="00DD2F01" w:rsidRDefault="003334D4" w:rsidP="003334D4">
            <w:pPr>
              <w:jc w:val="center"/>
              <w:rPr>
                <w:rFonts w:eastAsia="Calibri"/>
                <w:sz w:val="20"/>
                <w:szCs w:val="20"/>
              </w:rPr>
            </w:pPr>
            <w:r w:rsidRPr="00DD2F01">
              <w:rPr>
                <w:rFonts w:eastAsia="Calibri"/>
                <w:sz w:val="20"/>
                <w:szCs w:val="20"/>
              </w:rPr>
              <w:t xml:space="preserve">(kraj </w:t>
            </w:r>
            <w:proofErr w:type="spellStart"/>
            <w:r w:rsidRPr="00DD2F01">
              <w:rPr>
                <w:rFonts w:eastAsia="Calibri"/>
                <w:sz w:val="20"/>
                <w:szCs w:val="20"/>
              </w:rPr>
              <w:t>ped</w:t>
            </w:r>
            <w:proofErr w:type="spellEnd"/>
            <w:r w:rsidRPr="00DD2F01">
              <w:rPr>
                <w:rFonts w:eastAsia="Calibri"/>
                <w:sz w:val="20"/>
                <w:szCs w:val="20"/>
              </w:rPr>
              <w:t>. god. 2023./2024.)</w:t>
            </w:r>
          </w:p>
          <w:p w14:paraId="1B3D3666" w14:textId="4FDC972E" w:rsidR="003334D4" w:rsidRPr="00DD2F01" w:rsidRDefault="003334D4" w:rsidP="003334D4">
            <w:pPr>
              <w:jc w:val="center"/>
              <w:rPr>
                <w:rFonts w:cs="Times New Roman"/>
                <w:sz w:val="20"/>
                <w:szCs w:val="20"/>
              </w:rPr>
            </w:pPr>
            <w:r w:rsidRPr="00DD2F01">
              <w:rPr>
                <w:rFonts w:eastAsia="Calibri"/>
                <w:sz w:val="20"/>
                <w:szCs w:val="20"/>
              </w:rPr>
              <w:t>1.123 (588m/535ž)</w:t>
            </w:r>
          </w:p>
        </w:tc>
      </w:tr>
      <w:tr w:rsidR="003334D4" w:rsidRPr="003334D4" w14:paraId="28F2F327" w14:textId="77777777" w:rsidTr="00B66CD2">
        <w:tc>
          <w:tcPr>
            <w:tcW w:w="1521" w:type="pct"/>
            <w:shd w:val="clear" w:color="auto" w:fill="F2F2F2" w:themeFill="background1" w:themeFillShade="F2"/>
            <w:vAlign w:val="center"/>
          </w:tcPr>
          <w:p w14:paraId="7AEBB634" w14:textId="77777777" w:rsidR="003334D4" w:rsidRPr="00DD2F01" w:rsidRDefault="003334D4" w:rsidP="003334D4">
            <w:pPr>
              <w:rPr>
                <w:rFonts w:cs="Times New Roman"/>
                <w:b/>
                <w:sz w:val="20"/>
                <w:szCs w:val="20"/>
              </w:rPr>
            </w:pPr>
            <w:r w:rsidRPr="00DD2F01">
              <w:rPr>
                <w:rFonts w:cs="Times New Roman"/>
                <w:b/>
                <w:sz w:val="20"/>
                <w:szCs w:val="20"/>
              </w:rPr>
              <w:t xml:space="preserve">IZVORI FINANCIRANJA </w:t>
            </w:r>
          </w:p>
        </w:tc>
        <w:tc>
          <w:tcPr>
            <w:tcW w:w="1271" w:type="pct"/>
            <w:vAlign w:val="center"/>
          </w:tcPr>
          <w:p w14:paraId="3FB9DB15" w14:textId="77777777" w:rsidR="003334D4" w:rsidRPr="00DD2F01" w:rsidRDefault="003334D4" w:rsidP="003334D4">
            <w:pPr>
              <w:jc w:val="center"/>
              <w:rPr>
                <w:rFonts w:cs="Times New Roman"/>
                <w:b/>
                <w:sz w:val="20"/>
                <w:szCs w:val="20"/>
              </w:rPr>
            </w:pPr>
            <w:r w:rsidRPr="00DD2F01">
              <w:rPr>
                <w:rFonts w:cs="Times New Roman"/>
                <w:b/>
                <w:sz w:val="20"/>
                <w:szCs w:val="20"/>
              </w:rPr>
              <w:t>Državni proračun (EUR)</w:t>
            </w:r>
          </w:p>
        </w:tc>
        <w:tc>
          <w:tcPr>
            <w:tcW w:w="1082" w:type="pct"/>
            <w:vAlign w:val="center"/>
          </w:tcPr>
          <w:p w14:paraId="58168793" w14:textId="77777777" w:rsidR="003334D4" w:rsidRPr="00DD2F01" w:rsidRDefault="003334D4" w:rsidP="003334D4">
            <w:pPr>
              <w:jc w:val="center"/>
              <w:rPr>
                <w:rFonts w:cs="Times New Roman"/>
                <w:b/>
                <w:sz w:val="20"/>
                <w:szCs w:val="20"/>
              </w:rPr>
            </w:pPr>
            <w:r w:rsidRPr="00DD2F01">
              <w:rPr>
                <w:rFonts w:cs="Times New Roman"/>
                <w:b/>
                <w:sz w:val="20"/>
                <w:szCs w:val="20"/>
              </w:rPr>
              <w:t>EU financiranje (EUR)</w:t>
            </w:r>
          </w:p>
        </w:tc>
        <w:tc>
          <w:tcPr>
            <w:tcW w:w="1126" w:type="pct"/>
            <w:vAlign w:val="center"/>
          </w:tcPr>
          <w:p w14:paraId="735BEF29" w14:textId="77777777" w:rsidR="003334D4" w:rsidRPr="00DD2F01" w:rsidRDefault="003334D4" w:rsidP="003334D4">
            <w:pPr>
              <w:jc w:val="center"/>
              <w:rPr>
                <w:rFonts w:cs="Times New Roman"/>
                <w:b/>
                <w:sz w:val="20"/>
                <w:szCs w:val="20"/>
              </w:rPr>
            </w:pPr>
            <w:r w:rsidRPr="00DD2F01">
              <w:rPr>
                <w:rFonts w:cs="Times New Roman"/>
                <w:b/>
                <w:sz w:val="20"/>
                <w:szCs w:val="20"/>
              </w:rPr>
              <w:t>Drugi izvori (EUR)</w:t>
            </w:r>
          </w:p>
        </w:tc>
      </w:tr>
      <w:tr w:rsidR="003334D4" w:rsidRPr="003334D4" w14:paraId="7AFB527C" w14:textId="77777777" w:rsidTr="00B66CD2">
        <w:tc>
          <w:tcPr>
            <w:tcW w:w="1521" w:type="pct"/>
            <w:shd w:val="clear" w:color="auto" w:fill="F2F2F2" w:themeFill="background1" w:themeFillShade="F2"/>
            <w:vAlign w:val="center"/>
          </w:tcPr>
          <w:p w14:paraId="0B66F15E" w14:textId="67F8C51C" w:rsidR="003334D4" w:rsidRPr="00DD2F01" w:rsidRDefault="003334D4" w:rsidP="0061594B">
            <w:pPr>
              <w:rPr>
                <w:rFonts w:cs="Times New Roman"/>
                <w:sz w:val="20"/>
                <w:szCs w:val="20"/>
              </w:rPr>
            </w:pPr>
            <w:r w:rsidRPr="00DD2F01">
              <w:rPr>
                <w:rFonts w:cs="Times New Roman"/>
                <w:sz w:val="20"/>
                <w:szCs w:val="20"/>
              </w:rPr>
              <w:t>Izvori financiranja u 2024. (proračunska pozicija i predviđeni iznos sredstava)</w:t>
            </w:r>
          </w:p>
        </w:tc>
        <w:tc>
          <w:tcPr>
            <w:tcW w:w="1271" w:type="pct"/>
            <w:vAlign w:val="center"/>
          </w:tcPr>
          <w:p w14:paraId="0ABF97B2" w14:textId="3B876FB8" w:rsidR="003334D4" w:rsidRPr="00DD2F01" w:rsidRDefault="003334D4">
            <w:pPr>
              <w:jc w:val="center"/>
              <w:rPr>
                <w:rFonts w:cs="Times New Roman"/>
                <w:sz w:val="20"/>
                <w:szCs w:val="20"/>
              </w:rPr>
            </w:pPr>
            <w:r w:rsidRPr="00DD2F01">
              <w:rPr>
                <w:rFonts w:cs="Times New Roman"/>
                <w:sz w:val="20"/>
                <w:szCs w:val="20"/>
              </w:rPr>
              <w:t>A767015 – Provedba programa za uključivanje</w:t>
            </w:r>
            <w:r w:rsidR="002F7831" w:rsidRPr="00DD2F01">
              <w:rPr>
                <w:rFonts w:cs="Times New Roman"/>
                <w:sz w:val="20"/>
                <w:szCs w:val="20"/>
              </w:rPr>
              <w:t xml:space="preserve"> </w:t>
            </w:r>
            <w:r w:rsidRPr="00DD2F01">
              <w:rPr>
                <w:rFonts w:cs="Times New Roman"/>
                <w:sz w:val="20"/>
                <w:szCs w:val="20"/>
              </w:rPr>
              <w:t>Roma</w:t>
            </w:r>
          </w:p>
        </w:tc>
        <w:tc>
          <w:tcPr>
            <w:tcW w:w="1082" w:type="pct"/>
            <w:vAlign w:val="center"/>
          </w:tcPr>
          <w:p w14:paraId="732B4B65" w14:textId="77777777" w:rsidR="003334D4" w:rsidRPr="00DD2F01" w:rsidRDefault="003334D4" w:rsidP="003334D4">
            <w:pPr>
              <w:jc w:val="center"/>
              <w:rPr>
                <w:rFonts w:cs="Times New Roman"/>
                <w:sz w:val="20"/>
                <w:szCs w:val="20"/>
              </w:rPr>
            </w:pPr>
            <w:r w:rsidRPr="00DD2F01">
              <w:rPr>
                <w:rFonts w:cs="Times New Roman"/>
                <w:sz w:val="20"/>
                <w:szCs w:val="20"/>
              </w:rPr>
              <w:t>0,00</w:t>
            </w:r>
          </w:p>
        </w:tc>
        <w:tc>
          <w:tcPr>
            <w:tcW w:w="1126" w:type="pct"/>
            <w:vAlign w:val="center"/>
          </w:tcPr>
          <w:p w14:paraId="5EF869AF" w14:textId="77777777" w:rsidR="003334D4" w:rsidRPr="00DD2F01" w:rsidRDefault="003334D4" w:rsidP="003334D4">
            <w:pPr>
              <w:jc w:val="center"/>
              <w:rPr>
                <w:rFonts w:cs="Times New Roman"/>
                <w:sz w:val="20"/>
                <w:szCs w:val="20"/>
              </w:rPr>
            </w:pPr>
            <w:r w:rsidRPr="00DD2F01">
              <w:rPr>
                <w:rFonts w:cs="Times New Roman"/>
                <w:sz w:val="20"/>
                <w:szCs w:val="20"/>
              </w:rPr>
              <w:t xml:space="preserve">0,00 </w:t>
            </w:r>
          </w:p>
        </w:tc>
      </w:tr>
      <w:tr w:rsidR="003334D4" w:rsidRPr="003334D4" w14:paraId="690A5ACC" w14:textId="77777777" w:rsidTr="00B66CD2">
        <w:tc>
          <w:tcPr>
            <w:tcW w:w="1521" w:type="pct"/>
            <w:vMerge w:val="restart"/>
            <w:shd w:val="clear" w:color="auto" w:fill="F2F2F2" w:themeFill="background1" w:themeFillShade="F2"/>
            <w:vAlign w:val="center"/>
          </w:tcPr>
          <w:p w14:paraId="16985F2D" w14:textId="77777777" w:rsidR="003334D4" w:rsidRPr="00DD2F01" w:rsidRDefault="003334D4" w:rsidP="003334D4">
            <w:pPr>
              <w:rPr>
                <w:rFonts w:cs="Times New Roman"/>
                <w:b/>
                <w:sz w:val="20"/>
                <w:szCs w:val="20"/>
              </w:rPr>
            </w:pPr>
            <w:r w:rsidRPr="00DD2F01">
              <w:rPr>
                <w:rFonts w:cs="Times New Roman"/>
                <w:b/>
                <w:sz w:val="20"/>
                <w:szCs w:val="20"/>
              </w:rPr>
              <w:t xml:space="preserve">UKUPNO UTROŠENA SREDSTVA PO IZVORU </w:t>
            </w:r>
          </w:p>
        </w:tc>
        <w:tc>
          <w:tcPr>
            <w:tcW w:w="1271" w:type="pct"/>
            <w:vAlign w:val="center"/>
          </w:tcPr>
          <w:p w14:paraId="6E880C33" w14:textId="77777777" w:rsidR="003334D4" w:rsidRPr="00DD2F01" w:rsidRDefault="003334D4" w:rsidP="003334D4">
            <w:pPr>
              <w:jc w:val="center"/>
              <w:rPr>
                <w:rFonts w:cs="Times New Roman"/>
                <w:b/>
                <w:sz w:val="20"/>
                <w:szCs w:val="20"/>
              </w:rPr>
            </w:pPr>
            <w:r w:rsidRPr="00DD2F01">
              <w:rPr>
                <w:rFonts w:cs="Times New Roman"/>
                <w:b/>
                <w:sz w:val="20"/>
                <w:szCs w:val="20"/>
              </w:rPr>
              <w:t>Državni proračun (EUR)</w:t>
            </w:r>
          </w:p>
        </w:tc>
        <w:tc>
          <w:tcPr>
            <w:tcW w:w="1082" w:type="pct"/>
            <w:vAlign w:val="center"/>
          </w:tcPr>
          <w:p w14:paraId="7448EBF9" w14:textId="77777777" w:rsidR="003334D4" w:rsidRPr="00DD2F01" w:rsidRDefault="003334D4" w:rsidP="003334D4">
            <w:pPr>
              <w:jc w:val="center"/>
              <w:rPr>
                <w:rFonts w:cs="Times New Roman"/>
                <w:b/>
                <w:sz w:val="20"/>
                <w:szCs w:val="20"/>
              </w:rPr>
            </w:pPr>
            <w:r w:rsidRPr="00DD2F01">
              <w:rPr>
                <w:rFonts w:cs="Times New Roman"/>
                <w:b/>
                <w:sz w:val="20"/>
                <w:szCs w:val="20"/>
              </w:rPr>
              <w:t>EU financiranje (EUR)</w:t>
            </w:r>
          </w:p>
        </w:tc>
        <w:tc>
          <w:tcPr>
            <w:tcW w:w="1126" w:type="pct"/>
            <w:vAlign w:val="center"/>
          </w:tcPr>
          <w:p w14:paraId="2C919B94" w14:textId="77777777" w:rsidR="003334D4" w:rsidRPr="00DD2F01" w:rsidRDefault="003334D4" w:rsidP="003334D4">
            <w:pPr>
              <w:jc w:val="center"/>
              <w:rPr>
                <w:rFonts w:cs="Times New Roman"/>
                <w:b/>
                <w:sz w:val="20"/>
                <w:szCs w:val="20"/>
              </w:rPr>
            </w:pPr>
            <w:r w:rsidRPr="00DD2F01">
              <w:rPr>
                <w:rFonts w:cs="Times New Roman"/>
                <w:b/>
                <w:sz w:val="20"/>
                <w:szCs w:val="20"/>
              </w:rPr>
              <w:t>Drugi izvori (EUR)</w:t>
            </w:r>
          </w:p>
        </w:tc>
      </w:tr>
      <w:tr w:rsidR="003334D4" w:rsidRPr="003334D4" w14:paraId="43447608" w14:textId="77777777" w:rsidTr="00B66CD2">
        <w:tc>
          <w:tcPr>
            <w:tcW w:w="1521" w:type="pct"/>
            <w:vMerge/>
            <w:shd w:val="clear" w:color="auto" w:fill="F2F2F2" w:themeFill="background1" w:themeFillShade="F2"/>
            <w:vAlign w:val="center"/>
          </w:tcPr>
          <w:p w14:paraId="4D4A42BD" w14:textId="77777777" w:rsidR="003334D4" w:rsidRPr="00DD2F01" w:rsidRDefault="003334D4" w:rsidP="003334D4">
            <w:pPr>
              <w:rPr>
                <w:rFonts w:cs="Times New Roman"/>
                <w:b/>
                <w:sz w:val="20"/>
                <w:szCs w:val="20"/>
              </w:rPr>
            </w:pPr>
          </w:p>
        </w:tc>
        <w:tc>
          <w:tcPr>
            <w:tcW w:w="1271" w:type="pct"/>
            <w:vAlign w:val="center"/>
          </w:tcPr>
          <w:p w14:paraId="557C8FFB" w14:textId="2C87512F" w:rsidR="003334D4" w:rsidRPr="00DD2F01" w:rsidRDefault="00F5670A">
            <w:pPr>
              <w:jc w:val="center"/>
              <w:rPr>
                <w:rFonts w:cs="Times New Roman"/>
                <w:b/>
                <w:bCs/>
                <w:sz w:val="20"/>
                <w:szCs w:val="20"/>
              </w:rPr>
            </w:pPr>
            <w:r>
              <w:rPr>
                <w:rFonts w:cs="Times New Roman"/>
                <w:bCs/>
                <w:sz w:val="20"/>
                <w:szCs w:val="20"/>
              </w:rPr>
              <w:t>(</w:t>
            </w:r>
            <w:r w:rsidR="003334D4" w:rsidRPr="00F5670A">
              <w:rPr>
                <w:rFonts w:cs="Times New Roman"/>
                <w:bCs/>
                <w:sz w:val="20"/>
                <w:szCs w:val="20"/>
              </w:rPr>
              <w:t>A767015</w:t>
            </w:r>
            <w:r w:rsidRPr="00423491">
              <w:rPr>
                <w:rFonts w:cs="Times New Roman"/>
                <w:bCs/>
                <w:sz w:val="20"/>
                <w:szCs w:val="20"/>
              </w:rPr>
              <w:t xml:space="preserve"> 465.348,89, A 577131 60.366,88</w:t>
            </w:r>
            <w:r>
              <w:rPr>
                <w:rFonts w:cs="Times New Roman"/>
                <w:bCs/>
                <w:sz w:val="20"/>
                <w:szCs w:val="20"/>
              </w:rPr>
              <w:t>)</w:t>
            </w:r>
            <w:r>
              <w:rPr>
                <w:rFonts w:cs="Times New Roman"/>
                <w:b/>
                <w:bCs/>
                <w:sz w:val="20"/>
                <w:szCs w:val="20"/>
              </w:rPr>
              <w:t xml:space="preserve"> </w:t>
            </w:r>
            <w:r w:rsidR="003334D4" w:rsidRPr="00DD2F01">
              <w:rPr>
                <w:rFonts w:cs="Times New Roman"/>
                <w:b/>
                <w:bCs/>
                <w:sz w:val="20"/>
                <w:szCs w:val="20"/>
              </w:rPr>
              <w:t xml:space="preserve">525.715,77 </w:t>
            </w:r>
          </w:p>
        </w:tc>
        <w:tc>
          <w:tcPr>
            <w:tcW w:w="1082" w:type="pct"/>
            <w:vAlign w:val="center"/>
          </w:tcPr>
          <w:p w14:paraId="26AC7CE8" w14:textId="77777777" w:rsidR="003334D4" w:rsidRPr="00DD2F01" w:rsidRDefault="003334D4" w:rsidP="003334D4">
            <w:pPr>
              <w:jc w:val="center"/>
              <w:rPr>
                <w:rFonts w:cs="Times New Roman"/>
                <w:bCs/>
                <w:sz w:val="20"/>
                <w:szCs w:val="20"/>
              </w:rPr>
            </w:pPr>
            <w:r w:rsidRPr="00DD2F01">
              <w:rPr>
                <w:rFonts w:cs="Times New Roman"/>
                <w:bCs/>
                <w:sz w:val="20"/>
                <w:szCs w:val="20"/>
              </w:rPr>
              <w:t>0,00</w:t>
            </w:r>
          </w:p>
        </w:tc>
        <w:tc>
          <w:tcPr>
            <w:tcW w:w="1126" w:type="pct"/>
            <w:vAlign w:val="center"/>
          </w:tcPr>
          <w:p w14:paraId="42409943" w14:textId="77777777" w:rsidR="003334D4" w:rsidRPr="00DD2F01" w:rsidRDefault="003334D4" w:rsidP="003334D4">
            <w:pPr>
              <w:jc w:val="center"/>
              <w:rPr>
                <w:rFonts w:cs="Times New Roman"/>
                <w:bCs/>
                <w:sz w:val="20"/>
                <w:szCs w:val="20"/>
              </w:rPr>
            </w:pPr>
            <w:r w:rsidRPr="00DD2F01">
              <w:rPr>
                <w:rFonts w:cs="Times New Roman"/>
                <w:bCs/>
                <w:sz w:val="20"/>
                <w:szCs w:val="20"/>
              </w:rPr>
              <w:t xml:space="preserve">0,00 </w:t>
            </w:r>
          </w:p>
        </w:tc>
      </w:tr>
      <w:tr w:rsidR="003334D4" w:rsidRPr="003334D4" w14:paraId="239460FC" w14:textId="77777777" w:rsidTr="00B66CD2">
        <w:trPr>
          <w:trHeight w:val="292"/>
        </w:trPr>
        <w:tc>
          <w:tcPr>
            <w:tcW w:w="1521" w:type="pct"/>
            <w:shd w:val="clear" w:color="auto" w:fill="F2F2F2" w:themeFill="background1" w:themeFillShade="F2"/>
            <w:vAlign w:val="center"/>
          </w:tcPr>
          <w:p w14:paraId="3470F0D1" w14:textId="14E033C3" w:rsidR="003334D4" w:rsidRPr="00DD2F01" w:rsidRDefault="003334D4" w:rsidP="003334D4">
            <w:pPr>
              <w:rPr>
                <w:rFonts w:cs="Times New Roman"/>
                <w:sz w:val="20"/>
                <w:szCs w:val="20"/>
              </w:rPr>
            </w:pPr>
            <w:r w:rsidRPr="00DD2F01">
              <w:rPr>
                <w:rFonts w:cs="Times New Roman"/>
                <w:sz w:val="20"/>
                <w:szCs w:val="20"/>
              </w:rPr>
              <w:t>ROK PROVEDBE AKTIVNOSTI</w:t>
            </w:r>
          </w:p>
        </w:tc>
        <w:tc>
          <w:tcPr>
            <w:tcW w:w="3479" w:type="pct"/>
            <w:gridSpan w:val="3"/>
            <w:vAlign w:val="center"/>
          </w:tcPr>
          <w:p w14:paraId="6BD34895" w14:textId="77777777" w:rsidR="003334D4" w:rsidRPr="00DD2F01" w:rsidRDefault="003334D4" w:rsidP="003334D4">
            <w:pPr>
              <w:rPr>
                <w:rFonts w:cs="Times New Roman"/>
                <w:sz w:val="20"/>
                <w:szCs w:val="20"/>
              </w:rPr>
            </w:pPr>
            <w:r w:rsidRPr="00DD2F01">
              <w:rPr>
                <w:rFonts w:cs="Times New Roman"/>
                <w:sz w:val="20"/>
                <w:szCs w:val="20"/>
              </w:rPr>
              <w:t>IV. kvartal 2025.</w:t>
            </w:r>
          </w:p>
        </w:tc>
      </w:tr>
    </w:tbl>
    <w:p w14:paraId="13EE7134" w14:textId="7632B35B" w:rsidR="000747C8" w:rsidRDefault="000747C8" w:rsidP="004A3B23">
      <w:pPr>
        <w:spacing w:after="0" w:line="276" w:lineRule="auto"/>
        <w:jc w:val="both"/>
        <w:rPr>
          <w:rFonts w:cs="Times New Roman"/>
          <w:i/>
          <w:iCs/>
        </w:rPr>
      </w:pPr>
    </w:p>
    <w:p w14:paraId="12179FC6" w14:textId="77777777" w:rsidR="00F46FC0" w:rsidRPr="00FC64BF" w:rsidRDefault="00F46FC0" w:rsidP="004A3B23">
      <w:pPr>
        <w:spacing w:after="0" w:line="276" w:lineRule="auto"/>
        <w:jc w:val="both"/>
        <w:rPr>
          <w:rFonts w:cs="Times New Roman"/>
          <w:i/>
          <w:iCs/>
        </w:rPr>
      </w:pPr>
    </w:p>
    <w:p w14:paraId="41176E6D" w14:textId="2072B51D" w:rsidR="000E59EB" w:rsidRPr="00FC64BF" w:rsidRDefault="00060B3B" w:rsidP="00D36147">
      <w:pPr>
        <w:spacing w:after="0" w:line="276" w:lineRule="auto"/>
        <w:jc w:val="both"/>
        <w:rPr>
          <w:rFonts w:cs="Times New Roman"/>
          <w:i/>
          <w:iCs/>
        </w:rPr>
      </w:pPr>
      <w:r w:rsidRPr="00FC64BF">
        <w:rPr>
          <w:rFonts w:cs="Times New Roman"/>
          <w:i/>
          <w:iCs/>
        </w:rPr>
        <w:t>Aktivnost: 4.2.3. Promocija predškolskog obrazovanja</w:t>
      </w:r>
    </w:p>
    <w:p w14:paraId="0319D4CD" w14:textId="0FCE34DC" w:rsidR="009F3E2E" w:rsidRPr="00FC64BF" w:rsidRDefault="00060B3B" w:rsidP="00D36147">
      <w:pPr>
        <w:spacing w:after="0" w:line="276" w:lineRule="auto"/>
        <w:jc w:val="both"/>
        <w:rPr>
          <w:rFonts w:cs="Times New Roman"/>
          <w:i/>
          <w:iCs/>
        </w:rPr>
      </w:pPr>
      <w:r w:rsidRPr="00FC64BF">
        <w:rPr>
          <w:rFonts w:cs="Times New Roman"/>
          <w:i/>
          <w:iCs/>
        </w:rPr>
        <w:lastRenderedPageBreak/>
        <w:t>Nositelj: Ured</w:t>
      </w:r>
      <w:r w:rsidR="0061594B">
        <w:rPr>
          <w:rFonts w:cs="Times New Roman"/>
          <w:i/>
          <w:iCs/>
        </w:rPr>
        <w:t xml:space="preserve"> za ljudska prava i prava nacionalnih manjina</w:t>
      </w:r>
      <w:r w:rsidRPr="00FC64BF">
        <w:rPr>
          <w:rFonts w:cs="Times New Roman"/>
          <w:i/>
          <w:iCs/>
        </w:rPr>
        <w:t xml:space="preserve"> </w:t>
      </w:r>
    </w:p>
    <w:p w14:paraId="06F8C122" w14:textId="77777777" w:rsidR="00454264" w:rsidRPr="00FC64BF" w:rsidRDefault="00454264" w:rsidP="00D36147">
      <w:pPr>
        <w:spacing w:after="0" w:line="276" w:lineRule="auto"/>
        <w:jc w:val="both"/>
        <w:rPr>
          <w:rFonts w:cs="Times New Roman"/>
          <w:i/>
          <w:iCs/>
        </w:rPr>
      </w:pPr>
    </w:p>
    <w:p w14:paraId="128EACF2" w14:textId="57CD8029" w:rsidR="00454264" w:rsidRPr="00FC64BF" w:rsidRDefault="00454264" w:rsidP="00454264">
      <w:pPr>
        <w:spacing w:after="0" w:line="276" w:lineRule="auto"/>
        <w:jc w:val="both"/>
        <w:rPr>
          <w:rFonts w:cs="Times New Roman"/>
          <w:iCs/>
        </w:rPr>
      </w:pPr>
      <w:r w:rsidRPr="00FC64BF">
        <w:rPr>
          <w:rFonts w:cs="Times New Roman"/>
          <w:iCs/>
        </w:rPr>
        <w:t xml:space="preserve">Ured je u okviru ovog sektorskog cilja provodio pripremne aktivnosti s relevantnim dionicima, vijećima i predstavnicima nacionalnih manjina, predstavnicima </w:t>
      </w:r>
      <w:r w:rsidR="00FE7B55">
        <w:rPr>
          <w:rFonts w:cs="Times New Roman"/>
          <w:iCs/>
        </w:rPr>
        <w:t>JLP(R)S</w:t>
      </w:r>
      <w:r w:rsidRPr="00FC64BF">
        <w:rPr>
          <w:rFonts w:cs="Times New Roman"/>
          <w:iCs/>
        </w:rPr>
        <w:t>, civilnog društva i akademske zajednice. Tijekom 202</w:t>
      </w:r>
      <w:r w:rsidR="004968E4" w:rsidRPr="00FC64BF">
        <w:rPr>
          <w:rFonts w:cs="Times New Roman"/>
          <w:iCs/>
        </w:rPr>
        <w:t>4</w:t>
      </w:r>
      <w:r w:rsidRPr="00FC64BF">
        <w:rPr>
          <w:rFonts w:cs="Times New Roman"/>
          <w:iCs/>
        </w:rPr>
        <w:t>.</w:t>
      </w:r>
      <w:r w:rsidR="003379F1">
        <w:rPr>
          <w:rFonts w:cs="Times New Roman"/>
          <w:iCs/>
        </w:rPr>
        <w:t xml:space="preserve"> godine</w:t>
      </w:r>
      <w:r w:rsidRPr="00FC64BF">
        <w:rPr>
          <w:rFonts w:cs="Times New Roman"/>
          <w:iCs/>
        </w:rPr>
        <w:t xml:space="preserve"> nastavljena je suradnja s više </w:t>
      </w:r>
      <w:r w:rsidR="00FE7B55">
        <w:rPr>
          <w:rFonts w:cs="Times New Roman"/>
          <w:iCs/>
        </w:rPr>
        <w:t>JLP(R)S</w:t>
      </w:r>
      <w:r w:rsidRPr="00FC64BF">
        <w:rPr>
          <w:rFonts w:cs="Times New Roman"/>
          <w:iCs/>
        </w:rPr>
        <w:t xml:space="preserve">, romskim vijećima i predstavnicima, stručnjacima i stručnim udrugama na područjima antidiskriminacije, položaja djece i Romkinja, obrazovanja (osobito predškolskog odgoja i desegregacije), razvoja zajednice i jačanja socijalne kohezije na lokalnoj razini. </w:t>
      </w:r>
      <w:r w:rsidR="004968E4" w:rsidRPr="004968E4">
        <w:rPr>
          <w:rFonts w:cs="Times New Roman"/>
          <w:szCs w:val="24"/>
        </w:rPr>
        <w:t>Obavljeni su terenski posjeti Brodsko-posavskoj, Istarskoj, Međimurskoj, Osječko-baranjskoj i Sisačko-moslavačkoj županiji</w:t>
      </w:r>
      <w:r w:rsidRPr="00FC64BF">
        <w:rPr>
          <w:rFonts w:cs="Times New Roman"/>
          <w:iCs/>
        </w:rPr>
        <w:t>.</w:t>
      </w:r>
    </w:p>
    <w:p w14:paraId="068D7664" w14:textId="77777777" w:rsidR="00454264" w:rsidRPr="00FC64BF" w:rsidRDefault="00454264" w:rsidP="00454264">
      <w:pPr>
        <w:spacing w:after="0" w:line="276" w:lineRule="auto"/>
        <w:jc w:val="both"/>
        <w:rPr>
          <w:rFonts w:cs="Times New Roman"/>
          <w:iCs/>
        </w:rPr>
      </w:pPr>
    </w:p>
    <w:p w14:paraId="2FB18604" w14:textId="73550C15" w:rsidR="00454264" w:rsidRPr="000470E7" w:rsidRDefault="00454264" w:rsidP="00454264">
      <w:pPr>
        <w:spacing w:after="0" w:line="276" w:lineRule="auto"/>
        <w:jc w:val="both"/>
        <w:rPr>
          <w:rFonts w:cs="Times New Roman"/>
          <w:i/>
          <w:iCs/>
        </w:rPr>
      </w:pPr>
      <w:r w:rsidRPr="00FC64BF">
        <w:rPr>
          <w:rFonts w:cs="Times New Roman"/>
          <w:iCs/>
        </w:rPr>
        <w:t xml:space="preserve">Objava Poziva na </w:t>
      </w:r>
      <w:r w:rsidRPr="000470E7">
        <w:rPr>
          <w:rFonts w:cs="Times New Roman"/>
          <w:iCs/>
        </w:rPr>
        <w:t>dostavu projektnog prijedloga kojim će se financirati ove aktivnosti, planirana je u 202</w:t>
      </w:r>
      <w:r w:rsidR="004968E4" w:rsidRPr="000470E7">
        <w:rPr>
          <w:rFonts w:cs="Times New Roman"/>
          <w:iCs/>
        </w:rPr>
        <w:t>5</w:t>
      </w:r>
      <w:r w:rsidRPr="000470E7">
        <w:rPr>
          <w:rFonts w:cs="Times New Roman"/>
          <w:iCs/>
        </w:rPr>
        <w:t>.</w:t>
      </w:r>
      <w:r w:rsidR="00D9050B">
        <w:rPr>
          <w:rFonts w:cs="Times New Roman"/>
          <w:iCs/>
        </w:rPr>
        <w:t xml:space="preserve"> godini.</w:t>
      </w:r>
      <w:r w:rsidRPr="000470E7">
        <w:rPr>
          <w:rFonts w:cs="Times New Roman"/>
          <w:iCs/>
        </w:rPr>
        <w:t xml:space="preserve"> </w:t>
      </w:r>
    </w:p>
    <w:p w14:paraId="1B47CD96" w14:textId="77777777" w:rsidR="008E1F12" w:rsidRPr="00FC64BF" w:rsidRDefault="008E1F12" w:rsidP="00D36147">
      <w:pPr>
        <w:spacing w:after="0" w:line="276" w:lineRule="auto"/>
        <w:jc w:val="both"/>
        <w:rPr>
          <w:rFonts w:cs="Times New Roman"/>
          <w:i/>
          <w:iCs/>
        </w:rPr>
      </w:pPr>
    </w:p>
    <w:tbl>
      <w:tblPr>
        <w:tblStyle w:val="TableGrid"/>
        <w:tblW w:w="5000" w:type="pct"/>
        <w:tblLayout w:type="fixed"/>
        <w:tblLook w:val="04A0" w:firstRow="1" w:lastRow="0" w:firstColumn="1" w:lastColumn="0" w:noHBand="0" w:noVBand="1"/>
      </w:tblPr>
      <w:tblGrid>
        <w:gridCol w:w="2829"/>
        <w:gridCol w:w="2269"/>
        <w:gridCol w:w="2128"/>
        <w:gridCol w:w="1836"/>
      </w:tblGrid>
      <w:tr w:rsidR="00CE622A" w:rsidRPr="004968E4" w14:paraId="77832999" w14:textId="77777777" w:rsidTr="00CB4BE3">
        <w:tc>
          <w:tcPr>
            <w:tcW w:w="1561" w:type="pct"/>
            <w:shd w:val="clear" w:color="auto" w:fill="F2F2F2" w:themeFill="background1" w:themeFillShade="F2"/>
          </w:tcPr>
          <w:p w14:paraId="3B19317E" w14:textId="51FEAA69" w:rsidR="006D76C9" w:rsidRPr="00FC64BF" w:rsidRDefault="007E61F3" w:rsidP="002A04BF">
            <w:pPr>
              <w:rPr>
                <w:rFonts w:cs="Times New Roman"/>
                <w:b/>
                <w:sz w:val="20"/>
                <w:szCs w:val="18"/>
              </w:rPr>
            </w:pPr>
            <w:r w:rsidRPr="00FC64BF">
              <w:rPr>
                <w:rFonts w:cs="Times New Roman"/>
                <w:b/>
                <w:sz w:val="20"/>
                <w:szCs w:val="18"/>
              </w:rPr>
              <w:t>Pokazatelji provedbe i pokazatelji uspješnosti provedbe</w:t>
            </w:r>
          </w:p>
        </w:tc>
        <w:tc>
          <w:tcPr>
            <w:tcW w:w="1252" w:type="pct"/>
            <w:shd w:val="clear" w:color="auto" w:fill="F2F2F2" w:themeFill="background1" w:themeFillShade="F2"/>
            <w:vAlign w:val="center"/>
          </w:tcPr>
          <w:p w14:paraId="3C3EEB3D" w14:textId="7CC4AA5F" w:rsidR="006D76C9" w:rsidRPr="00FC64BF" w:rsidRDefault="006D76C9" w:rsidP="00447EFE">
            <w:pPr>
              <w:jc w:val="center"/>
              <w:rPr>
                <w:rFonts w:cs="Times New Roman"/>
                <w:b/>
                <w:sz w:val="20"/>
                <w:szCs w:val="18"/>
              </w:rPr>
            </w:pPr>
            <w:r w:rsidRPr="00FC64BF">
              <w:rPr>
                <w:rFonts w:cs="Times New Roman"/>
                <w:b/>
                <w:sz w:val="20"/>
                <w:szCs w:val="18"/>
              </w:rPr>
              <w:t>Broj provedenih</w:t>
            </w:r>
            <w:r w:rsidR="00447EFE" w:rsidRPr="00FC64BF">
              <w:rPr>
                <w:rFonts w:cs="Times New Roman"/>
                <w:b/>
                <w:sz w:val="20"/>
                <w:szCs w:val="18"/>
              </w:rPr>
              <w:t xml:space="preserve"> </w:t>
            </w:r>
            <w:r w:rsidRPr="00FC64BF">
              <w:rPr>
                <w:rFonts w:cs="Times New Roman"/>
                <w:b/>
                <w:sz w:val="20"/>
                <w:szCs w:val="18"/>
              </w:rPr>
              <w:t>aktivnosti</w:t>
            </w:r>
          </w:p>
        </w:tc>
        <w:tc>
          <w:tcPr>
            <w:tcW w:w="1174" w:type="pct"/>
            <w:shd w:val="clear" w:color="auto" w:fill="F2F2F2" w:themeFill="background1" w:themeFillShade="F2"/>
            <w:vAlign w:val="center"/>
          </w:tcPr>
          <w:p w14:paraId="5472A920" w14:textId="7A17A44C" w:rsidR="006D76C9" w:rsidRPr="00FC64BF" w:rsidRDefault="006D76C9" w:rsidP="00447EFE">
            <w:pPr>
              <w:jc w:val="center"/>
              <w:rPr>
                <w:rFonts w:cs="Times New Roman"/>
                <w:b/>
                <w:sz w:val="20"/>
                <w:szCs w:val="18"/>
              </w:rPr>
            </w:pPr>
            <w:r w:rsidRPr="00FC64BF">
              <w:rPr>
                <w:rFonts w:cs="Times New Roman"/>
                <w:b/>
                <w:sz w:val="20"/>
                <w:szCs w:val="18"/>
              </w:rPr>
              <w:t>Broj sudionika</w:t>
            </w:r>
            <w:r w:rsidR="00447EFE" w:rsidRPr="00FC64BF">
              <w:rPr>
                <w:rFonts w:cs="Times New Roman"/>
                <w:b/>
                <w:sz w:val="20"/>
                <w:szCs w:val="18"/>
              </w:rPr>
              <w:t xml:space="preserve"> </w:t>
            </w:r>
            <w:r w:rsidRPr="00FC64BF">
              <w:rPr>
                <w:rFonts w:cs="Times New Roman"/>
                <w:b/>
                <w:sz w:val="20"/>
                <w:szCs w:val="18"/>
              </w:rPr>
              <w:t>pripadnika romske</w:t>
            </w:r>
            <w:r w:rsidR="00447EFE" w:rsidRPr="00FC64BF">
              <w:rPr>
                <w:rFonts w:cs="Times New Roman"/>
                <w:b/>
                <w:sz w:val="20"/>
                <w:szCs w:val="18"/>
              </w:rPr>
              <w:t xml:space="preserve"> </w:t>
            </w:r>
            <w:r w:rsidRPr="00FC64BF">
              <w:rPr>
                <w:rFonts w:cs="Times New Roman"/>
                <w:b/>
                <w:sz w:val="20"/>
                <w:szCs w:val="18"/>
              </w:rPr>
              <w:t>nacionalne manjine</w:t>
            </w:r>
          </w:p>
        </w:tc>
        <w:tc>
          <w:tcPr>
            <w:tcW w:w="1013" w:type="pct"/>
            <w:shd w:val="clear" w:color="auto" w:fill="F2F2F2" w:themeFill="background1" w:themeFillShade="F2"/>
            <w:vAlign w:val="center"/>
          </w:tcPr>
          <w:p w14:paraId="7349F684" w14:textId="3D46E4EE" w:rsidR="006D76C9" w:rsidRPr="00FC64BF" w:rsidRDefault="006D76C9" w:rsidP="00447EFE">
            <w:pPr>
              <w:jc w:val="center"/>
              <w:rPr>
                <w:rFonts w:cs="Times New Roman"/>
                <w:b/>
                <w:sz w:val="20"/>
                <w:szCs w:val="18"/>
              </w:rPr>
            </w:pPr>
            <w:r w:rsidRPr="00FC64BF">
              <w:rPr>
                <w:rFonts w:cs="Times New Roman"/>
                <w:b/>
                <w:sz w:val="20"/>
                <w:szCs w:val="18"/>
              </w:rPr>
              <w:t>Broj javnih događanja</w:t>
            </w:r>
            <w:r w:rsidR="00447EFE" w:rsidRPr="00FC64BF">
              <w:rPr>
                <w:rFonts w:cs="Times New Roman"/>
                <w:b/>
                <w:sz w:val="20"/>
                <w:szCs w:val="18"/>
              </w:rPr>
              <w:t xml:space="preserve"> </w:t>
            </w:r>
            <w:r w:rsidRPr="00FC64BF">
              <w:rPr>
                <w:rFonts w:cs="Times New Roman"/>
                <w:b/>
                <w:sz w:val="20"/>
                <w:szCs w:val="18"/>
              </w:rPr>
              <w:t>(promocija primjera</w:t>
            </w:r>
            <w:r w:rsidR="00447EFE" w:rsidRPr="00FC64BF">
              <w:rPr>
                <w:rFonts w:cs="Times New Roman"/>
                <w:b/>
                <w:sz w:val="20"/>
                <w:szCs w:val="18"/>
              </w:rPr>
              <w:t xml:space="preserve"> </w:t>
            </w:r>
            <w:r w:rsidRPr="00FC64BF">
              <w:rPr>
                <w:rFonts w:cs="Times New Roman"/>
                <w:b/>
                <w:sz w:val="20"/>
                <w:szCs w:val="18"/>
              </w:rPr>
              <w:t>dobre prakse)</w:t>
            </w:r>
          </w:p>
        </w:tc>
      </w:tr>
      <w:tr w:rsidR="00CE622A" w:rsidRPr="004968E4" w14:paraId="638F3F31" w14:textId="77777777" w:rsidTr="00CB4BE3">
        <w:tc>
          <w:tcPr>
            <w:tcW w:w="1561" w:type="pct"/>
            <w:shd w:val="clear" w:color="auto" w:fill="F2F2F2" w:themeFill="background1" w:themeFillShade="F2"/>
          </w:tcPr>
          <w:p w14:paraId="7DDFD853" w14:textId="416DCF5F" w:rsidR="006D76C9" w:rsidRPr="00FC64BF" w:rsidRDefault="006D76C9" w:rsidP="0061594B">
            <w:pPr>
              <w:rPr>
                <w:rFonts w:cs="Times New Roman"/>
                <w:sz w:val="20"/>
                <w:szCs w:val="18"/>
              </w:rPr>
            </w:pPr>
            <w:r w:rsidRPr="00FC64BF">
              <w:rPr>
                <w:rFonts w:cs="Times New Roman"/>
                <w:sz w:val="20"/>
                <w:szCs w:val="18"/>
              </w:rPr>
              <w:t>Planirani ishodi za pokazatelje provedbe u 202</w:t>
            </w:r>
            <w:r w:rsidR="004968E4" w:rsidRPr="00FC64BF">
              <w:rPr>
                <w:rFonts w:cs="Times New Roman"/>
                <w:sz w:val="20"/>
                <w:szCs w:val="18"/>
              </w:rPr>
              <w:t>4</w:t>
            </w:r>
            <w:r w:rsidRPr="00FC64BF">
              <w:rPr>
                <w:rFonts w:cs="Times New Roman"/>
                <w:sz w:val="20"/>
                <w:szCs w:val="18"/>
              </w:rPr>
              <w:t>.</w:t>
            </w:r>
          </w:p>
        </w:tc>
        <w:tc>
          <w:tcPr>
            <w:tcW w:w="1252" w:type="pct"/>
            <w:vAlign w:val="center"/>
          </w:tcPr>
          <w:p w14:paraId="0F7AF133" w14:textId="54C49486" w:rsidR="006D76C9" w:rsidRPr="00FC64BF" w:rsidRDefault="004968E4">
            <w:pPr>
              <w:jc w:val="center"/>
              <w:rPr>
                <w:rFonts w:cs="Times New Roman"/>
                <w:sz w:val="20"/>
                <w:szCs w:val="18"/>
              </w:rPr>
            </w:pPr>
            <w:r w:rsidRPr="00FC64BF">
              <w:rPr>
                <w:rFonts w:cs="Times New Roman"/>
                <w:sz w:val="20"/>
                <w:szCs w:val="18"/>
              </w:rPr>
              <w:t>n/p</w:t>
            </w:r>
          </w:p>
        </w:tc>
        <w:tc>
          <w:tcPr>
            <w:tcW w:w="1174" w:type="pct"/>
            <w:vAlign w:val="center"/>
          </w:tcPr>
          <w:p w14:paraId="7A83ED8B" w14:textId="1482B1EC" w:rsidR="006D76C9" w:rsidRPr="00FC64BF" w:rsidRDefault="004968E4">
            <w:pPr>
              <w:jc w:val="center"/>
              <w:rPr>
                <w:rFonts w:cs="Times New Roman"/>
                <w:sz w:val="20"/>
                <w:szCs w:val="18"/>
              </w:rPr>
            </w:pPr>
            <w:r w:rsidRPr="00FC64BF">
              <w:rPr>
                <w:rFonts w:cs="Times New Roman"/>
                <w:sz w:val="20"/>
                <w:szCs w:val="18"/>
              </w:rPr>
              <w:t>n/p</w:t>
            </w:r>
          </w:p>
        </w:tc>
        <w:tc>
          <w:tcPr>
            <w:tcW w:w="1013" w:type="pct"/>
            <w:vAlign w:val="center"/>
          </w:tcPr>
          <w:p w14:paraId="323CDA4B" w14:textId="37731423" w:rsidR="006D76C9" w:rsidRPr="00FC64BF" w:rsidRDefault="004968E4" w:rsidP="002A04BF">
            <w:pPr>
              <w:jc w:val="center"/>
              <w:rPr>
                <w:rFonts w:cs="Times New Roman"/>
                <w:sz w:val="20"/>
                <w:szCs w:val="18"/>
              </w:rPr>
            </w:pPr>
            <w:r w:rsidRPr="00FC64BF">
              <w:rPr>
                <w:rFonts w:cs="Times New Roman"/>
                <w:sz w:val="20"/>
                <w:szCs w:val="18"/>
              </w:rPr>
              <w:t>n/p</w:t>
            </w:r>
          </w:p>
        </w:tc>
      </w:tr>
      <w:tr w:rsidR="00CE622A" w:rsidRPr="004968E4" w14:paraId="30E846B9" w14:textId="77777777" w:rsidTr="00CB4BE3">
        <w:tc>
          <w:tcPr>
            <w:tcW w:w="1561" w:type="pct"/>
            <w:shd w:val="clear" w:color="auto" w:fill="F2F2F2" w:themeFill="background1" w:themeFillShade="F2"/>
          </w:tcPr>
          <w:p w14:paraId="097833BD" w14:textId="2CB93F89" w:rsidR="006D76C9" w:rsidRPr="00FC64BF" w:rsidRDefault="006D76C9" w:rsidP="0061594B">
            <w:pPr>
              <w:rPr>
                <w:rFonts w:cs="Times New Roman"/>
                <w:sz w:val="20"/>
                <w:szCs w:val="18"/>
              </w:rPr>
            </w:pPr>
            <w:r w:rsidRPr="00FC64BF">
              <w:rPr>
                <w:rFonts w:cs="Times New Roman"/>
                <w:sz w:val="20"/>
                <w:szCs w:val="18"/>
              </w:rPr>
              <w:t>Ostvareni ishodi za pokazatelje provedbe u 202</w:t>
            </w:r>
            <w:r w:rsidR="004968E4" w:rsidRPr="00FC64BF">
              <w:rPr>
                <w:rFonts w:cs="Times New Roman"/>
                <w:sz w:val="20"/>
                <w:szCs w:val="18"/>
              </w:rPr>
              <w:t>4</w:t>
            </w:r>
            <w:r w:rsidRPr="00FC64BF">
              <w:rPr>
                <w:rFonts w:cs="Times New Roman"/>
                <w:sz w:val="20"/>
                <w:szCs w:val="18"/>
              </w:rPr>
              <w:t>.</w:t>
            </w:r>
          </w:p>
        </w:tc>
        <w:tc>
          <w:tcPr>
            <w:tcW w:w="1252" w:type="pct"/>
            <w:vAlign w:val="center"/>
          </w:tcPr>
          <w:p w14:paraId="63659394" w14:textId="4646992D" w:rsidR="006D76C9" w:rsidRPr="00FC64BF" w:rsidRDefault="004968E4">
            <w:pPr>
              <w:jc w:val="center"/>
              <w:rPr>
                <w:rFonts w:cs="Times New Roman"/>
                <w:sz w:val="20"/>
                <w:szCs w:val="18"/>
              </w:rPr>
            </w:pPr>
            <w:r w:rsidRPr="00FC64BF">
              <w:rPr>
                <w:rFonts w:cs="Times New Roman"/>
                <w:sz w:val="20"/>
                <w:szCs w:val="18"/>
              </w:rPr>
              <w:t xml:space="preserve">n/p </w:t>
            </w:r>
          </w:p>
        </w:tc>
        <w:tc>
          <w:tcPr>
            <w:tcW w:w="1174" w:type="pct"/>
            <w:vAlign w:val="center"/>
          </w:tcPr>
          <w:p w14:paraId="4ADB7E44" w14:textId="1D6F1EA7" w:rsidR="006D76C9" w:rsidRPr="00FC64BF" w:rsidRDefault="004968E4">
            <w:pPr>
              <w:jc w:val="center"/>
              <w:rPr>
                <w:rFonts w:cs="Times New Roman"/>
                <w:sz w:val="20"/>
                <w:szCs w:val="18"/>
              </w:rPr>
            </w:pPr>
            <w:r w:rsidRPr="00FC64BF">
              <w:rPr>
                <w:rFonts w:cs="Times New Roman"/>
                <w:sz w:val="20"/>
                <w:szCs w:val="18"/>
              </w:rPr>
              <w:t xml:space="preserve">n/p </w:t>
            </w:r>
          </w:p>
        </w:tc>
        <w:tc>
          <w:tcPr>
            <w:tcW w:w="1013" w:type="pct"/>
            <w:vAlign w:val="center"/>
          </w:tcPr>
          <w:p w14:paraId="6187C6F3" w14:textId="7E4BC0C2" w:rsidR="006D76C9" w:rsidRPr="00FC64BF" w:rsidRDefault="004968E4" w:rsidP="002A04BF">
            <w:pPr>
              <w:jc w:val="center"/>
              <w:rPr>
                <w:rFonts w:cs="Times New Roman"/>
                <w:sz w:val="20"/>
                <w:szCs w:val="18"/>
              </w:rPr>
            </w:pPr>
            <w:r w:rsidRPr="00FC64BF">
              <w:rPr>
                <w:rFonts w:cs="Times New Roman"/>
                <w:sz w:val="20"/>
                <w:szCs w:val="18"/>
              </w:rPr>
              <w:t>n/p</w:t>
            </w:r>
          </w:p>
        </w:tc>
      </w:tr>
      <w:tr w:rsidR="00CE622A" w:rsidRPr="004968E4" w14:paraId="1D5E4234" w14:textId="77777777" w:rsidTr="00CB4BE3">
        <w:tc>
          <w:tcPr>
            <w:tcW w:w="1561" w:type="pct"/>
            <w:shd w:val="clear" w:color="auto" w:fill="F2F2F2" w:themeFill="background1" w:themeFillShade="F2"/>
          </w:tcPr>
          <w:p w14:paraId="59EDF701" w14:textId="77777777" w:rsidR="006D76C9" w:rsidRPr="00FC64BF" w:rsidRDefault="006D76C9" w:rsidP="002A04BF">
            <w:pPr>
              <w:rPr>
                <w:rFonts w:cs="Times New Roman"/>
                <w:b/>
                <w:sz w:val="20"/>
                <w:szCs w:val="18"/>
              </w:rPr>
            </w:pPr>
            <w:r w:rsidRPr="00FC64BF">
              <w:rPr>
                <w:rFonts w:cs="Times New Roman"/>
                <w:b/>
                <w:sz w:val="20"/>
                <w:szCs w:val="18"/>
              </w:rPr>
              <w:t xml:space="preserve">IZVORI FINANCIRANJA </w:t>
            </w:r>
          </w:p>
        </w:tc>
        <w:tc>
          <w:tcPr>
            <w:tcW w:w="1252" w:type="pct"/>
            <w:vAlign w:val="center"/>
          </w:tcPr>
          <w:p w14:paraId="1929CC5D" w14:textId="77777777" w:rsidR="006D76C9" w:rsidRPr="00FC64BF" w:rsidRDefault="006D76C9" w:rsidP="002A04BF">
            <w:pPr>
              <w:jc w:val="center"/>
              <w:rPr>
                <w:rFonts w:cs="Times New Roman"/>
                <w:b/>
                <w:sz w:val="20"/>
                <w:szCs w:val="18"/>
              </w:rPr>
            </w:pPr>
            <w:r w:rsidRPr="00FC64BF">
              <w:rPr>
                <w:rFonts w:cs="Times New Roman"/>
                <w:b/>
                <w:sz w:val="20"/>
                <w:szCs w:val="18"/>
              </w:rPr>
              <w:t>Državni proračun (EUR)</w:t>
            </w:r>
          </w:p>
        </w:tc>
        <w:tc>
          <w:tcPr>
            <w:tcW w:w="1174" w:type="pct"/>
            <w:vAlign w:val="center"/>
          </w:tcPr>
          <w:p w14:paraId="7391CDF2" w14:textId="77777777" w:rsidR="006D76C9" w:rsidRPr="00FC64BF" w:rsidRDefault="006D76C9" w:rsidP="002A04BF">
            <w:pPr>
              <w:jc w:val="center"/>
              <w:rPr>
                <w:rFonts w:cs="Times New Roman"/>
                <w:b/>
                <w:sz w:val="20"/>
                <w:szCs w:val="18"/>
              </w:rPr>
            </w:pPr>
            <w:r w:rsidRPr="00FC64BF">
              <w:rPr>
                <w:rFonts w:cs="Times New Roman"/>
                <w:b/>
                <w:sz w:val="20"/>
                <w:szCs w:val="18"/>
              </w:rPr>
              <w:t>EU financiranje (EUR)</w:t>
            </w:r>
          </w:p>
        </w:tc>
        <w:tc>
          <w:tcPr>
            <w:tcW w:w="1013" w:type="pct"/>
            <w:vAlign w:val="center"/>
          </w:tcPr>
          <w:p w14:paraId="3B96A5AA" w14:textId="77777777" w:rsidR="006D76C9" w:rsidRPr="00FC64BF" w:rsidRDefault="006D76C9" w:rsidP="002A04BF">
            <w:pPr>
              <w:jc w:val="center"/>
              <w:rPr>
                <w:rFonts w:cs="Times New Roman"/>
                <w:b/>
                <w:sz w:val="20"/>
                <w:szCs w:val="18"/>
              </w:rPr>
            </w:pPr>
            <w:r w:rsidRPr="00FC64BF">
              <w:rPr>
                <w:rFonts w:cs="Times New Roman"/>
                <w:b/>
                <w:sz w:val="20"/>
                <w:szCs w:val="18"/>
              </w:rPr>
              <w:t>Drugi izvori (EUR)</w:t>
            </w:r>
          </w:p>
        </w:tc>
      </w:tr>
      <w:tr w:rsidR="00CE622A" w:rsidRPr="004968E4" w14:paraId="21561AE6" w14:textId="77777777" w:rsidTr="003737D5">
        <w:tc>
          <w:tcPr>
            <w:tcW w:w="1561" w:type="pct"/>
            <w:shd w:val="clear" w:color="auto" w:fill="F2F2F2" w:themeFill="background1" w:themeFillShade="F2"/>
          </w:tcPr>
          <w:p w14:paraId="441E7764" w14:textId="59C7444F" w:rsidR="00CB4BE3" w:rsidRPr="00FC64BF" w:rsidRDefault="00CB4BE3" w:rsidP="0061594B">
            <w:pPr>
              <w:rPr>
                <w:rFonts w:cs="Times New Roman"/>
                <w:sz w:val="20"/>
                <w:szCs w:val="18"/>
              </w:rPr>
            </w:pPr>
            <w:r w:rsidRPr="00FC64BF">
              <w:rPr>
                <w:rFonts w:cs="Times New Roman"/>
                <w:sz w:val="20"/>
                <w:szCs w:val="18"/>
              </w:rPr>
              <w:t>Izvori financiranja u 202</w:t>
            </w:r>
            <w:r w:rsidR="004968E4" w:rsidRPr="00FC64BF">
              <w:rPr>
                <w:rFonts w:cs="Times New Roman"/>
                <w:sz w:val="20"/>
                <w:szCs w:val="18"/>
              </w:rPr>
              <w:t>4</w:t>
            </w:r>
            <w:r w:rsidRPr="00FC64BF">
              <w:rPr>
                <w:rFonts w:cs="Times New Roman"/>
                <w:sz w:val="20"/>
                <w:szCs w:val="18"/>
              </w:rPr>
              <w:t>. (proračunska pozicija i predviđeni iznos sredstava)</w:t>
            </w:r>
          </w:p>
        </w:tc>
        <w:tc>
          <w:tcPr>
            <w:tcW w:w="1252" w:type="pct"/>
          </w:tcPr>
          <w:p w14:paraId="683FE0BF" w14:textId="43007BB3" w:rsidR="004968E4" w:rsidRPr="004968E4" w:rsidRDefault="004968E4" w:rsidP="004968E4">
            <w:pPr>
              <w:spacing w:line="276" w:lineRule="auto"/>
              <w:jc w:val="center"/>
              <w:rPr>
                <w:rFonts w:cs="Times New Roman"/>
                <w:bCs/>
                <w:sz w:val="20"/>
                <w:szCs w:val="18"/>
              </w:rPr>
            </w:pPr>
            <w:r w:rsidRPr="004968E4">
              <w:rPr>
                <w:rFonts w:cs="Times New Roman"/>
                <w:bCs/>
                <w:sz w:val="20"/>
                <w:szCs w:val="18"/>
              </w:rPr>
              <w:t>A681000-</w:t>
            </w:r>
            <w:r w:rsidR="002F7831">
              <w:rPr>
                <w:rFonts w:cs="Times New Roman"/>
                <w:bCs/>
                <w:sz w:val="20"/>
                <w:szCs w:val="18"/>
              </w:rPr>
              <w:t xml:space="preserve"> </w:t>
            </w:r>
            <w:r w:rsidRPr="004968E4">
              <w:rPr>
                <w:rFonts w:cs="Times New Roman"/>
                <w:bCs/>
                <w:sz w:val="20"/>
                <w:szCs w:val="18"/>
              </w:rPr>
              <w:t>Administracija i upravljanje</w:t>
            </w:r>
          </w:p>
          <w:p w14:paraId="343775A5" w14:textId="1B634D4D" w:rsidR="00CB4BE3" w:rsidRPr="00FC64BF" w:rsidRDefault="004968E4" w:rsidP="004968E4">
            <w:pPr>
              <w:jc w:val="center"/>
              <w:rPr>
                <w:rFonts w:cs="Times New Roman"/>
                <w:sz w:val="20"/>
                <w:szCs w:val="18"/>
              </w:rPr>
            </w:pPr>
            <w:r w:rsidRPr="004968E4">
              <w:rPr>
                <w:rFonts w:cs="Times New Roman"/>
                <w:bCs/>
                <w:sz w:val="20"/>
                <w:szCs w:val="18"/>
              </w:rPr>
              <w:t>0,00</w:t>
            </w:r>
          </w:p>
        </w:tc>
        <w:tc>
          <w:tcPr>
            <w:tcW w:w="1174" w:type="pct"/>
          </w:tcPr>
          <w:p w14:paraId="4EA90665" w14:textId="68BAF0F5" w:rsidR="00CB4BE3" w:rsidRPr="00FC64BF" w:rsidRDefault="004968E4" w:rsidP="002A04BF">
            <w:pPr>
              <w:jc w:val="center"/>
              <w:rPr>
                <w:rFonts w:cs="Times New Roman"/>
                <w:sz w:val="20"/>
                <w:szCs w:val="18"/>
              </w:rPr>
            </w:pPr>
            <w:r w:rsidRPr="00FC64BF">
              <w:rPr>
                <w:rFonts w:cs="Times New Roman"/>
                <w:sz w:val="20"/>
                <w:szCs w:val="20"/>
              </w:rPr>
              <w:t>0.00</w:t>
            </w:r>
          </w:p>
        </w:tc>
        <w:tc>
          <w:tcPr>
            <w:tcW w:w="1013" w:type="pct"/>
            <w:vAlign w:val="center"/>
          </w:tcPr>
          <w:p w14:paraId="45672729" w14:textId="77777777" w:rsidR="00CB4BE3" w:rsidRPr="00FC64BF" w:rsidRDefault="00CB4BE3" w:rsidP="002A04BF">
            <w:pPr>
              <w:jc w:val="center"/>
              <w:rPr>
                <w:rFonts w:cs="Times New Roman"/>
                <w:sz w:val="20"/>
                <w:szCs w:val="18"/>
              </w:rPr>
            </w:pPr>
            <w:r w:rsidRPr="00FC64BF">
              <w:rPr>
                <w:rFonts w:cs="Times New Roman"/>
                <w:sz w:val="20"/>
                <w:szCs w:val="18"/>
              </w:rPr>
              <w:t xml:space="preserve">0,00 </w:t>
            </w:r>
          </w:p>
        </w:tc>
      </w:tr>
      <w:tr w:rsidR="00CE622A" w:rsidRPr="004968E4" w14:paraId="09BD529F" w14:textId="77777777" w:rsidTr="00CB4BE3">
        <w:tc>
          <w:tcPr>
            <w:tcW w:w="1561" w:type="pct"/>
            <w:vMerge w:val="restart"/>
            <w:shd w:val="clear" w:color="auto" w:fill="F2F2F2" w:themeFill="background1" w:themeFillShade="F2"/>
          </w:tcPr>
          <w:p w14:paraId="7F52BC92" w14:textId="77777777" w:rsidR="00CB4BE3" w:rsidRPr="00FC64BF" w:rsidRDefault="00CB4BE3" w:rsidP="002A04BF">
            <w:pPr>
              <w:rPr>
                <w:rFonts w:cs="Times New Roman"/>
                <w:b/>
                <w:sz w:val="20"/>
                <w:szCs w:val="18"/>
              </w:rPr>
            </w:pPr>
            <w:r w:rsidRPr="00FC64BF">
              <w:rPr>
                <w:rFonts w:cs="Times New Roman"/>
                <w:b/>
                <w:sz w:val="20"/>
                <w:szCs w:val="18"/>
              </w:rPr>
              <w:t xml:space="preserve">UKUPNO UTROŠENA SREDSTVA PO IZVORU </w:t>
            </w:r>
          </w:p>
        </w:tc>
        <w:tc>
          <w:tcPr>
            <w:tcW w:w="1252" w:type="pct"/>
            <w:vAlign w:val="center"/>
          </w:tcPr>
          <w:p w14:paraId="24193722" w14:textId="77777777" w:rsidR="00CB4BE3" w:rsidRPr="00FC64BF" w:rsidRDefault="00CB4BE3" w:rsidP="002A04BF">
            <w:pPr>
              <w:jc w:val="center"/>
              <w:rPr>
                <w:rFonts w:cs="Times New Roman"/>
                <w:b/>
                <w:sz w:val="20"/>
                <w:szCs w:val="18"/>
              </w:rPr>
            </w:pPr>
            <w:r w:rsidRPr="00FC64BF">
              <w:rPr>
                <w:rFonts w:cs="Times New Roman"/>
                <w:b/>
                <w:sz w:val="20"/>
                <w:szCs w:val="18"/>
              </w:rPr>
              <w:t>Državni proračun (EUR)</w:t>
            </w:r>
          </w:p>
        </w:tc>
        <w:tc>
          <w:tcPr>
            <w:tcW w:w="1174" w:type="pct"/>
            <w:vAlign w:val="center"/>
          </w:tcPr>
          <w:p w14:paraId="7664E432" w14:textId="77777777" w:rsidR="00CB4BE3" w:rsidRPr="00FC64BF" w:rsidRDefault="00CB4BE3" w:rsidP="002A04BF">
            <w:pPr>
              <w:jc w:val="center"/>
              <w:rPr>
                <w:rFonts w:cs="Times New Roman"/>
                <w:b/>
                <w:sz w:val="20"/>
                <w:szCs w:val="18"/>
              </w:rPr>
            </w:pPr>
            <w:r w:rsidRPr="00FC64BF">
              <w:rPr>
                <w:rFonts w:cs="Times New Roman"/>
                <w:b/>
                <w:sz w:val="20"/>
                <w:szCs w:val="18"/>
              </w:rPr>
              <w:t>EU financiranje (EUR)</w:t>
            </w:r>
          </w:p>
        </w:tc>
        <w:tc>
          <w:tcPr>
            <w:tcW w:w="1013" w:type="pct"/>
            <w:vAlign w:val="center"/>
          </w:tcPr>
          <w:p w14:paraId="179351FF" w14:textId="77777777" w:rsidR="00CB4BE3" w:rsidRPr="00FC64BF" w:rsidRDefault="00CB4BE3" w:rsidP="002A04BF">
            <w:pPr>
              <w:jc w:val="center"/>
              <w:rPr>
                <w:rFonts w:cs="Times New Roman"/>
                <w:b/>
                <w:sz w:val="20"/>
                <w:szCs w:val="18"/>
              </w:rPr>
            </w:pPr>
            <w:r w:rsidRPr="00FC64BF">
              <w:rPr>
                <w:rFonts w:cs="Times New Roman"/>
                <w:b/>
                <w:sz w:val="20"/>
                <w:szCs w:val="18"/>
              </w:rPr>
              <w:t>Drugi izvori (EUR)</w:t>
            </w:r>
          </w:p>
        </w:tc>
      </w:tr>
      <w:tr w:rsidR="00CE622A" w:rsidRPr="004968E4" w14:paraId="7B4C10CF" w14:textId="77777777" w:rsidTr="00CB4BE3">
        <w:tc>
          <w:tcPr>
            <w:tcW w:w="1561" w:type="pct"/>
            <w:vMerge/>
            <w:shd w:val="clear" w:color="auto" w:fill="F2F2F2" w:themeFill="background1" w:themeFillShade="F2"/>
          </w:tcPr>
          <w:p w14:paraId="3F174CF8" w14:textId="77777777" w:rsidR="00CB4BE3" w:rsidRPr="00FC64BF" w:rsidRDefault="00CB4BE3" w:rsidP="002A04BF">
            <w:pPr>
              <w:rPr>
                <w:rFonts w:cs="Times New Roman"/>
                <w:b/>
                <w:sz w:val="20"/>
                <w:szCs w:val="18"/>
              </w:rPr>
            </w:pPr>
          </w:p>
        </w:tc>
        <w:tc>
          <w:tcPr>
            <w:tcW w:w="1252" w:type="pct"/>
            <w:vAlign w:val="center"/>
          </w:tcPr>
          <w:p w14:paraId="54E88EE6" w14:textId="04964BD6" w:rsidR="004968E4" w:rsidRPr="004968E4" w:rsidRDefault="004968E4" w:rsidP="004968E4">
            <w:pPr>
              <w:spacing w:line="276" w:lineRule="auto"/>
              <w:jc w:val="center"/>
              <w:rPr>
                <w:rFonts w:cs="Times New Roman"/>
                <w:bCs/>
                <w:sz w:val="20"/>
                <w:szCs w:val="18"/>
              </w:rPr>
            </w:pPr>
            <w:r w:rsidRPr="004968E4">
              <w:rPr>
                <w:rFonts w:cs="Times New Roman"/>
                <w:bCs/>
                <w:sz w:val="20"/>
                <w:szCs w:val="18"/>
              </w:rPr>
              <w:t>A681000-</w:t>
            </w:r>
            <w:r w:rsidR="002F7831">
              <w:rPr>
                <w:rFonts w:cs="Times New Roman"/>
                <w:bCs/>
                <w:sz w:val="20"/>
                <w:szCs w:val="18"/>
              </w:rPr>
              <w:t xml:space="preserve"> </w:t>
            </w:r>
            <w:r w:rsidRPr="004968E4">
              <w:rPr>
                <w:rFonts w:cs="Times New Roman"/>
                <w:bCs/>
                <w:sz w:val="20"/>
                <w:szCs w:val="18"/>
              </w:rPr>
              <w:t>Administracija i upravljanje</w:t>
            </w:r>
          </w:p>
          <w:p w14:paraId="55F2CB00" w14:textId="66BAD034" w:rsidR="00CB4BE3" w:rsidRPr="00FC64BF" w:rsidRDefault="004968E4">
            <w:pPr>
              <w:jc w:val="center"/>
              <w:rPr>
                <w:rFonts w:cs="Times New Roman"/>
                <w:bCs/>
                <w:sz w:val="20"/>
                <w:szCs w:val="18"/>
              </w:rPr>
            </w:pPr>
            <w:r w:rsidRPr="004968E4">
              <w:rPr>
                <w:rFonts w:cs="Times New Roman"/>
                <w:bCs/>
                <w:sz w:val="20"/>
                <w:szCs w:val="18"/>
              </w:rPr>
              <w:t>0,00</w:t>
            </w:r>
          </w:p>
        </w:tc>
        <w:tc>
          <w:tcPr>
            <w:tcW w:w="1174" w:type="pct"/>
            <w:vAlign w:val="center"/>
          </w:tcPr>
          <w:p w14:paraId="5E629E3B" w14:textId="77777777" w:rsidR="00CB4BE3" w:rsidRPr="00FC64BF" w:rsidRDefault="00CB4BE3" w:rsidP="002A04BF">
            <w:pPr>
              <w:jc w:val="center"/>
              <w:rPr>
                <w:rFonts w:cs="Times New Roman"/>
                <w:bCs/>
                <w:sz w:val="20"/>
                <w:szCs w:val="18"/>
              </w:rPr>
            </w:pPr>
            <w:r w:rsidRPr="00FC64BF">
              <w:rPr>
                <w:rFonts w:cs="Times New Roman"/>
                <w:bCs/>
                <w:sz w:val="20"/>
                <w:szCs w:val="18"/>
              </w:rPr>
              <w:t>0,00</w:t>
            </w:r>
          </w:p>
        </w:tc>
        <w:tc>
          <w:tcPr>
            <w:tcW w:w="1013" w:type="pct"/>
            <w:vAlign w:val="center"/>
          </w:tcPr>
          <w:p w14:paraId="085D3878" w14:textId="77777777" w:rsidR="00CB4BE3" w:rsidRPr="00FC64BF" w:rsidRDefault="00CB4BE3" w:rsidP="002A04BF">
            <w:pPr>
              <w:jc w:val="center"/>
              <w:rPr>
                <w:rFonts w:cs="Times New Roman"/>
                <w:bCs/>
                <w:sz w:val="20"/>
                <w:szCs w:val="18"/>
              </w:rPr>
            </w:pPr>
            <w:r w:rsidRPr="00FC64BF">
              <w:rPr>
                <w:rFonts w:cs="Times New Roman"/>
                <w:bCs/>
                <w:sz w:val="20"/>
                <w:szCs w:val="18"/>
              </w:rPr>
              <w:t xml:space="preserve">0,00 </w:t>
            </w:r>
          </w:p>
        </w:tc>
      </w:tr>
      <w:tr w:rsidR="00CE622A" w:rsidRPr="004968E4" w14:paraId="7CC6294F" w14:textId="77777777" w:rsidTr="00B66CD2">
        <w:trPr>
          <w:trHeight w:val="360"/>
        </w:trPr>
        <w:tc>
          <w:tcPr>
            <w:tcW w:w="1561" w:type="pct"/>
            <w:shd w:val="clear" w:color="auto" w:fill="F2F2F2" w:themeFill="background1" w:themeFillShade="F2"/>
          </w:tcPr>
          <w:p w14:paraId="302DBE66" w14:textId="47EAA48D" w:rsidR="00CB4BE3" w:rsidRPr="00FC64BF" w:rsidRDefault="00CB4BE3" w:rsidP="002A04BF">
            <w:pPr>
              <w:rPr>
                <w:rFonts w:cs="Times New Roman"/>
                <w:sz w:val="20"/>
                <w:szCs w:val="18"/>
              </w:rPr>
            </w:pPr>
            <w:r w:rsidRPr="00FC64BF">
              <w:rPr>
                <w:rFonts w:cs="Times New Roman"/>
                <w:sz w:val="20"/>
                <w:szCs w:val="18"/>
              </w:rPr>
              <w:t>ROK PROVEDBE AKTIVNOSTI</w:t>
            </w:r>
          </w:p>
        </w:tc>
        <w:tc>
          <w:tcPr>
            <w:tcW w:w="3439" w:type="pct"/>
            <w:gridSpan w:val="3"/>
            <w:vAlign w:val="center"/>
          </w:tcPr>
          <w:p w14:paraId="65EE29CA" w14:textId="77777777" w:rsidR="00CB4BE3" w:rsidRPr="00FC64BF" w:rsidRDefault="00CB4BE3" w:rsidP="002A04BF">
            <w:pPr>
              <w:rPr>
                <w:rFonts w:cs="Times New Roman"/>
                <w:sz w:val="20"/>
                <w:szCs w:val="18"/>
              </w:rPr>
            </w:pPr>
            <w:r w:rsidRPr="00FC64BF">
              <w:rPr>
                <w:rFonts w:cs="Times New Roman"/>
                <w:sz w:val="20"/>
                <w:szCs w:val="18"/>
              </w:rPr>
              <w:t>IV. kvartal 2025.</w:t>
            </w:r>
          </w:p>
        </w:tc>
      </w:tr>
    </w:tbl>
    <w:p w14:paraId="5A28D516" w14:textId="7602411B" w:rsidR="00330FAE" w:rsidRPr="000470E7" w:rsidRDefault="00330FAE" w:rsidP="00D36147">
      <w:pPr>
        <w:spacing w:after="0" w:line="276" w:lineRule="auto"/>
        <w:rPr>
          <w:rFonts w:cs="Times New Roman"/>
        </w:rPr>
      </w:pPr>
    </w:p>
    <w:p w14:paraId="13406F27" w14:textId="77777777" w:rsidR="003379F1" w:rsidRPr="000470E7" w:rsidRDefault="003379F1" w:rsidP="00D36147">
      <w:pPr>
        <w:spacing w:after="0" w:line="276" w:lineRule="auto"/>
        <w:rPr>
          <w:rFonts w:cs="Times New Roman"/>
        </w:rPr>
      </w:pPr>
    </w:p>
    <w:p w14:paraId="4F88A2A4" w14:textId="77777777" w:rsidR="00330FAE" w:rsidRPr="000470E7" w:rsidRDefault="00330FAE">
      <w:pPr>
        <w:rPr>
          <w:rFonts w:cs="Times New Roman"/>
        </w:rPr>
      </w:pPr>
      <w:r w:rsidRPr="000470E7">
        <w:rPr>
          <w:rFonts w:cs="Times New Roman"/>
        </w:rPr>
        <w:br w:type="page"/>
      </w:r>
    </w:p>
    <w:p w14:paraId="6982633F" w14:textId="7A4CFE7E" w:rsidR="006F2D62" w:rsidRPr="00FC64BF" w:rsidRDefault="006F2D62" w:rsidP="002A04BF">
      <w:pPr>
        <w:pStyle w:val="Heading2"/>
        <w:spacing w:before="0" w:line="276" w:lineRule="auto"/>
        <w:rPr>
          <w:rFonts w:cs="Times New Roman"/>
          <w:bCs/>
        </w:rPr>
      </w:pPr>
      <w:bookmarkStart w:id="36" w:name="_Hlk163633284"/>
      <w:r w:rsidRPr="00FC64BF">
        <w:rPr>
          <w:rFonts w:cs="Times New Roman"/>
          <w:bCs/>
        </w:rPr>
        <w:lastRenderedPageBreak/>
        <w:t>Mjera 4.3. Smanjivanje jaza u dovršetku srednjoškolskog obrazovanja između mladih Roma i mladih iz opće populacije</w:t>
      </w:r>
    </w:p>
    <w:p w14:paraId="695CA981" w14:textId="77777777" w:rsidR="0029699C" w:rsidRPr="00FC64BF" w:rsidRDefault="0029699C" w:rsidP="002A04BF">
      <w:pPr>
        <w:spacing w:after="0" w:line="276" w:lineRule="auto"/>
        <w:jc w:val="both"/>
        <w:rPr>
          <w:rFonts w:cs="Times New Roman"/>
          <w:i/>
          <w:iCs/>
          <w:szCs w:val="24"/>
        </w:rPr>
      </w:pPr>
    </w:p>
    <w:p w14:paraId="7FDB9BFB" w14:textId="38CE9CA8" w:rsidR="00492B9B" w:rsidRPr="00FC64BF" w:rsidRDefault="00492B9B" w:rsidP="002A04BF">
      <w:pPr>
        <w:spacing w:after="0" w:line="276" w:lineRule="auto"/>
        <w:jc w:val="both"/>
        <w:rPr>
          <w:rFonts w:cs="Times New Roman"/>
          <w:i/>
          <w:iCs/>
          <w:szCs w:val="24"/>
        </w:rPr>
      </w:pPr>
      <w:r w:rsidRPr="00FC64BF">
        <w:rPr>
          <w:rFonts w:cs="Times New Roman"/>
          <w:i/>
          <w:iCs/>
          <w:szCs w:val="24"/>
        </w:rPr>
        <w:t>Aktivnost 4.3.1. Prevencija napuštanja srednjoškolskog obrazovanja</w:t>
      </w:r>
    </w:p>
    <w:p w14:paraId="143A380F" w14:textId="22433E31" w:rsidR="0091798A" w:rsidRPr="00FC64BF" w:rsidRDefault="00492B9B" w:rsidP="002A04BF">
      <w:pPr>
        <w:spacing w:after="0" w:line="276" w:lineRule="auto"/>
        <w:jc w:val="both"/>
        <w:rPr>
          <w:rFonts w:cs="Times New Roman"/>
          <w:i/>
          <w:iCs/>
          <w:szCs w:val="24"/>
        </w:rPr>
      </w:pPr>
      <w:r w:rsidRPr="00FC64BF">
        <w:rPr>
          <w:rFonts w:cs="Times New Roman"/>
          <w:i/>
          <w:iCs/>
          <w:szCs w:val="24"/>
        </w:rPr>
        <w:t xml:space="preserve">Nositelj provedbe: Ured </w:t>
      </w:r>
      <w:bookmarkEnd w:id="36"/>
      <w:r w:rsidR="0061594B">
        <w:rPr>
          <w:rFonts w:cs="Times New Roman"/>
          <w:i/>
          <w:iCs/>
          <w:szCs w:val="24"/>
        </w:rPr>
        <w:t>za ljudska prava i prava nacionalnih manjina</w:t>
      </w:r>
    </w:p>
    <w:p w14:paraId="2EABB429" w14:textId="77777777" w:rsidR="00D36147" w:rsidRPr="00FC64BF" w:rsidRDefault="00D36147" w:rsidP="00D36147">
      <w:pPr>
        <w:spacing w:after="0" w:line="276" w:lineRule="auto"/>
        <w:jc w:val="both"/>
        <w:rPr>
          <w:rFonts w:cs="Times New Roman"/>
          <w:i/>
          <w:iCs/>
          <w:szCs w:val="24"/>
        </w:rPr>
      </w:pPr>
    </w:p>
    <w:p w14:paraId="334D1DEB" w14:textId="5BF94E07" w:rsidR="004B7D2C" w:rsidRPr="00FC64BF" w:rsidRDefault="005B42C5" w:rsidP="00D36147">
      <w:pPr>
        <w:spacing w:after="0" w:line="276" w:lineRule="auto"/>
        <w:jc w:val="both"/>
        <w:rPr>
          <w:rFonts w:cs="Times New Roman"/>
        </w:rPr>
      </w:pPr>
      <w:bookmarkStart w:id="37" w:name="_Hlk165376707"/>
      <w:r w:rsidRPr="00FC64BF">
        <w:rPr>
          <w:rFonts w:cs="Times New Roman"/>
          <w:szCs w:val="24"/>
        </w:rPr>
        <w:t xml:space="preserve">Ured je u okviru ovog sektorskog cilja provodio pripremne aktivnosti s relevantnim dionicima, vijećima i predstavnicima nacionalnih manjina, predstavnicima </w:t>
      </w:r>
      <w:r w:rsidR="00FE7B55">
        <w:rPr>
          <w:rFonts w:cs="Times New Roman"/>
          <w:szCs w:val="24"/>
        </w:rPr>
        <w:t>JLP(R)S</w:t>
      </w:r>
      <w:r w:rsidRPr="00FC64BF">
        <w:rPr>
          <w:rFonts w:cs="Times New Roman"/>
          <w:szCs w:val="24"/>
        </w:rPr>
        <w:t>, civilnog društva i akademske zajednice. Tijekom 202</w:t>
      </w:r>
      <w:r w:rsidR="004968E4" w:rsidRPr="00FC64BF">
        <w:rPr>
          <w:rFonts w:cs="Times New Roman"/>
          <w:szCs w:val="24"/>
        </w:rPr>
        <w:t>4</w:t>
      </w:r>
      <w:r w:rsidRPr="00FC64BF">
        <w:rPr>
          <w:rFonts w:cs="Times New Roman"/>
          <w:szCs w:val="24"/>
        </w:rPr>
        <w:t>.</w:t>
      </w:r>
      <w:r w:rsidR="003379F1">
        <w:rPr>
          <w:rFonts w:cs="Times New Roman"/>
          <w:szCs w:val="24"/>
        </w:rPr>
        <w:t xml:space="preserve"> </w:t>
      </w:r>
      <w:r w:rsidR="00D9050B">
        <w:rPr>
          <w:rFonts w:cs="Times New Roman"/>
          <w:szCs w:val="24"/>
        </w:rPr>
        <w:t xml:space="preserve">godine </w:t>
      </w:r>
      <w:r w:rsidRPr="00FC64BF">
        <w:rPr>
          <w:rFonts w:cs="Times New Roman"/>
          <w:szCs w:val="24"/>
        </w:rPr>
        <w:t xml:space="preserve">nastavljena je suradnja s više </w:t>
      </w:r>
      <w:r w:rsidR="00FE7B55">
        <w:rPr>
          <w:rFonts w:cs="Times New Roman"/>
          <w:szCs w:val="24"/>
        </w:rPr>
        <w:t>JLP(R)S</w:t>
      </w:r>
      <w:r w:rsidRPr="00FC64BF">
        <w:rPr>
          <w:rFonts w:cs="Times New Roman"/>
          <w:szCs w:val="24"/>
        </w:rPr>
        <w:t>, romskim vijećima i predstavnicima, stručnjacima i stručnim udrugama na područjima antidiskriminacije, položaja djece i Romkinja, obrazovanja (osobito predškolskog odgoja i desegregacije), razvoja zajednice i jačanja socijalne kohezije na lokalnoj razini.</w:t>
      </w:r>
      <w:r w:rsidR="00133E88" w:rsidRPr="00FC64BF">
        <w:rPr>
          <w:rFonts w:cs="Times New Roman"/>
        </w:rPr>
        <w:t xml:space="preserve"> </w:t>
      </w:r>
      <w:r w:rsidR="004968E4" w:rsidRPr="006C5671">
        <w:rPr>
          <w:rFonts w:cs="Times New Roman"/>
          <w:szCs w:val="24"/>
        </w:rPr>
        <w:t>Obavljeni su terenski posjeti Brodsko-posavskoj, Istarskoj, Međimurskoj, Osječko-baranjskoj i Sisačko-moslavačkoj županiji</w:t>
      </w:r>
      <w:r w:rsidR="004B7D2C" w:rsidRPr="00FC64BF">
        <w:rPr>
          <w:rFonts w:cs="Times New Roman"/>
        </w:rPr>
        <w:t>.</w:t>
      </w:r>
    </w:p>
    <w:p w14:paraId="0C2B4331" w14:textId="77777777" w:rsidR="00D36147" w:rsidRPr="00FC64BF" w:rsidRDefault="00D36147" w:rsidP="00D36147">
      <w:pPr>
        <w:spacing w:after="0" w:line="276" w:lineRule="auto"/>
        <w:jc w:val="both"/>
        <w:rPr>
          <w:rFonts w:cs="Times New Roman"/>
        </w:rPr>
      </w:pPr>
    </w:p>
    <w:p w14:paraId="02A67D42" w14:textId="5E400B7D" w:rsidR="005C1C25" w:rsidRDefault="004B7D2C" w:rsidP="00330FAE">
      <w:pPr>
        <w:spacing w:after="0" w:line="276" w:lineRule="auto"/>
        <w:jc w:val="both"/>
        <w:rPr>
          <w:rFonts w:cs="Times New Roman"/>
        </w:rPr>
      </w:pPr>
      <w:r w:rsidRPr="00FC64BF">
        <w:rPr>
          <w:rFonts w:cs="Times New Roman"/>
        </w:rPr>
        <w:t>Objava Poziva na dostavu projektnog prijedloga kojim će se financirati ove aktivnosti, planirana je u 202</w:t>
      </w:r>
      <w:r w:rsidR="004968E4" w:rsidRPr="00FC64BF">
        <w:rPr>
          <w:rFonts w:cs="Times New Roman"/>
        </w:rPr>
        <w:t>5</w:t>
      </w:r>
      <w:r w:rsidRPr="00FC64BF">
        <w:rPr>
          <w:rFonts w:cs="Times New Roman"/>
        </w:rPr>
        <w:t xml:space="preserve">. </w:t>
      </w:r>
      <w:r w:rsidR="00D9050B">
        <w:rPr>
          <w:rFonts w:cs="Times New Roman"/>
        </w:rPr>
        <w:t>godini.</w:t>
      </w:r>
    </w:p>
    <w:p w14:paraId="3F6DBDF8" w14:textId="77777777" w:rsidR="000470E7" w:rsidRPr="00FC64BF" w:rsidRDefault="000470E7" w:rsidP="00330FAE">
      <w:pPr>
        <w:spacing w:after="0" w:line="276" w:lineRule="auto"/>
        <w:jc w:val="both"/>
        <w:rPr>
          <w:rFonts w:cs="Times New Roman"/>
        </w:rPr>
      </w:pPr>
    </w:p>
    <w:tbl>
      <w:tblPr>
        <w:tblStyle w:val="TableGrid"/>
        <w:tblpPr w:leftFromText="180" w:rightFromText="180" w:vertAnchor="text" w:horzAnchor="margin" w:tblpY="181"/>
        <w:tblW w:w="5000" w:type="pct"/>
        <w:tblLayout w:type="fixed"/>
        <w:tblLook w:val="04A0" w:firstRow="1" w:lastRow="0" w:firstColumn="1" w:lastColumn="0" w:noHBand="0" w:noVBand="1"/>
      </w:tblPr>
      <w:tblGrid>
        <w:gridCol w:w="2829"/>
        <w:gridCol w:w="2267"/>
        <w:gridCol w:w="1985"/>
        <w:gridCol w:w="1981"/>
      </w:tblGrid>
      <w:tr w:rsidR="00CE622A" w:rsidRPr="006C5671" w14:paraId="5C3E7E88" w14:textId="77777777" w:rsidTr="002A04BF">
        <w:tc>
          <w:tcPr>
            <w:tcW w:w="1561" w:type="pct"/>
            <w:shd w:val="clear" w:color="auto" w:fill="F2F2F2" w:themeFill="background1" w:themeFillShade="F2"/>
            <w:vAlign w:val="center"/>
          </w:tcPr>
          <w:bookmarkEnd w:id="37"/>
          <w:p w14:paraId="7E890091" w14:textId="7CE5CF2C" w:rsidR="00492B9B" w:rsidRPr="00FC64BF" w:rsidRDefault="007E61F3" w:rsidP="002A04BF">
            <w:pPr>
              <w:rPr>
                <w:rFonts w:cs="Times New Roman"/>
                <w:b/>
                <w:sz w:val="20"/>
                <w:szCs w:val="20"/>
              </w:rPr>
            </w:pPr>
            <w:r w:rsidRPr="00FC64BF">
              <w:rPr>
                <w:rFonts w:cs="Times New Roman"/>
                <w:b/>
                <w:sz w:val="20"/>
                <w:szCs w:val="20"/>
              </w:rPr>
              <w:t>Pokazatelji provedbe i pokazatelji uspješnosti provedbe</w:t>
            </w:r>
          </w:p>
        </w:tc>
        <w:tc>
          <w:tcPr>
            <w:tcW w:w="1251" w:type="pct"/>
            <w:shd w:val="clear" w:color="auto" w:fill="F2F2F2" w:themeFill="background1" w:themeFillShade="F2"/>
            <w:vAlign w:val="center"/>
          </w:tcPr>
          <w:p w14:paraId="68E7A96B" w14:textId="77777777" w:rsidR="00492B9B" w:rsidRPr="00FC64BF" w:rsidRDefault="00492B9B" w:rsidP="002A04BF">
            <w:pPr>
              <w:jc w:val="center"/>
              <w:rPr>
                <w:rFonts w:cs="Times New Roman"/>
                <w:b/>
                <w:sz w:val="20"/>
                <w:szCs w:val="20"/>
              </w:rPr>
            </w:pPr>
            <w:r w:rsidRPr="00FC64BF">
              <w:rPr>
                <w:rFonts w:cs="Times New Roman"/>
                <w:b/>
                <w:sz w:val="20"/>
                <w:szCs w:val="20"/>
              </w:rPr>
              <w:t>Broj provedenih aktivnosti</w:t>
            </w:r>
          </w:p>
        </w:tc>
        <w:tc>
          <w:tcPr>
            <w:tcW w:w="1095" w:type="pct"/>
            <w:shd w:val="clear" w:color="auto" w:fill="F2F2F2" w:themeFill="background1" w:themeFillShade="F2"/>
            <w:vAlign w:val="center"/>
          </w:tcPr>
          <w:p w14:paraId="1A5B59B2" w14:textId="1749B443" w:rsidR="00492B9B" w:rsidRPr="00FC64BF" w:rsidRDefault="00A51119" w:rsidP="002A04BF">
            <w:pPr>
              <w:jc w:val="center"/>
              <w:rPr>
                <w:rFonts w:cs="Times New Roman"/>
                <w:b/>
                <w:sz w:val="20"/>
                <w:szCs w:val="20"/>
              </w:rPr>
            </w:pPr>
            <w:r w:rsidRPr="00FC64BF">
              <w:rPr>
                <w:rFonts w:cs="Times New Roman"/>
                <w:b/>
                <w:sz w:val="20"/>
                <w:szCs w:val="20"/>
              </w:rPr>
              <w:t>Broj sudionika pripadnika romske nacionalne manjine</w:t>
            </w:r>
          </w:p>
        </w:tc>
        <w:tc>
          <w:tcPr>
            <w:tcW w:w="1092" w:type="pct"/>
            <w:shd w:val="clear" w:color="auto" w:fill="F2F2F2" w:themeFill="background1" w:themeFillShade="F2"/>
            <w:vAlign w:val="center"/>
          </w:tcPr>
          <w:p w14:paraId="6E645FB7" w14:textId="63C94F9B" w:rsidR="00A51119" w:rsidRPr="00FC64BF" w:rsidRDefault="00A51119" w:rsidP="002A04BF">
            <w:pPr>
              <w:jc w:val="center"/>
              <w:rPr>
                <w:rFonts w:cs="Times New Roman"/>
                <w:b/>
                <w:sz w:val="20"/>
                <w:szCs w:val="20"/>
              </w:rPr>
            </w:pPr>
            <w:r w:rsidRPr="00FC64BF">
              <w:rPr>
                <w:rFonts w:cs="Times New Roman"/>
                <w:b/>
                <w:sz w:val="20"/>
                <w:szCs w:val="20"/>
              </w:rPr>
              <w:t>Broj javnih</w:t>
            </w:r>
            <w:r w:rsidR="00454264" w:rsidRPr="00FC64BF">
              <w:rPr>
                <w:rFonts w:cs="Times New Roman"/>
                <w:b/>
                <w:sz w:val="20"/>
                <w:szCs w:val="20"/>
              </w:rPr>
              <w:t xml:space="preserve"> </w:t>
            </w:r>
            <w:r w:rsidRPr="00FC64BF">
              <w:rPr>
                <w:rFonts w:cs="Times New Roman"/>
                <w:b/>
                <w:sz w:val="20"/>
                <w:szCs w:val="20"/>
              </w:rPr>
              <w:t>događanja(promocija primjera</w:t>
            </w:r>
          </w:p>
          <w:p w14:paraId="3D8CC3C0" w14:textId="019529C3" w:rsidR="00492B9B" w:rsidRPr="00FC64BF" w:rsidRDefault="00A51119" w:rsidP="002A04BF">
            <w:pPr>
              <w:jc w:val="center"/>
              <w:rPr>
                <w:rFonts w:cs="Times New Roman"/>
                <w:b/>
                <w:sz w:val="20"/>
                <w:szCs w:val="20"/>
              </w:rPr>
            </w:pPr>
            <w:r w:rsidRPr="00FC64BF">
              <w:rPr>
                <w:rFonts w:cs="Times New Roman"/>
                <w:b/>
                <w:sz w:val="20"/>
                <w:szCs w:val="20"/>
              </w:rPr>
              <w:t>dobre prakse)</w:t>
            </w:r>
          </w:p>
        </w:tc>
      </w:tr>
      <w:tr w:rsidR="006C5671" w:rsidRPr="006C5671" w14:paraId="0E4616A0" w14:textId="77777777" w:rsidTr="002A04BF">
        <w:tc>
          <w:tcPr>
            <w:tcW w:w="1561" w:type="pct"/>
            <w:shd w:val="clear" w:color="auto" w:fill="F2F2F2" w:themeFill="background1" w:themeFillShade="F2"/>
            <w:vAlign w:val="center"/>
          </w:tcPr>
          <w:p w14:paraId="648902D1" w14:textId="7F9AB894" w:rsidR="00492B9B" w:rsidRPr="00FC64BF" w:rsidRDefault="00492B9B" w:rsidP="0061594B">
            <w:pPr>
              <w:rPr>
                <w:rFonts w:cs="Times New Roman"/>
                <w:sz w:val="20"/>
                <w:szCs w:val="20"/>
              </w:rPr>
            </w:pPr>
            <w:r w:rsidRPr="00FC64BF">
              <w:rPr>
                <w:rFonts w:cs="Times New Roman"/>
                <w:sz w:val="20"/>
                <w:szCs w:val="20"/>
              </w:rPr>
              <w:t xml:space="preserve">Planirani ishodi za pokazatelje </w:t>
            </w:r>
            <w:r w:rsidR="0018416B" w:rsidRPr="00FC64BF">
              <w:rPr>
                <w:rFonts w:cs="Times New Roman"/>
                <w:sz w:val="20"/>
                <w:szCs w:val="20"/>
              </w:rPr>
              <w:t>provedbe u 202</w:t>
            </w:r>
            <w:r w:rsidR="004968E4" w:rsidRPr="00FC64BF">
              <w:rPr>
                <w:rFonts w:cs="Times New Roman"/>
                <w:sz w:val="20"/>
                <w:szCs w:val="20"/>
              </w:rPr>
              <w:t>4</w:t>
            </w:r>
            <w:r w:rsidR="0018416B" w:rsidRPr="00FC64BF">
              <w:rPr>
                <w:rFonts w:cs="Times New Roman"/>
                <w:sz w:val="20"/>
                <w:szCs w:val="20"/>
              </w:rPr>
              <w:t>.</w:t>
            </w:r>
          </w:p>
        </w:tc>
        <w:tc>
          <w:tcPr>
            <w:tcW w:w="1251" w:type="pct"/>
            <w:vAlign w:val="center"/>
          </w:tcPr>
          <w:p w14:paraId="773DFCD7" w14:textId="00DCC6F0" w:rsidR="00492B9B" w:rsidRPr="00FC64BF" w:rsidRDefault="006C5671" w:rsidP="00A01E1C">
            <w:pPr>
              <w:jc w:val="center"/>
              <w:rPr>
                <w:rFonts w:cs="Times New Roman"/>
                <w:sz w:val="20"/>
                <w:szCs w:val="20"/>
              </w:rPr>
            </w:pPr>
            <w:r w:rsidRPr="00FC64BF">
              <w:rPr>
                <w:rFonts w:cs="Times New Roman"/>
                <w:sz w:val="20"/>
                <w:szCs w:val="20"/>
              </w:rPr>
              <w:t>n/p</w:t>
            </w:r>
          </w:p>
        </w:tc>
        <w:tc>
          <w:tcPr>
            <w:tcW w:w="1095" w:type="pct"/>
            <w:vAlign w:val="center"/>
          </w:tcPr>
          <w:p w14:paraId="2019BA0B" w14:textId="30C89957" w:rsidR="00492B9B" w:rsidRPr="00FC64BF" w:rsidRDefault="006C5671" w:rsidP="00A01E1C">
            <w:pPr>
              <w:jc w:val="center"/>
              <w:rPr>
                <w:rFonts w:cs="Times New Roman"/>
                <w:sz w:val="20"/>
                <w:szCs w:val="20"/>
              </w:rPr>
            </w:pPr>
            <w:r w:rsidRPr="00FC64BF">
              <w:rPr>
                <w:rFonts w:cs="Times New Roman"/>
                <w:sz w:val="20"/>
                <w:szCs w:val="20"/>
              </w:rPr>
              <w:t>n/p</w:t>
            </w:r>
          </w:p>
        </w:tc>
        <w:tc>
          <w:tcPr>
            <w:tcW w:w="1092" w:type="pct"/>
            <w:vAlign w:val="center"/>
          </w:tcPr>
          <w:p w14:paraId="16030E3E" w14:textId="1AAF6245" w:rsidR="00492B9B" w:rsidRPr="00FC64BF" w:rsidRDefault="006C5671" w:rsidP="00A01E1C">
            <w:pPr>
              <w:jc w:val="center"/>
              <w:rPr>
                <w:rFonts w:cs="Times New Roman"/>
                <w:sz w:val="20"/>
                <w:szCs w:val="20"/>
              </w:rPr>
            </w:pPr>
            <w:r w:rsidRPr="00FC64BF">
              <w:rPr>
                <w:rFonts w:cs="Times New Roman"/>
                <w:sz w:val="20"/>
                <w:szCs w:val="20"/>
              </w:rPr>
              <w:t>n/p</w:t>
            </w:r>
          </w:p>
        </w:tc>
      </w:tr>
      <w:tr w:rsidR="006C5671" w:rsidRPr="006C5671" w14:paraId="08E79EBC" w14:textId="77777777" w:rsidTr="002A04BF">
        <w:tc>
          <w:tcPr>
            <w:tcW w:w="1561" w:type="pct"/>
            <w:shd w:val="clear" w:color="auto" w:fill="F2F2F2" w:themeFill="background1" w:themeFillShade="F2"/>
            <w:vAlign w:val="center"/>
          </w:tcPr>
          <w:p w14:paraId="31DEB126" w14:textId="6DA7FDCC" w:rsidR="00492B9B" w:rsidRPr="00FC64BF" w:rsidRDefault="00492B9B" w:rsidP="0061594B">
            <w:pPr>
              <w:rPr>
                <w:rFonts w:cs="Times New Roman"/>
                <w:sz w:val="20"/>
                <w:szCs w:val="20"/>
              </w:rPr>
            </w:pPr>
            <w:r w:rsidRPr="00FC64BF">
              <w:rPr>
                <w:rFonts w:cs="Times New Roman"/>
                <w:sz w:val="20"/>
                <w:szCs w:val="20"/>
              </w:rPr>
              <w:t xml:space="preserve">Ostvareni ishodi za pokazatelje </w:t>
            </w:r>
            <w:r w:rsidR="0018416B" w:rsidRPr="00FC64BF">
              <w:rPr>
                <w:rFonts w:cs="Times New Roman"/>
                <w:sz w:val="20"/>
                <w:szCs w:val="20"/>
              </w:rPr>
              <w:t>provedbe u 202</w:t>
            </w:r>
            <w:r w:rsidR="004968E4" w:rsidRPr="00FC64BF">
              <w:rPr>
                <w:rFonts w:cs="Times New Roman"/>
                <w:sz w:val="20"/>
                <w:szCs w:val="20"/>
              </w:rPr>
              <w:t>4</w:t>
            </w:r>
            <w:r w:rsidR="0018416B" w:rsidRPr="00FC64BF">
              <w:rPr>
                <w:rFonts w:cs="Times New Roman"/>
                <w:sz w:val="20"/>
                <w:szCs w:val="20"/>
              </w:rPr>
              <w:t xml:space="preserve">. </w:t>
            </w:r>
          </w:p>
        </w:tc>
        <w:tc>
          <w:tcPr>
            <w:tcW w:w="1251" w:type="pct"/>
            <w:vAlign w:val="center"/>
          </w:tcPr>
          <w:p w14:paraId="473EBB0C" w14:textId="6CE314E4" w:rsidR="00492B9B" w:rsidRPr="00FC64BF" w:rsidRDefault="006C5671" w:rsidP="00A01E1C">
            <w:pPr>
              <w:jc w:val="center"/>
              <w:rPr>
                <w:rFonts w:cs="Times New Roman"/>
                <w:sz w:val="20"/>
                <w:szCs w:val="20"/>
              </w:rPr>
            </w:pPr>
            <w:r w:rsidRPr="00FC64BF">
              <w:rPr>
                <w:rFonts w:cs="Times New Roman"/>
                <w:sz w:val="20"/>
                <w:szCs w:val="20"/>
              </w:rPr>
              <w:t xml:space="preserve">n/p </w:t>
            </w:r>
          </w:p>
        </w:tc>
        <w:tc>
          <w:tcPr>
            <w:tcW w:w="1095" w:type="pct"/>
            <w:vAlign w:val="center"/>
          </w:tcPr>
          <w:p w14:paraId="4C9A96B2" w14:textId="5EA56810" w:rsidR="00492B9B" w:rsidRPr="00FC64BF" w:rsidRDefault="006C5671" w:rsidP="00A01E1C">
            <w:pPr>
              <w:jc w:val="center"/>
              <w:rPr>
                <w:rFonts w:cs="Times New Roman"/>
                <w:sz w:val="20"/>
                <w:szCs w:val="20"/>
              </w:rPr>
            </w:pPr>
            <w:r w:rsidRPr="00FC64BF">
              <w:rPr>
                <w:rFonts w:cs="Times New Roman"/>
                <w:sz w:val="20"/>
                <w:szCs w:val="20"/>
              </w:rPr>
              <w:t xml:space="preserve">n/p </w:t>
            </w:r>
          </w:p>
        </w:tc>
        <w:tc>
          <w:tcPr>
            <w:tcW w:w="1092" w:type="pct"/>
            <w:vAlign w:val="center"/>
          </w:tcPr>
          <w:p w14:paraId="6194149C" w14:textId="0A9603C2" w:rsidR="00492B9B" w:rsidRPr="00FC64BF" w:rsidRDefault="006C5671" w:rsidP="00A01E1C">
            <w:pPr>
              <w:jc w:val="center"/>
              <w:rPr>
                <w:rFonts w:cs="Times New Roman"/>
                <w:sz w:val="20"/>
                <w:szCs w:val="20"/>
              </w:rPr>
            </w:pPr>
            <w:r w:rsidRPr="00FC64BF">
              <w:rPr>
                <w:rFonts w:cs="Times New Roman"/>
                <w:sz w:val="20"/>
                <w:szCs w:val="20"/>
              </w:rPr>
              <w:t xml:space="preserve">n/p </w:t>
            </w:r>
          </w:p>
        </w:tc>
      </w:tr>
      <w:tr w:rsidR="00CE622A" w:rsidRPr="006C5671" w14:paraId="7862AA0C" w14:textId="77777777" w:rsidTr="002A04BF">
        <w:tc>
          <w:tcPr>
            <w:tcW w:w="1561" w:type="pct"/>
            <w:shd w:val="clear" w:color="auto" w:fill="F2F2F2" w:themeFill="background1" w:themeFillShade="F2"/>
            <w:vAlign w:val="center"/>
          </w:tcPr>
          <w:p w14:paraId="38C141A7" w14:textId="47E1D72C" w:rsidR="00492B9B" w:rsidRPr="00FC64BF" w:rsidRDefault="00492B9B" w:rsidP="002A04BF">
            <w:pPr>
              <w:rPr>
                <w:rFonts w:cs="Times New Roman"/>
                <w:b/>
                <w:sz w:val="20"/>
                <w:szCs w:val="20"/>
              </w:rPr>
            </w:pPr>
            <w:r w:rsidRPr="00FC64BF">
              <w:rPr>
                <w:rFonts w:cs="Times New Roman"/>
                <w:b/>
                <w:sz w:val="20"/>
                <w:szCs w:val="20"/>
              </w:rPr>
              <w:t>IZVORI FINANCIRANJA</w:t>
            </w:r>
          </w:p>
        </w:tc>
        <w:tc>
          <w:tcPr>
            <w:tcW w:w="1251" w:type="pct"/>
            <w:vAlign w:val="center"/>
          </w:tcPr>
          <w:p w14:paraId="690075B6" w14:textId="6CB9C3DA" w:rsidR="00492B9B" w:rsidRPr="00FC64BF" w:rsidRDefault="00492B9B" w:rsidP="002A04BF">
            <w:pPr>
              <w:jc w:val="center"/>
              <w:rPr>
                <w:rFonts w:cs="Times New Roman"/>
                <w:b/>
                <w:sz w:val="20"/>
                <w:szCs w:val="20"/>
              </w:rPr>
            </w:pPr>
            <w:r w:rsidRPr="00FC64BF">
              <w:rPr>
                <w:rFonts w:cs="Times New Roman"/>
                <w:b/>
                <w:sz w:val="20"/>
                <w:szCs w:val="20"/>
              </w:rPr>
              <w:t>Državni proračun (</w:t>
            </w:r>
            <w:r w:rsidR="00CF7C80" w:rsidRPr="00FC64BF">
              <w:rPr>
                <w:rFonts w:cs="Times New Roman"/>
                <w:b/>
                <w:sz w:val="20"/>
                <w:szCs w:val="20"/>
              </w:rPr>
              <w:t>EUR</w:t>
            </w:r>
            <w:r w:rsidRPr="00FC64BF">
              <w:rPr>
                <w:rFonts w:cs="Times New Roman"/>
                <w:b/>
                <w:sz w:val="20"/>
                <w:szCs w:val="20"/>
              </w:rPr>
              <w:t>)</w:t>
            </w:r>
          </w:p>
        </w:tc>
        <w:tc>
          <w:tcPr>
            <w:tcW w:w="1095" w:type="pct"/>
            <w:vAlign w:val="center"/>
          </w:tcPr>
          <w:p w14:paraId="51B0C359" w14:textId="2D9B841F" w:rsidR="00492B9B" w:rsidRPr="00FC64BF" w:rsidRDefault="00492B9B" w:rsidP="002A04BF">
            <w:pPr>
              <w:jc w:val="center"/>
              <w:rPr>
                <w:rFonts w:cs="Times New Roman"/>
                <w:b/>
                <w:sz w:val="20"/>
                <w:szCs w:val="20"/>
              </w:rPr>
            </w:pPr>
            <w:r w:rsidRPr="00FC64BF">
              <w:rPr>
                <w:rFonts w:cs="Times New Roman"/>
                <w:b/>
                <w:sz w:val="20"/>
                <w:szCs w:val="20"/>
              </w:rPr>
              <w:t>EU financiranje (</w:t>
            </w:r>
            <w:r w:rsidR="00CF7C80" w:rsidRPr="00FC64BF">
              <w:rPr>
                <w:rFonts w:cs="Times New Roman"/>
                <w:b/>
                <w:sz w:val="20"/>
                <w:szCs w:val="20"/>
              </w:rPr>
              <w:t>EUR</w:t>
            </w:r>
            <w:r w:rsidRPr="00FC64BF">
              <w:rPr>
                <w:rFonts w:cs="Times New Roman"/>
                <w:b/>
                <w:sz w:val="20"/>
                <w:szCs w:val="20"/>
              </w:rPr>
              <w:t>)</w:t>
            </w:r>
          </w:p>
        </w:tc>
        <w:tc>
          <w:tcPr>
            <w:tcW w:w="1092" w:type="pct"/>
            <w:vAlign w:val="center"/>
          </w:tcPr>
          <w:p w14:paraId="4C167609" w14:textId="77777777" w:rsidR="00454264" w:rsidRPr="00FC64BF" w:rsidRDefault="00492B9B" w:rsidP="002A04BF">
            <w:pPr>
              <w:jc w:val="center"/>
              <w:rPr>
                <w:rFonts w:cs="Times New Roman"/>
                <w:b/>
                <w:sz w:val="20"/>
                <w:szCs w:val="20"/>
              </w:rPr>
            </w:pPr>
            <w:r w:rsidRPr="00FC64BF">
              <w:rPr>
                <w:rFonts w:cs="Times New Roman"/>
                <w:b/>
                <w:sz w:val="20"/>
                <w:szCs w:val="20"/>
              </w:rPr>
              <w:t xml:space="preserve">Drugi izvori </w:t>
            </w:r>
          </w:p>
          <w:p w14:paraId="05430D52" w14:textId="14BB2677" w:rsidR="00492B9B" w:rsidRPr="00FC64BF" w:rsidRDefault="00492B9B" w:rsidP="002A04BF">
            <w:pPr>
              <w:jc w:val="center"/>
              <w:rPr>
                <w:rFonts w:cs="Times New Roman"/>
                <w:b/>
                <w:sz w:val="20"/>
                <w:szCs w:val="20"/>
              </w:rPr>
            </w:pPr>
            <w:r w:rsidRPr="00FC64BF">
              <w:rPr>
                <w:rFonts w:cs="Times New Roman"/>
                <w:b/>
                <w:sz w:val="20"/>
                <w:szCs w:val="20"/>
              </w:rPr>
              <w:t>(</w:t>
            </w:r>
            <w:r w:rsidR="00CF7C80" w:rsidRPr="00FC64BF">
              <w:rPr>
                <w:rFonts w:cs="Times New Roman"/>
                <w:b/>
                <w:sz w:val="20"/>
                <w:szCs w:val="20"/>
              </w:rPr>
              <w:t>EUR</w:t>
            </w:r>
            <w:r w:rsidRPr="00FC64BF">
              <w:rPr>
                <w:rFonts w:cs="Times New Roman"/>
                <w:b/>
                <w:sz w:val="20"/>
                <w:szCs w:val="20"/>
              </w:rPr>
              <w:t>)</w:t>
            </w:r>
          </w:p>
        </w:tc>
      </w:tr>
      <w:tr w:rsidR="00CE622A" w:rsidRPr="006C5671" w14:paraId="4D46C24D" w14:textId="77777777" w:rsidTr="002A04BF">
        <w:tc>
          <w:tcPr>
            <w:tcW w:w="1561" w:type="pct"/>
            <w:shd w:val="clear" w:color="auto" w:fill="F2F2F2" w:themeFill="background1" w:themeFillShade="F2"/>
            <w:vAlign w:val="center"/>
          </w:tcPr>
          <w:p w14:paraId="7C229574" w14:textId="60C07B03" w:rsidR="00CB4BE3" w:rsidRPr="00FC64BF" w:rsidRDefault="00CB4BE3" w:rsidP="0061594B">
            <w:pPr>
              <w:rPr>
                <w:rFonts w:cs="Times New Roman"/>
                <w:sz w:val="20"/>
                <w:szCs w:val="20"/>
              </w:rPr>
            </w:pPr>
            <w:r w:rsidRPr="00FC64BF">
              <w:rPr>
                <w:rFonts w:cs="Times New Roman"/>
                <w:sz w:val="20"/>
                <w:szCs w:val="20"/>
              </w:rPr>
              <w:t>Izvori financiranja u 202</w:t>
            </w:r>
            <w:r w:rsidR="004968E4" w:rsidRPr="00FC64BF">
              <w:rPr>
                <w:rFonts w:cs="Times New Roman"/>
                <w:sz w:val="20"/>
                <w:szCs w:val="20"/>
              </w:rPr>
              <w:t>4</w:t>
            </w:r>
            <w:r w:rsidRPr="00FC64BF">
              <w:rPr>
                <w:rFonts w:cs="Times New Roman"/>
                <w:sz w:val="20"/>
                <w:szCs w:val="20"/>
              </w:rPr>
              <w:t>. (proračunska pozicija i predviđeni iznos sredstava)</w:t>
            </w:r>
          </w:p>
        </w:tc>
        <w:tc>
          <w:tcPr>
            <w:tcW w:w="1251" w:type="pct"/>
            <w:vAlign w:val="center"/>
          </w:tcPr>
          <w:p w14:paraId="0809FF54" w14:textId="516E1B8D" w:rsidR="004968E4" w:rsidRPr="006C5671" w:rsidRDefault="004968E4" w:rsidP="004968E4">
            <w:pPr>
              <w:spacing w:line="276" w:lineRule="auto"/>
              <w:jc w:val="center"/>
              <w:rPr>
                <w:rFonts w:cs="Times New Roman"/>
                <w:bCs/>
                <w:sz w:val="20"/>
                <w:szCs w:val="18"/>
              </w:rPr>
            </w:pPr>
            <w:r w:rsidRPr="006C5671">
              <w:rPr>
                <w:rFonts w:cs="Times New Roman"/>
                <w:bCs/>
                <w:sz w:val="20"/>
                <w:szCs w:val="18"/>
              </w:rPr>
              <w:t>A681000-</w:t>
            </w:r>
            <w:r w:rsidR="002F7831">
              <w:rPr>
                <w:rFonts w:cs="Times New Roman"/>
                <w:bCs/>
                <w:sz w:val="20"/>
                <w:szCs w:val="18"/>
              </w:rPr>
              <w:t xml:space="preserve"> </w:t>
            </w:r>
            <w:r w:rsidRPr="006C5671">
              <w:rPr>
                <w:rFonts w:cs="Times New Roman"/>
                <w:bCs/>
                <w:sz w:val="20"/>
                <w:szCs w:val="18"/>
              </w:rPr>
              <w:t>Administracija i upravljanje</w:t>
            </w:r>
          </w:p>
          <w:p w14:paraId="55CC7029" w14:textId="283D6F86" w:rsidR="00CB4BE3" w:rsidRPr="00FC64BF" w:rsidRDefault="004968E4" w:rsidP="00A01E1C">
            <w:pPr>
              <w:jc w:val="center"/>
              <w:rPr>
                <w:rFonts w:cs="Times New Roman"/>
                <w:sz w:val="20"/>
                <w:szCs w:val="20"/>
              </w:rPr>
            </w:pPr>
            <w:r w:rsidRPr="006C5671">
              <w:rPr>
                <w:rFonts w:cs="Times New Roman"/>
                <w:bCs/>
                <w:sz w:val="20"/>
                <w:szCs w:val="18"/>
              </w:rPr>
              <w:t>0,00</w:t>
            </w:r>
            <w:r w:rsidR="00CB4BE3" w:rsidRPr="00FC64BF">
              <w:rPr>
                <w:rFonts w:cs="Times New Roman"/>
                <w:sz w:val="20"/>
                <w:szCs w:val="20"/>
              </w:rPr>
              <w:t>,00</w:t>
            </w:r>
          </w:p>
        </w:tc>
        <w:tc>
          <w:tcPr>
            <w:tcW w:w="1095" w:type="pct"/>
            <w:vAlign w:val="center"/>
          </w:tcPr>
          <w:p w14:paraId="6FFFC0FC" w14:textId="0823BFE0" w:rsidR="006C5671" w:rsidRPr="006C5671" w:rsidRDefault="006C5671" w:rsidP="006C5671">
            <w:pPr>
              <w:spacing w:line="276" w:lineRule="auto"/>
              <w:jc w:val="center"/>
              <w:rPr>
                <w:rFonts w:cs="Times New Roman"/>
                <w:bCs/>
                <w:sz w:val="20"/>
                <w:szCs w:val="18"/>
              </w:rPr>
            </w:pPr>
            <w:r w:rsidRPr="006C5671">
              <w:rPr>
                <w:rFonts w:cs="Times New Roman"/>
                <w:bCs/>
                <w:sz w:val="20"/>
                <w:szCs w:val="18"/>
              </w:rPr>
              <w:t>A681000-</w:t>
            </w:r>
            <w:r w:rsidR="002F7831">
              <w:rPr>
                <w:rFonts w:cs="Times New Roman"/>
                <w:bCs/>
                <w:sz w:val="20"/>
                <w:szCs w:val="18"/>
              </w:rPr>
              <w:t xml:space="preserve"> </w:t>
            </w:r>
            <w:r w:rsidRPr="006C5671">
              <w:rPr>
                <w:rFonts w:cs="Times New Roman"/>
                <w:bCs/>
                <w:sz w:val="20"/>
                <w:szCs w:val="18"/>
              </w:rPr>
              <w:t>Administracija i upravljanje</w:t>
            </w:r>
          </w:p>
          <w:p w14:paraId="1EF7B9D3" w14:textId="65B2B07F" w:rsidR="00CB4BE3" w:rsidRPr="00FC64BF" w:rsidRDefault="006C5671" w:rsidP="006D1F45">
            <w:pPr>
              <w:jc w:val="center"/>
              <w:rPr>
                <w:rFonts w:cs="Times New Roman"/>
                <w:sz w:val="20"/>
                <w:szCs w:val="20"/>
              </w:rPr>
            </w:pPr>
            <w:r w:rsidRPr="006C5671">
              <w:rPr>
                <w:rFonts w:cs="Times New Roman"/>
                <w:bCs/>
                <w:sz w:val="20"/>
                <w:szCs w:val="18"/>
              </w:rPr>
              <w:t>0,00</w:t>
            </w:r>
          </w:p>
        </w:tc>
        <w:tc>
          <w:tcPr>
            <w:tcW w:w="1092" w:type="pct"/>
            <w:vAlign w:val="center"/>
          </w:tcPr>
          <w:p w14:paraId="20A0A0D5" w14:textId="6D99FF3E" w:rsidR="00CB4BE3" w:rsidRPr="00FC64BF" w:rsidRDefault="00CB4BE3" w:rsidP="002A04BF">
            <w:pPr>
              <w:jc w:val="center"/>
              <w:rPr>
                <w:rFonts w:cs="Times New Roman"/>
                <w:sz w:val="20"/>
                <w:szCs w:val="20"/>
              </w:rPr>
            </w:pPr>
            <w:r w:rsidRPr="00FC64BF">
              <w:rPr>
                <w:rFonts w:cs="Times New Roman"/>
                <w:sz w:val="20"/>
                <w:szCs w:val="20"/>
              </w:rPr>
              <w:t>0,00</w:t>
            </w:r>
          </w:p>
        </w:tc>
      </w:tr>
      <w:tr w:rsidR="00CE622A" w:rsidRPr="006C5671" w14:paraId="323D7F73" w14:textId="77777777" w:rsidTr="002A04BF">
        <w:tc>
          <w:tcPr>
            <w:tcW w:w="1561" w:type="pct"/>
            <w:vMerge w:val="restart"/>
            <w:shd w:val="clear" w:color="auto" w:fill="F2F2F2" w:themeFill="background1" w:themeFillShade="F2"/>
            <w:vAlign w:val="center"/>
          </w:tcPr>
          <w:p w14:paraId="2E98E348" w14:textId="3E089152" w:rsidR="00CB4BE3" w:rsidRPr="00FC64BF" w:rsidRDefault="00CB4BE3" w:rsidP="002A04BF">
            <w:pPr>
              <w:rPr>
                <w:rFonts w:cs="Times New Roman"/>
                <w:b/>
                <w:sz w:val="20"/>
                <w:szCs w:val="20"/>
              </w:rPr>
            </w:pPr>
            <w:r w:rsidRPr="00FC64BF">
              <w:rPr>
                <w:rFonts w:cs="Times New Roman"/>
                <w:b/>
                <w:sz w:val="20"/>
                <w:szCs w:val="20"/>
              </w:rPr>
              <w:t>UKUPNO UTROŠENA SREDSTVA PO IZVORU</w:t>
            </w:r>
          </w:p>
        </w:tc>
        <w:tc>
          <w:tcPr>
            <w:tcW w:w="1251" w:type="pct"/>
            <w:vAlign w:val="center"/>
          </w:tcPr>
          <w:p w14:paraId="3A541CCB" w14:textId="5FDC4705" w:rsidR="00CB4BE3" w:rsidRPr="00FC64BF" w:rsidRDefault="00CB4BE3" w:rsidP="002A04BF">
            <w:pPr>
              <w:jc w:val="center"/>
              <w:rPr>
                <w:rFonts w:cs="Times New Roman"/>
                <w:b/>
                <w:sz w:val="20"/>
                <w:szCs w:val="20"/>
              </w:rPr>
            </w:pPr>
            <w:r w:rsidRPr="00FC64BF">
              <w:rPr>
                <w:rFonts w:cs="Times New Roman"/>
                <w:b/>
                <w:sz w:val="20"/>
                <w:szCs w:val="20"/>
              </w:rPr>
              <w:t>Državni proračun (EUR)</w:t>
            </w:r>
          </w:p>
        </w:tc>
        <w:tc>
          <w:tcPr>
            <w:tcW w:w="1095" w:type="pct"/>
            <w:vAlign w:val="center"/>
          </w:tcPr>
          <w:p w14:paraId="47E17734" w14:textId="209D6D93" w:rsidR="00CB4BE3" w:rsidRPr="00FC64BF" w:rsidRDefault="00CB4BE3" w:rsidP="002A04BF">
            <w:pPr>
              <w:jc w:val="center"/>
              <w:rPr>
                <w:rFonts w:cs="Times New Roman"/>
                <w:b/>
                <w:sz w:val="20"/>
                <w:szCs w:val="20"/>
              </w:rPr>
            </w:pPr>
            <w:r w:rsidRPr="00FC64BF">
              <w:rPr>
                <w:rFonts w:cs="Times New Roman"/>
                <w:b/>
                <w:sz w:val="20"/>
                <w:szCs w:val="20"/>
              </w:rPr>
              <w:t>EU financiranje (EUR)</w:t>
            </w:r>
          </w:p>
        </w:tc>
        <w:tc>
          <w:tcPr>
            <w:tcW w:w="1092" w:type="pct"/>
            <w:vAlign w:val="center"/>
          </w:tcPr>
          <w:p w14:paraId="205E2399" w14:textId="77777777" w:rsidR="00454264" w:rsidRPr="00FC64BF" w:rsidRDefault="00CB4BE3" w:rsidP="002A04BF">
            <w:pPr>
              <w:jc w:val="center"/>
              <w:rPr>
                <w:rFonts w:cs="Times New Roman"/>
                <w:b/>
                <w:sz w:val="20"/>
                <w:szCs w:val="20"/>
              </w:rPr>
            </w:pPr>
            <w:r w:rsidRPr="00FC64BF">
              <w:rPr>
                <w:rFonts w:cs="Times New Roman"/>
                <w:b/>
                <w:sz w:val="20"/>
                <w:szCs w:val="20"/>
              </w:rPr>
              <w:t xml:space="preserve">Drugi izvori </w:t>
            </w:r>
          </w:p>
          <w:p w14:paraId="2FA6EF77" w14:textId="568875A7" w:rsidR="00CB4BE3" w:rsidRPr="00FC64BF" w:rsidRDefault="00CB4BE3" w:rsidP="002A04BF">
            <w:pPr>
              <w:jc w:val="center"/>
              <w:rPr>
                <w:rFonts w:cs="Times New Roman"/>
                <w:b/>
                <w:sz w:val="20"/>
                <w:szCs w:val="20"/>
              </w:rPr>
            </w:pPr>
            <w:r w:rsidRPr="00FC64BF">
              <w:rPr>
                <w:rFonts w:cs="Times New Roman"/>
                <w:b/>
                <w:sz w:val="20"/>
                <w:szCs w:val="20"/>
              </w:rPr>
              <w:t>(EUR)</w:t>
            </w:r>
          </w:p>
        </w:tc>
      </w:tr>
      <w:tr w:rsidR="00CE622A" w:rsidRPr="006C5671" w14:paraId="7CA05CCD" w14:textId="77777777" w:rsidTr="002A04BF">
        <w:tc>
          <w:tcPr>
            <w:tcW w:w="1561" w:type="pct"/>
            <w:vMerge/>
            <w:shd w:val="clear" w:color="auto" w:fill="F2F2F2" w:themeFill="background1" w:themeFillShade="F2"/>
            <w:vAlign w:val="center"/>
          </w:tcPr>
          <w:p w14:paraId="7C4F22BC" w14:textId="77777777" w:rsidR="00CB4BE3" w:rsidRPr="00FC64BF" w:rsidRDefault="00CB4BE3" w:rsidP="002A04BF">
            <w:pPr>
              <w:rPr>
                <w:rFonts w:cs="Times New Roman"/>
                <w:b/>
                <w:sz w:val="20"/>
                <w:szCs w:val="20"/>
              </w:rPr>
            </w:pPr>
          </w:p>
        </w:tc>
        <w:tc>
          <w:tcPr>
            <w:tcW w:w="1251" w:type="pct"/>
            <w:vAlign w:val="center"/>
          </w:tcPr>
          <w:p w14:paraId="16CCCB85" w14:textId="5E84AB12" w:rsidR="006C5671" w:rsidRPr="006C5671" w:rsidRDefault="006C5671" w:rsidP="006C5671">
            <w:pPr>
              <w:spacing w:line="276" w:lineRule="auto"/>
              <w:jc w:val="center"/>
              <w:rPr>
                <w:rFonts w:cs="Times New Roman"/>
                <w:bCs/>
                <w:sz w:val="20"/>
                <w:szCs w:val="18"/>
              </w:rPr>
            </w:pPr>
            <w:r w:rsidRPr="006C5671">
              <w:rPr>
                <w:rFonts w:cs="Times New Roman"/>
                <w:bCs/>
                <w:sz w:val="20"/>
                <w:szCs w:val="18"/>
              </w:rPr>
              <w:t>A681000-</w:t>
            </w:r>
            <w:r w:rsidR="002F7831">
              <w:rPr>
                <w:rFonts w:cs="Times New Roman"/>
                <w:bCs/>
                <w:sz w:val="20"/>
                <w:szCs w:val="18"/>
              </w:rPr>
              <w:t xml:space="preserve"> </w:t>
            </w:r>
            <w:r w:rsidRPr="006C5671">
              <w:rPr>
                <w:rFonts w:cs="Times New Roman"/>
                <w:bCs/>
                <w:sz w:val="20"/>
                <w:szCs w:val="18"/>
              </w:rPr>
              <w:t>Administracija i upravljanje</w:t>
            </w:r>
          </w:p>
          <w:p w14:paraId="02F47CD6" w14:textId="1329DF04" w:rsidR="00CB4BE3" w:rsidRPr="00FC64BF" w:rsidRDefault="006C5671" w:rsidP="006C5671">
            <w:pPr>
              <w:jc w:val="center"/>
              <w:rPr>
                <w:rFonts w:cs="Times New Roman"/>
                <w:sz w:val="20"/>
                <w:szCs w:val="20"/>
              </w:rPr>
            </w:pPr>
            <w:r w:rsidRPr="006C5671">
              <w:rPr>
                <w:rFonts w:cs="Times New Roman"/>
                <w:bCs/>
                <w:sz w:val="20"/>
                <w:szCs w:val="18"/>
              </w:rPr>
              <w:t>0,00</w:t>
            </w:r>
          </w:p>
        </w:tc>
        <w:tc>
          <w:tcPr>
            <w:tcW w:w="1095" w:type="pct"/>
            <w:vAlign w:val="center"/>
          </w:tcPr>
          <w:p w14:paraId="73218B6E" w14:textId="22A3C24F" w:rsidR="006C5671" w:rsidRPr="006C5671" w:rsidRDefault="006C5671" w:rsidP="006C5671">
            <w:pPr>
              <w:spacing w:line="276" w:lineRule="auto"/>
              <w:jc w:val="center"/>
              <w:rPr>
                <w:rFonts w:cs="Times New Roman"/>
                <w:bCs/>
                <w:sz w:val="20"/>
                <w:szCs w:val="18"/>
              </w:rPr>
            </w:pPr>
            <w:r w:rsidRPr="006C5671">
              <w:rPr>
                <w:rFonts w:cs="Times New Roman"/>
                <w:bCs/>
                <w:sz w:val="20"/>
                <w:szCs w:val="18"/>
              </w:rPr>
              <w:t>A681000-</w:t>
            </w:r>
            <w:r w:rsidR="002F7831">
              <w:rPr>
                <w:rFonts w:cs="Times New Roman"/>
                <w:bCs/>
                <w:sz w:val="20"/>
                <w:szCs w:val="18"/>
              </w:rPr>
              <w:t xml:space="preserve"> </w:t>
            </w:r>
            <w:r w:rsidRPr="006C5671">
              <w:rPr>
                <w:rFonts w:cs="Times New Roman"/>
                <w:bCs/>
                <w:sz w:val="20"/>
                <w:szCs w:val="18"/>
              </w:rPr>
              <w:t>Administracija i upravljanje</w:t>
            </w:r>
          </w:p>
          <w:p w14:paraId="7865DF00" w14:textId="485D5EFD" w:rsidR="00CB4BE3" w:rsidRPr="00FC64BF" w:rsidRDefault="006C5671" w:rsidP="006D1F45">
            <w:pPr>
              <w:jc w:val="center"/>
              <w:rPr>
                <w:rFonts w:cs="Times New Roman"/>
                <w:sz w:val="20"/>
                <w:szCs w:val="20"/>
              </w:rPr>
            </w:pPr>
            <w:r w:rsidRPr="006C5671">
              <w:rPr>
                <w:rFonts w:cs="Times New Roman"/>
                <w:bCs/>
                <w:sz w:val="20"/>
                <w:szCs w:val="18"/>
              </w:rPr>
              <w:t>0,00</w:t>
            </w:r>
          </w:p>
        </w:tc>
        <w:tc>
          <w:tcPr>
            <w:tcW w:w="1092" w:type="pct"/>
            <w:vAlign w:val="center"/>
          </w:tcPr>
          <w:p w14:paraId="77290B38" w14:textId="69BBC490" w:rsidR="00CB4BE3" w:rsidRPr="00FC64BF" w:rsidRDefault="00CB4BE3" w:rsidP="002A04BF">
            <w:pPr>
              <w:jc w:val="center"/>
              <w:rPr>
                <w:rFonts w:cs="Times New Roman"/>
                <w:sz w:val="20"/>
                <w:szCs w:val="20"/>
              </w:rPr>
            </w:pPr>
            <w:r w:rsidRPr="00FC64BF">
              <w:rPr>
                <w:rFonts w:cs="Times New Roman"/>
                <w:sz w:val="20"/>
                <w:szCs w:val="20"/>
              </w:rPr>
              <w:t>0,00</w:t>
            </w:r>
          </w:p>
        </w:tc>
      </w:tr>
      <w:tr w:rsidR="00CE622A" w:rsidRPr="006C5671" w14:paraId="74EDA4D8" w14:textId="77777777" w:rsidTr="002A04BF">
        <w:tc>
          <w:tcPr>
            <w:tcW w:w="1561" w:type="pct"/>
            <w:shd w:val="clear" w:color="auto" w:fill="F2F2F2" w:themeFill="background1" w:themeFillShade="F2"/>
            <w:vAlign w:val="center"/>
          </w:tcPr>
          <w:p w14:paraId="2F150F3F" w14:textId="3D34118D" w:rsidR="00CB4BE3" w:rsidRPr="00FC64BF" w:rsidRDefault="00CB4BE3" w:rsidP="002A04BF">
            <w:pPr>
              <w:rPr>
                <w:rFonts w:cs="Times New Roman"/>
                <w:sz w:val="20"/>
                <w:szCs w:val="20"/>
              </w:rPr>
            </w:pPr>
            <w:r w:rsidRPr="00FC64BF">
              <w:rPr>
                <w:rFonts w:cs="Times New Roman"/>
                <w:sz w:val="20"/>
                <w:szCs w:val="20"/>
              </w:rPr>
              <w:t xml:space="preserve">ROK PROVEDBE </w:t>
            </w:r>
            <w:r w:rsidR="00454264" w:rsidRPr="00FC64BF">
              <w:rPr>
                <w:rFonts w:cs="Times New Roman"/>
                <w:sz w:val="20"/>
                <w:szCs w:val="20"/>
              </w:rPr>
              <w:t>A</w:t>
            </w:r>
            <w:r w:rsidRPr="00FC64BF">
              <w:rPr>
                <w:rFonts w:cs="Times New Roman"/>
                <w:sz w:val="20"/>
                <w:szCs w:val="20"/>
              </w:rPr>
              <w:t>KTIVNOSTI</w:t>
            </w:r>
          </w:p>
        </w:tc>
        <w:tc>
          <w:tcPr>
            <w:tcW w:w="3439" w:type="pct"/>
            <w:gridSpan w:val="3"/>
            <w:vAlign w:val="center"/>
          </w:tcPr>
          <w:p w14:paraId="55F6B795" w14:textId="6370B6FB" w:rsidR="00CB4BE3" w:rsidRPr="00FC64BF" w:rsidRDefault="00CB4BE3" w:rsidP="00D9050B">
            <w:pPr>
              <w:rPr>
                <w:rFonts w:cs="Times New Roman"/>
                <w:sz w:val="20"/>
                <w:szCs w:val="20"/>
              </w:rPr>
            </w:pPr>
            <w:r w:rsidRPr="00FC64BF">
              <w:rPr>
                <w:rFonts w:cs="Times New Roman"/>
                <w:sz w:val="20"/>
                <w:szCs w:val="20"/>
              </w:rPr>
              <w:t>IV. kvartal 2025.</w:t>
            </w:r>
          </w:p>
        </w:tc>
      </w:tr>
    </w:tbl>
    <w:p w14:paraId="6FEC1C92" w14:textId="77777777" w:rsidR="00447EFE" w:rsidRDefault="00447EFE" w:rsidP="004A3B23">
      <w:pPr>
        <w:spacing w:after="0" w:line="276" w:lineRule="auto"/>
        <w:jc w:val="both"/>
        <w:rPr>
          <w:rFonts w:cs="Times New Roman"/>
          <w:i/>
          <w:iCs/>
        </w:rPr>
      </w:pPr>
    </w:p>
    <w:p w14:paraId="2507197B" w14:textId="77777777" w:rsidR="003379F1" w:rsidRPr="00DC3D3E" w:rsidRDefault="003379F1" w:rsidP="004A3B23">
      <w:pPr>
        <w:spacing w:after="0" w:line="276" w:lineRule="auto"/>
        <w:jc w:val="both"/>
        <w:rPr>
          <w:rFonts w:cs="Times New Roman"/>
          <w:i/>
          <w:iCs/>
        </w:rPr>
      </w:pPr>
    </w:p>
    <w:p w14:paraId="6875A0D6" w14:textId="393E17CC" w:rsidR="00492B9B" w:rsidRPr="00FC64BF" w:rsidRDefault="00E6548D" w:rsidP="00D36147">
      <w:pPr>
        <w:spacing w:after="0" w:line="276" w:lineRule="auto"/>
        <w:jc w:val="both"/>
        <w:rPr>
          <w:rFonts w:cs="Times New Roman"/>
          <w:i/>
          <w:iCs/>
        </w:rPr>
      </w:pPr>
      <w:r w:rsidRPr="00FC64BF">
        <w:rPr>
          <w:rFonts w:cs="Times New Roman"/>
          <w:i/>
          <w:iCs/>
        </w:rPr>
        <w:t>Aktivnost 4.3.2. Osiguravanje izvanškolskih aktivnosti za djecu i mlade</w:t>
      </w:r>
    </w:p>
    <w:p w14:paraId="1E23CF91" w14:textId="4BA8C9BB" w:rsidR="00E6548D" w:rsidRPr="00FC64BF" w:rsidRDefault="00E6548D" w:rsidP="00D36147">
      <w:pPr>
        <w:spacing w:after="0" w:line="276" w:lineRule="auto"/>
        <w:jc w:val="both"/>
        <w:rPr>
          <w:rFonts w:cs="Times New Roman"/>
          <w:i/>
          <w:iCs/>
        </w:rPr>
      </w:pPr>
      <w:r w:rsidRPr="00FC64BF">
        <w:rPr>
          <w:rFonts w:cs="Times New Roman"/>
          <w:i/>
          <w:iCs/>
        </w:rPr>
        <w:t xml:space="preserve">Nositelj: Ured </w:t>
      </w:r>
      <w:r w:rsidR="00A73DF3" w:rsidRPr="00A73DF3">
        <w:rPr>
          <w:rFonts w:cs="Times New Roman"/>
          <w:i/>
          <w:iCs/>
        </w:rPr>
        <w:t>za ljudska prava i prava nacionalnih manjina</w:t>
      </w:r>
    </w:p>
    <w:p w14:paraId="285AE0CC" w14:textId="77777777" w:rsidR="004B7D2C" w:rsidRPr="00FC64BF" w:rsidRDefault="004B7D2C" w:rsidP="00D36147">
      <w:pPr>
        <w:spacing w:after="0" w:line="276" w:lineRule="auto"/>
        <w:jc w:val="both"/>
        <w:rPr>
          <w:rFonts w:cs="Times New Roman"/>
          <w:i/>
          <w:iCs/>
        </w:rPr>
      </w:pPr>
    </w:p>
    <w:p w14:paraId="057F0263" w14:textId="1D971D47" w:rsidR="004B7D2C" w:rsidRPr="00FC64BF" w:rsidRDefault="005B42C5" w:rsidP="00D36147">
      <w:pPr>
        <w:spacing w:after="0" w:line="276" w:lineRule="auto"/>
        <w:jc w:val="both"/>
        <w:rPr>
          <w:rFonts w:cs="Times New Roman"/>
        </w:rPr>
      </w:pPr>
      <w:bookmarkStart w:id="38" w:name="_Hlk166760588"/>
      <w:r w:rsidRPr="00FC64BF">
        <w:rPr>
          <w:rFonts w:cs="Times New Roman"/>
          <w:szCs w:val="24"/>
        </w:rPr>
        <w:t xml:space="preserve">Ured je u okviru ovog sektorskog cilja provodio pripremne aktivnosti s relevantnim dionicima, vijećima i predstavnicima nacionalnih manjina, predstavnicima </w:t>
      </w:r>
      <w:r w:rsidR="00FE7B55">
        <w:rPr>
          <w:rFonts w:cs="Times New Roman"/>
          <w:szCs w:val="24"/>
        </w:rPr>
        <w:t>JLP(R)S</w:t>
      </w:r>
      <w:r w:rsidRPr="00FC64BF">
        <w:rPr>
          <w:rFonts w:cs="Times New Roman"/>
          <w:szCs w:val="24"/>
        </w:rPr>
        <w:t>, civilnog društva i akademske zajednice. Tijekom 202</w:t>
      </w:r>
      <w:r w:rsidR="006C5671" w:rsidRPr="00FC64BF">
        <w:rPr>
          <w:rFonts w:cs="Times New Roman"/>
          <w:szCs w:val="24"/>
        </w:rPr>
        <w:t>4</w:t>
      </w:r>
      <w:r w:rsidRPr="00FC64BF">
        <w:rPr>
          <w:rFonts w:cs="Times New Roman"/>
          <w:szCs w:val="24"/>
        </w:rPr>
        <w:t>.</w:t>
      </w:r>
      <w:r w:rsidR="003379F1">
        <w:rPr>
          <w:rFonts w:cs="Times New Roman"/>
          <w:szCs w:val="24"/>
        </w:rPr>
        <w:t xml:space="preserve"> </w:t>
      </w:r>
      <w:r w:rsidR="00D9050B">
        <w:rPr>
          <w:rFonts w:cs="Times New Roman"/>
          <w:szCs w:val="24"/>
        </w:rPr>
        <w:t xml:space="preserve">godine </w:t>
      </w:r>
      <w:r w:rsidRPr="00FC64BF">
        <w:rPr>
          <w:rFonts w:cs="Times New Roman"/>
          <w:szCs w:val="24"/>
        </w:rPr>
        <w:t xml:space="preserve">nastavljena je suradnja s više </w:t>
      </w:r>
      <w:r w:rsidR="00FE7B55">
        <w:rPr>
          <w:rFonts w:cs="Times New Roman"/>
          <w:szCs w:val="24"/>
        </w:rPr>
        <w:t>JLP(R)S</w:t>
      </w:r>
      <w:r w:rsidRPr="00FC64BF">
        <w:rPr>
          <w:rFonts w:cs="Times New Roman"/>
          <w:szCs w:val="24"/>
        </w:rPr>
        <w:t xml:space="preserve">, romskim vijećima i predstavnicima, stručnjacima i stručnim udrugama na područjima antidiskriminacije, </w:t>
      </w:r>
      <w:r w:rsidRPr="00FC64BF">
        <w:rPr>
          <w:rFonts w:cs="Times New Roman"/>
          <w:szCs w:val="24"/>
        </w:rPr>
        <w:lastRenderedPageBreak/>
        <w:t>položaja djece i Romkinja, obrazovanja (osobito predškolskog odgoja i desegregacije), razvoja zajednice i jačanja socijalne kohezije na lokalnoj razini.</w:t>
      </w:r>
    </w:p>
    <w:p w14:paraId="5058D1D3" w14:textId="38B46B2C" w:rsidR="00454264" w:rsidRPr="00FC64BF" w:rsidRDefault="004968E4" w:rsidP="00D36147">
      <w:pPr>
        <w:spacing w:after="0" w:line="276" w:lineRule="auto"/>
        <w:jc w:val="both"/>
        <w:rPr>
          <w:rFonts w:cs="Times New Roman"/>
        </w:rPr>
      </w:pPr>
      <w:r w:rsidRPr="006C5671">
        <w:rPr>
          <w:rFonts w:cs="Times New Roman"/>
          <w:szCs w:val="24"/>
        </w:rPr>
        <w:t>Obavljeni su terenski posjeti Brodsko-posavskoj, Istarskoj, Međimurskoj, Osječko-baranjskoj i Sisačko-moslavačkoj županiji</w:t>
      </w:r>
      <w:r w:rsidRPr="00FC64BF">
        <w:rPr>
          <w:rFonts w:cs="Times New Roman"/>
        </w:rPr>
        <w:t>.</w:t>
      </w:r>
      <w:r w:rsidR="00DF0F76" w:rsidRPr="00FC64BF">
        <w:rPr>
          <w:rFonts w:cs="Times New Roman"/>
        </w:rPr>
        <w:t xml:space="preserve"> </w:t>
      </w:r>
    </w:p>
    <w:p w14:paraId="0A3F2A21" w14:textId="77777777" w:rsidR="00E5482D" w:rsidRPr="00FC64BF" w:rsidRDefault="00E5482D" w:rsidP="00D36147">
      <w:pPr>
        <w:spacing w:after="0" w:line="276" w:lineRule="auto"/>
        <w:jc w:val="both"/>
        <w:rPr>
          <w:rFonts w:cs="Times New Roman"/>
        </w:rPr>
      </w:pPr>
    </w:p>
    <w:p w14:paraId="453417FC" w14:textId="09DF1DBE" w:rsidR="00005D9B" w:rsidRPr="00287FDA" w:rsidRDefault="004B7D2C" w:rsidP="00D36147">
      <w:pPr>
        <w:spacing w:after="0" w:line="276" w:lineRule="auto"/>
        <w:jc w:val="both"/>
        <w:rPr>
          <w:rFonts w:cs="Times New Roman"/>
        </w:rPr>
      </w:pPr>
      <w:r w:rsidRPr="00FC64BF">
        <w:rPr>
          <w:rFonts w:cs="Times New Roman"/>
        </w:rPr>
        <w:t>Objava Poziva na dostavu projektnog prijedloga kojim će se financirati ove aktivnosti, planirana je u 202</w:t>
      </w:r>
      <w:r w:rsidR="003379F1">
        <w:rPr>
          <w:rFonts w:cs="Times New Roman"/>
        </w:rPr>
        <w:t>5</w:t>
      </w:r>
      <w:r w:rsidRPr="00FC64BF">
        <w:rPr>
          <w:rFonts w:cs="Times New Roman"/>
        </w:rPr>
        <w:t xml:space="preserve">. </w:t>
      </w:r>
    </w:p>
    <w:p w14:paraId="3401EC17" w14:textId="77777777" w:rsidR="00287FDA" w:rsidRPr="00287FDA" w:rsidRDefault="00287FDA" w:rsidP="00D36147">
      <w:pPr>
        <w:spacing w:after="0" w:line="276" w:lineRule="auto"/>
        <w:jc w:val="both"/>
        <w:rPr>
          <w:rFonts w:cs="Times New Roman"/>
        </w:rPr>
      </w:pPr>
    </w:p>
    <w:tbl>
      <w:tblPr>
        <w:tblStyle w:val="TableGrid"/>
        <w:tblpPr w:leftFromText="180" w:rightFromText="180" w:vertAnchor="text" w:horzAnchor="margin" w:tblpY="181"/>
        <w:tblW w:w="5000" w:type="pct"/>
        <w:tblLayout w:type="fixed"/>
        <w:tblLook w:val="04A0" w:firstRow="1" w:lastRow="0" w:firstColumn="1" w:lastColumn="0" w:noHBand="0" w:noVBand="1"/>
      </w:tblPr>
      <w:tblGrid>
        <w:gridCol w:w="2646"/>
        <w:gridCol w:w="2510"/>
        <w:gridCol w:w="2092"/>
        <w:gridCol w:w="1814"/>
      </w:tblGrid>
      <w:tr w:rsidR="00CE622A" w:rsidRPr="00CE622A" w14:paraId="21C3E93C" w14:textId="77777777" w:rsidTr="00B66CD2">
        <w:trPr>
          <w:trHeight w:val="558"/>
        </w:trPr>
        <w:tc>
          <w:tcPr>
            <w:tcW w:w="1460" w:type="pct"/>
            <w:shd w:val="clear" w:color="auto" w:fill="F2F2F2" w:themeFill="background1" w:themeFillShade="F2"/>
            <w:vAlign w:val="center"/>
          </w:tcPr>
          <w:bookmarkEnd w:id="38"/>
          <w:p w14:paraId="08604628" w14:textId="5D55ECCB" w:rsidR="00CF7C80" w:rsidRPr="00A86FA4" w:rsidRDefault="007E61F3" w:rsidP="002A04BF">
            <w:pPr>
              <w:rPr>
                <w:rFonts w:cs="Times New Roman"/>
                <w:b/>
                <w:sz w:val="20"/>
                <w:szCs w:val="20"/>
              </w:rPr>
            </w:pPr>
            <w:r w:rsidRPr="00A86FA4">
              <w:rPr>
                <w:rFonts w:cs="Times New Roman"/>
                <w:b/>
                <w:sz w:val="20"/>
                <w:szCs w:val="20"/>
              </w:rPr>
              <w:t>Pokazatelji provedbe i pokazatelji uspješnosti provedbe</w:t>
            </w:r>
          </w:p>
        </w:tc>
        <w:tc>
          <w:tcPr>
            <w:tcW w:w="1385" w:type="pct"/>
            <w:shd w:val="clear" w:color="auto" w:fill="F2F2F2" w:themeFill="background1" w:themeFillShade="F2"/>
            <w:vAlign w:val="center"/>
          </w:tcPr>
          <w:p w14:paraId="70702819" w14:textId="3D22BAF7" w:rsidR="00CF7C80" w:rsidRPr="00A86FA4" w:rsidRDefault="00CF7C80" w:rsidP="002A04BF">
            <w:pPr>
              <w:jc w:val="center"/>
              <w:rPr>
                <w:rFonts w:cs="Times New Roman"/>
                <w:b/>
                <w:sz w:val="20"/>
                <w:szCs w:val="20"/>
              </w:rPr>
            </w:pPr>
            <w:r w:rsidRPr="00A86FA4">
              <w:rPr>
                <w:rFonts w:cs="Times New Roman"/>
                <w:b/>
                <w:sz w:val="20"/>
                <w:szCs w:val="20"/>
              </w:rPr>
              <w:t>Broj podržanih projekata</w:t>
            </w:r>
          </w:p>
        </w:tc>
        <w:tc>
          <w:tcPr>
            <w:tcW w:w="1154" w:type="pct"/>
            <w:shd w:val="clear" w:color="auto" w:fill="F2F2F2" w:themeFill="background1" w:themeFillShade="F2"/>
            <w:vAlign w:val="center"/>
          </w:tcPr>
          <w:p w14:paraId="19BF306F" w14:textId="428E7CA0" w:rsidR="00CF7C80" w:rsidRPr="00A86FA4" w:rsidRDefault="00CF7C80" w:rsidP="002A04BF">
            <w:pPr>
              <w:jc w:val="center"/>
              <w:rPr>
                <w:rFonts w:cs="Times New Roman"/>
                <w:b/>
                <w:sz w:val="20"/>
                <w:szCs w:val="20"/>
              </w:rPr>
            </w:pPr>
            <w:r w:rsidRPr="00A86FA4">
              <w:rPr>
                <w:rFonts w:cs="Times New Roman"/>
                <w:b/>
                <w:sz w:val="20"/>
                <w:szCs w:val="20"/>
              </w:rPr>
              <w:t>Broj djece korisnika usluga</w:t>
            </w:r>
          </w:p>
        </w:tc>
        <w:tc>
          <w:tcPr>
            <w:tcW w:w="1001" w:type="pct"/>
            <w:shd w:val="clear" w:color="auto" w:fill="F2F2F2" w:themeFill="background1" w:themeFillShade="F2"/>
            <w:vAlign w:val="center"/>
          </w:tcPr>
          <w:p w14:paraId="6266EDF6" w14:textId="6E70420A" w:rsidR="00CF7C80" w:rsidRPr="00A86FA4" w:rsidRDefault="00CF7C80" w:rsidP="002A04BF">
            <w:pPr>
              <w:jc w:val="center"/>
              <w:rPr>
                <w:rFonts w:cs="Times New Roman"/>
                <w:b/>
                <w:sz w:val="20"/>
                <w:szCs w:val="20"/>
              </w:rPr>
            </w:pPr>
          </w:p>
        </w:tc>
      </w:tr>
      <w:tr w:rsidR="00CE622A" w:rsidRPr="00CE622A" w14:paraId="494256B6" w14:textId="77777777" w:rsidTr="00B66CD2">
        <w:tc>
          <w:tcPr>
            <w:tcW w:w="1460" w:type="pct"/>
            <w:shd w:val="clear" w:color="auto" w:fill="F2F2F2" w:themeFill="background1" w:themeFillShade="F2"/>
            <w:vAlign w:val="center"/>
          </w:tcPr>
          <w:p w14:paraId="73D767BA" w14:textId="4F84A9CF" w:rsidR="00CF7C80" w:rsidRPr="00A86FA4" w:rsidRDefault="00CF7C80" w:rsidP="0061594B">
            <w:pPr>
              <w:rPr>
                <w:rFonts w:cs="Times New Roman"/>
                <w:sz w:val="20"/>
                <w:szCs w:val="20"/>
              </w:rPr>
            </w:pPr>
            <w:r w:rsidRPr="00A86FA4">
              <w:rPr>
                <w:rFonts w:cs="Times New Roman"/>
                <w:sz w:val="20"/>
                <w:szCs w:val="20"/>
              </w:rPr>
              <w:t>Planirani ishodi za pokazatelje provedbe u 202</w:t>
            </w:r>
            <w:r w:rsidR="006C5671" w:rsidRPr="00A86FA4">
              <w:rPr>
                <w:rFonts w:cs="Times New Roman"/>
                <w:sz w:val="20"/>
                <w:szCs w:val="20"/>
              </w:rPr>
              <w:t>4</w:t>
            </w:r>
            <w:r w:rsidRPr="00A86FA4">
              <w:rPr>
                <w:rFonts w:cs="Times New Roman"/>
                <w:sz w:val="20"/>
                <w:szCs w:val="20"/>
              </w:rPr>
              <w:t xml:space="preserve">. </w:t>
            </w:r>
          </w:p>
        </w:tc>
        <w:tc>
          <w:tcPr>
            <w:tcW w:w="1385" w:type="pct"/>
            <w:vAlign w:val="center"/>
          </w:tcPr>
          <w:p w14:paraId="29B34EF8" w14:textId="5FD21588" w:rsidR="00CF7C80" w:rsidRPr="00A86FA4" w:rsidRDefault="006C5671" w:rsidP="00A01E1C">
            <w:pPr>
              <w:jc w:val="center"/>
              <w:rPr>
                <w:rFonts w:cs="Times New Roman"/>
                <w:sz w:val="20"/>
                <w:szCs w:val="20"/>
              </w:rPr>
            </w:pPr>
            <w:r w:rsidRPr="00A86FA4">
              <w:rPr>
                <w:rFonts w:cs="Times New Roman"/>
                <w:sz w:val="20"/>
                <w:szCs w:val="20"/>
              </w:rPr>
              <w:t>n/p</w:t>
            </w:r>
          </w:p>
        </w:tc>
        <w:tc>
          <w:tcPr>
            <w:tcW w:w="1154" w:type="pct"/>
            <w:vAlign w:val="center"/>
          </w:tcPr>
          <w:p w14:paraId="5EE9586F" w14:textId="1990F3A0" w:rsidR="00CF7C80" w:rsidRPr="00A86FA4" w:rsidRDefault="006C5671" w:rsidP="002A04BF">
            <w:pPr>
              <w:jc w:val="center"/>
              <w:rPr>
                <w:rFonts w:cs="Times New Roman"/>
                <w:sz w:val="20"/>
                <w:szCs w:val="20"/>
              </w:rPr>
            </w:pPr>
            <w:r w:rsidRPr="00A86FA4">
              <w:rPr>
                <w:rFonts w:cs="Times New Roman"/>
                <w:sz w:val="20"/>
                <w:szCs w:val="20"/>
              </w:rPr>
              <w:t>n/p</w:t>
            </w:r>
          </w:p>
        </w:tc>
        <w:tc>
          <w:tcPr>
            <w:tcW w:w="1001" w:type="pct"/>
            <w:vAlign w:val="center"/>
          </w:tcPr>
          <w:p w14:paraId="38F27A15" w14:textId="29E02407" w:rsidR="00CF7C80" w:rsidRPr="00A86FA4" w:rsidRDefault="00CF7C80" w:rsidP="002A04BF">
            <w:pPr>
              <w:jc w:val="center"/>
              <w:rPr>
                <w:rFonts w:cs="Times New Roman"/>
                <w:sz w:val="20"/>
                <w:szCs w:val="20"/>
              </w:rPr>
            </w:pPr>
          </w:p>
        </w:tc>
      </w:tr>
      <w:tr w:rsidR="00CE622A" w:rsidRPr="00CE622A" w14:paraId="071BCC8E" w14:textId="77777777" w:rsidTr="00B66CD2">
        <w:tc>
          <w:tcPr>
            <w:tcW w:w="1460" w:type="pct"/>
            <w:shd w:val="clear" w:color="auto" w:fill="F2F2F2" w:themeFill="background1" w:themeFillShade="F2"/>
            <w:vAlign w:val="center"/>
          </w:tcPr>
          <w:p w14:paraId="11057137" w14:textId="2F735559" w:rsidR="00CF7C80" w:rsidRPr="00A86FA4" w:rsidRDefault="00CF7C80" w:rsidP="0061594B">
            <w:pPr>
              <w:rPr>
                <w:rFonts w:cs="Times New Roman"/>
                <w:sz w:val="20"/>
                <w:szCs w:val="20"/>
              </w:rPr>
            </w:pPr>
            <w:r w:rsidRPr="00A86FA4">
              <w:rPr>
                <w:rFonts w:cs="Times New Roman"/>
                <w:sz w:val="20"/>
                <w:szCs w:val="20"/>
              </w:rPr>
              <w:t>Ostvareni ishodi za pokazatelje provedbe u 202</w:t>
            </w:r>
            <w:r w:rsidR="006C5671" w:rsidRPr="00A86FA4">
              <w:rPr>
                <w:rFonts w:cs="Times New Roman"/>
                <w:sz w:val="20"/>
                <w:szCs w:val="20"/>
              </w:rPr>
              <w:t>4</w:t>
            </w:r>
            <w:r w:rsidRPr="00A86FA4">
              <w:rPr>
                <w:rFonts w:cs="Times New Roman"/>
                <w:sz w:val="20"/>
                <w:szCs w:val="20"/>
              </w:rPr>
              <w:t xml:space="preserve">. </w:t>
            </w:r>
          </w:p>
        </w:tc>
        <w:tc>
          <w:tcPr>
            <w:tcW w:w="1385" w:type="pct"/>
            <w:vAlign w:val="center"/>
          </w:tcPr>
          <w:p w14:paraId="18D51071" w14:textId="4EFE0B3A" w:rsidR="00CF7C80" w:rsidRPr="00A86FA4" w:rsidRDefault="006C5671" w:rsidP="002A04BF">
            <w:pPr>
              <w:jc w:val="center"/>
              <w:rPr>
                <w:rFonts w:cs="Times New Roman"/>
                <w:sz w:val="20"/>
                <w:szCs w:val="20"/>
              </w:rPr>
            </w:pPr>
            <w:r w:rsidRPr="00A86FA4">
              <w:rPr>
                <w:rFonts w:cs="Times New Roman"/>
                <w:sz w:val="20"/>
                <w:szCs w:val="20"/>
              </w:rPr>
              <w:t>n/p</w:t>
            </w:r>
            <w:r w:rsidRPr="00A86FA4" w:rsidDel="006C5671">
              <w:rPr>
                <w:rFonts w:cs="Times New Roman"/>
                <w:sz w:val="20"/>
                <w:szCs w:val="20"/>
              </w:rPr>
              <w:t xml:space="preserve"> </w:t>
            </w:r>
          </w:p>
        </w:tc>
        <w:tc>
          <w:tcPr>
            <w:tcW w:w="1154" w:type="pct"/>
            <w:vAlign w:val="center"/>
          </w:tcPr>
          <w:p w14:paraId="40E48123" w14:textId="03018019" w:rsidR="00CF7C80" w:rsidRPr="00A86FA4" w:rsidRDefault="006C5671" w:rsidP="002A04BF">
            <w:pPr>
              <w:jc w:val="center"/>
              <w:rPr>
                <w:rFonts w:cs="Times New Roman"/>
                <w:sz w:val="20"/>
                <w:szCs w:val="20"/>
              </w:rPr>
            </w:pPr>
            <w:r w:rsidRPr="00A86FA4">
              <w:rPr>
                <w:rFonts w:cs="Times New Roman"/>
                <w:sz w:val="20"/>
                <w:szCs w:val="20"/>
              </w:rPr>
              <w:t>n/p</w:t>
            </w:r>
            <w:r w:rsidRPr="00A86FA4" w:rsidDel="006C5671">
              <w:rPr>
                <w:rFonts w:cs="Times New Roman"/>
                <w:sz w:val="20"/>
                <w:szCs w:val="20"/>
              </w:rPr>
              <w:t xml:space="preserve"> </w:t>
            </w:r>
          </w:p>
        </w:tc>
        <w:tc>
          <w:tcPr>
            <w:tcW w:w="1001" w:type="pct"/>
            <w:vAlign w:val="center"/>
          </w:tcPr>
          <w:p w14:paraId="193AFD80" w14:textId="77777777" w:rsidR="00CF7C80" w:rsidRPr="00A86FA4" w:rsidRDefault="00CF7C80" w:rsidP="002A04BF">
            <w:pPr>
              <w:jc w:val="center"/>
              <w:rPr>
                <w:rFonts w:cs="Times New Roman"/>
                <w:sz w:val="20"/>
                <w:szCs w:val="20"/>
              </w:rPr>
            </w:pPr>
          </w:p>
        </w:tc>
      </w:tr>
      <w:tr w:rsidR="00CE622A" w:rsidRPr="00CE622A" w14:paraId="3B75F37C" w14:textId="77777777" w:rsidTr="00B66CD2">
        <w:tc>
          <w:tcPr>
            <w:tcW w:w="1460" w:type="pct"/>
            <w:shd w:val="clear" w:color="auto" w:fill="F2F2F2" w:themeFill="background1" w:themeFillShade="F2"/>
            <w:vAlign w:val="center"/>
          </w:tcPr>
          <w:p w14:paraId="508307C7" w14:textId="77777777" w:rsidR="00CF7C80" w:rsidRPr="00A86FA4" w:rsidRDefault="00CF7C80" w:rsidP="002A04BF">
            <w:pPr>
              <w:rPr>
                <w:rFonts w:cs="Times New Roman"/>
                <w:b/>
                <w:sz w:val="20"/>
                <w:szCs w:val="20"/>
              </w:rPr>
            </w:pPr>
            <w:r w:rsidRPr="00A86FA4">
              <w:rPr>
                <w:rFonts w:cs="Times New Roman"/>
                <w:b/>
                <w:sz w:val="20"/>
                <w:szCs w:val="20"/>
              </w:rPr>
              <w:t xml:space="preserve">IZVORI FINANCIRANJA </w:t>
            </w:r>
          </w:p>
        </w:tc>
        <w:tc>
          <w:tcPr>
            <w:tcW w:w="1385" w:type="pct"/>
            <w:vAlign w:val="center"/>
          </w:tcPr>
          <w:p w14:paraId="78842869" w14:textId="77777777" w:rsidR="00E7549B" w:rsidRPr="00A86FA4" w:rsidRDefault="00CF7C80" w:rsidP="002A04BF">
            <w:pPr>
              <w:jc w:val="center"/>
              <w:rPr>
                <w:rFonts w:cs="Times New Roman"/>
                <w:b/>
                <w:sz w:val="20"/>
                <w:szCs w:val="20"/>
              </w:rPr>
            </w:pPr>
            <w:r w:rsidRPr="00A86FA4">
              <w:rPr>
                <w:rFonts w:cs="Times New Roman"/>
                <w:b/>
                <w:sz w:val="20"/>
                <w:szCs w:val="20"/>
              </w:rPr>
              <w:t>Državni proračun</w:t>
            </w:r>
          </w:p>
          <w:p w14:paraId="4DCE2CDE" w14:textId="010F2D46" w:rsidR="00CF7C80" w:rsidRPr="00A86FA4" w:rsidRDefault="00CF7C80" w:rsidP="002A04BF">
            <w:pPr>
              <w:jc w:val="center"/>
              <w:rPr>
                <w:rFonts w:cs="Times New Roman"/>
                <w:b/>
                <w:sz w:val="20"/>
                <w:szCs w:val="20"/>
              </w:rPr>
            </w:pPr>
            <w:r w:rsidRPr="00A86FA4">
              <w:rPr>
                <w:rFonts w:cs="Times New Roman"/>
                <w:b/>
                <w:sz w:val="20"/>
                <w:szCs w:val="20"/>
              </w:rPr>
              <w:t xml:space="preserve"> (EUR)</w:t>
            </w:r>
          </w:p>
        </w:tc>
        <w:tc>
          <w:tcPr>
            <w:tcW w:w="1154" w:type="pct"/>
            <w:vAlign w:val="center"/>
          </w:tcPr>
          <w:p w14:paraId="799C16BD" w14:textId="77777777" w:rsidR="00CF7C80" w:rsidRPr="00A86FA4" w:rsidRDefault="00CF7C80" w:rsidP="002A04BF">
            <w:pPr>
              <w:jc w:val="center"/>
              <w:rPr>
                <w:rFonts w:cs="Times New Roman"/>
                <w:b/>
                <w:sz w:val="20"/>
                <w:szCs w:val="20"/>
              </w:rPr>
            </w:pPr>
            <w:r w:rsidRPr="00A86FA4">
              <w:rPr>
                <w:rFonts w:cs="Times New Roman"/>
                <w:b/>
                <w:sz w:val="20"/>
                <w:szCs w:val="20"/>
              </w:rPr>
              <w:t>EU financiranje (EUR)</w:t>
            </w:r>
          </w:p>
        </w:tc>
        <w:tc>
          <w:tcPr>
            <w:tcW w:w="1001" w:type="pct"/>
            <w:vAlign w:val="center"/>
          </w:tcPr>
          <w:p w14:paraId="7421458C" w14:textId="77777777" w:rsidR="00CF7C80" w:rsidRPr="00A86FA4" w:rsidRDefault="00CF7C80" w:rsidP="002A04BF">
            <w:pPr>
              <w:jc w:val="center"/>
              <w:rPr>
                <w:rFonts w:cs="Times New Roman"/>
                <w:b/>
                <w:sz w:val="20"/>
                <w:szCs w:val="20"/>
              </w:rPr>
            </w:pPr>
            <w:r w:rsidRPr="00A86FA4">
              <w:rPr>
                <w:rFonts w:cs="Times New Roman"/>
                <w:b/>
                <w:sz w:val="20"/>
                <w:szCs w:val="20"/>
              </w:rPr>
              <w:t>Drugi izvori (EUR)</w:t>
            </w:r>
          </w:p>
        </w:tc>
      </w:tr>
      <w:tr w:rsidR="00CE622A" w:rsidRPr="00CE622A" w14:paraId="0F574C19" w14:textId="77777777" w:rsidTr="00B66CD2">
        <w:tc>
          <w:tcPr>
            <w:tcW w:w="1460" w:type="pct"/>
            <w:shd w:val="clear" w:color="auto" w:fill="F2F2F2" w:themeFill="background1" w:themeFillShade="F2"/>
            <w:vAlign w:val="center"/>
          </w:tcPr>
          <w:p w14:paraId="370ABDFB" w14:textId="769E076D" w:rsidR="00CF7C80" w:rsidRPr="00A86FA4" w:rsidRDefault="00CF7C80" w:rsidP="0061594B">
            <w:pPr>
              <w:rPr>
                <w:rFonts w:cs="Times New Roman"/>
                <w:sz w:val="20"/>
                <w:szCs w:val="20"/>
              </w:rPr>
            </w:pPr>
            <w:r w:rsidRPr="00A86FA4">
              <w:rPr>
                <w:rFonts w:cs="Times New Roman"/>
                <w:sz w:val="20"/>
                <w:szCs w:val="20"/>
              </w:rPr>
              <w:t>Izvori financiranja u 202</w:t>
            </w:r>
            <w:r w:rsidR="006C5671" w:rsidRPr="00A86FA4">
              <w:rPr>
                <w:rFonts w:cs="Times New Roman"/>
                <w:sz w:val="20"/>
                <w:szCs w:val="20"/>
              </w:rPr>
              <w:t>4</w:t>
            </w:r>
            <w:r w:rsidRPr="00A86FA4">
              <w:rPr>
                <w:rFonts w:cs="Times New Roman"/>
                <w:sz w:val="20"/>
                <w:szCs w:val="20"/>
              </w:rPr>
              <w:t>. (proračunska pozicija i predviđeni iznos sredstava)</w:t>
            </w:r>
          </w:p>
        </w:tc>
        <w:tc>
          <w:tcPr>
            <w:tcW w:w="1385" w:type="pct"/>
            <w:vAlign w:val="center"/>
          </w:tcPr>
          <w:p w14:paraId="17127621" w14:textId="36301CF0" w:rsidR="00C43A46" w:rsidRPr="00802CE3" w:rsidRDefault="00C43A46" w:rsidP="00C43A46">
            <w:pPr>
              <w:spacing w:line="276" w:lineRule="auto"/>
              <w:jc w:val="center"/>
              <w:rPr>
                <w:rFonts w:cs="Times New Roman"/>
                <w:bCs/>
                <w:sz w:val="20"/>
                <w:szCs w:val="20"/>
              </w:rPr>
            </w:pPr>
            <w:r w:rsidRPr="00802CE3">
              <w:rPr>
                <w:rFonts w:cs="Times New Roman"/>
                <w:bCs/>
                <w:sz w:val="20"/>
                <w:szCs w:val="20"/>
              </w:rPr>
              <w:t>A681000-</w:t>
            </w:r>
            <w:r w:rsidR="002F7831">
              <w:rPr>
                <w:rFonts w:cs="Times New Roman"/>
                <w:bCs/>
                <w:sz w:val="20"/>
                <w:szCs w:val="20"/>
              </w:rPr>
              <w:t xml:space="preserve"> </w:t>
            </w:r>
            <w:r w:rsidRPr="00802CE3">
              <w:rPr>
                <w:rFonts w:cs="Times New Roman"/>
                <w:bCs/>
                <w:sz w:val="20"/>
                <w:szCs w:val="20"/>
              </w:rPr>
              <w:t>Administracija i upravljanje</w:t>
            </w:r>
          </w:p>
          <w:p w14:paraId="0A57A8A1" w14:textId="58A9AA24" w:rsidR="00454264" w:rsidRPr="00A86FA4" w:rsidRDefault="00C43A46" w:rsidP="00C43A46">
            <w:pPr>
              <w:jc w:val="center"/>
              <w:rPr>
                <w:rFonts w:cs="Times New Roman"/>
                <w:sz w:val="20"/>
                <w:szCs w:val="20"/>
              </w:rPr>
            </w:pPr>
            <w:r w:rsidRPr="00A86FA4">
              <w:rPr>
                <w:rFonts w:cs="Times New Roman"/>
                <w:bCs/>
                <w:sz w:val="20"/>
                <w:szCs w:val="20"/>
              </w:rPr>
              <w:t>0,00</w:t>
            </w:r>
            <w:r w:rsidRPr="00A86FA4">
              <w:rPr>
                <w:rFonts w:cs="Times New Roman"/>
                <w:sz w:val="20"/>
                <w:szCs w:val="20"/>
              </w:rPr>
              <w:t xml:space="preserve"> </w:t>
            </w:r>
          </w:p>
          <w:p w14:paraId="1E979F4C" w14:textId="5BD9C7C0" w:rsidR="00CF7C80" w:rsidRPr="00A86FA4" w:rsidRDefault="00CB4BE3" w:rsidP="006D1F45">
            <w:pPr>
              <w:jc w:val="center"/>
              <w:rPr>
                <w:rFonts w:cs="Times New Roman"/>
                <w:sz w:val="20"/>
                <w:szCs w:val="20"/>
              </w:rPr>
            </w:pPr>
            <w:r w:rsidRPr="00A86FA4">
              <w:rPr>
                <w:rFonts w:cs="Times New Roman"/>
                <w:sz w:val="20"/>
                <w:szCs w:val="20"/>
              </w:rPr>
              <w:t xml:space="preserve"> </w:t>
            </w:r>
          </w:p>
        </w:tc>
        <w:tc>
          <w:tcPr>
            <w:tcW w:w="1154" w:type="pct"/>
            <w:vAlign w:val="center"/>
          </w:tcPr>
          <w:p w14:paraId="35C0775F" w14:textId="22E2F8E5" w:rsidR="00C43A46" w:rsidRPr="00802CE3" w:rsidRDefault="00C43A46" w:rsidP="00C43A46">
            <w:pPr>
              <w:spacing w:line="276" w:lineRule="auto"/>
              <w:jc w:val="center"/>
              <w:rPr>
                <w:rFonts w:cs="Times New Roman"/>
                <w:bCs/>
                <w:sz w:val="20"/>
                <w:szCs w:val="20"/>
              </w:rPr>
            </w:pPr>
          </w:p>
          <w:p w14:paraId="20FBFDE0" w14:textId="080190BE" w:rsidR="00CF7C80" w:rsidRPr="00A86FA4" w:rsidRDefault="00C43A46" w:rsidP="006D1F45">
            <w:pPr>
              <w:jc w:val="center"/>
              <w:rPr>
                <w:rFonts w:cs="Times New Roman"/>
                <w:sz w:val="20"/>
                <w:szCs w:val="20"/>
              </w:rPr>
            </w:pPr>
            <w:r w:rsidRPr="00A86FA4">
              <w:rPr>
                <w:rFonts w:cs="Times New Roman"/>
                <w:bCs/>
                <w:sz w:val="20"/>
                <w:szCs w:val="20"/>
              </w:rPr>
              <w:t>0,00</w:t>
            </w:r>
          </w:p>
        </w:tc>
        <w:tc>
          <w:tcPr>
            <w:tcW w:w="1001" w:type="pct"/>
            <w:vAlign w:val="center"/>
          </w:tcPr>
          <w:p w14:paraId="7E47460D" w14:textId="77777777" w:rsidR="00CF7C80" w:rsidRPr="00A86FA4" w:rsidRDefault="00CF7C80" w:rsidP="002A04BF">
            <w:pPr>
              <w:jc w:val="center"/>
              <w:rPr>
                <w:rFonts w:cs="Times New Roman"/>
                <w:sz w:val="20"/>
                <w:szCs w:val="20"/>
              </w:rPr>
            </w:pPr>
            <w:r w:rsidRPr="00A86FA4">
              <w:rPr>
                <w:rFonts w:cs="Times New Roman"/>
                <w:sz w:val="20"/>
                <w:szCs w:val="20"/>
              </w:rPr>
              <w:t xml:space="preserve">0,00 </w:t>
            </w:r>
          </w:p>
        </w:tc>
      </w:tr>
      <w:tr w:rsidR="00CE622A" w:rsidRPr="00CE622A" w14:paraId="3218EBCB" w14:textId="77777777" w:rsidTr="00B66CD2">
        <w:tc>
          <w:tcPr>
            <w:tcW w:w="1460" w:type="pct"/>
            <w:vMerge w:val="restart"/>
            <w:shd w:val="clear" w:color="auto" w:fill="F2F2F2" w:themeFill="background1" w:themeFillShade="F2"/>
            <w:vAlign w:val="center"/>
          </w:tcPr>
          <w:p w14:paraId="230F19CD" w14:textId="77777777" w:rsidR="00CF7C80" w:rsidRPr="00A86FA4" w:rsidRDefault="00CF7C80" w:rsidP="002A04BF">
            <w:pPr>
              <w:rPr>
                <w:rFonts w:cs="Times New Roman"/>
                <w:b/>
                <w:sz w:val="20"/>
                <w:szCs w:val="20"/>
              </w:rPr>
            </w:pPr>
            <w:r w:rsidRPr="00A86FA4">
              <w:rPr>
                <w:rFonts w:cs="Times New Roman"/>
                <w:b/>
                <w:sz w:val="20"/>
                <w:szCs w:val="20"/>
              </w:rPr>
              <w:t xml:space="preserve">UKUPNO UTROŠENA SREDSTVA PO IZVORU </w:t>
            </w:r>
          </w:p>
        </w:tc>
        <w:tc>
          <w:tcPr>
            <w:tcW w:w="1385" w:type="pct"/>
            <w:vAlign w:val="center"/>
          </w:tcPr>
          <w:p w14:paraId="3E4883E9" w14:textId="77777777" w:rsidR="00E7549B" w:rsidRPr="00A86FA4" w:rsidRDefault="00CF7C80" w:rsidP="002A04BF">
            <w:pPr>
              <w:jc w:val="center"/>
              <w:rPr>
                <w:rFonts w:cs="Times New Roman"/>
                <w:b/>
                <w:sz w:val="20"/>
                <w:szCs w:val="20"/>
              </w:rPr>
            </w:pPr>
            <w:r w:rsidRPr="00A86FA4">
              <w:rPr>
                <w:rFonts w:cs="Times New Roman"/>
                <w:b/>
                <w:sz w:val="20"/>
                <w:szCs w:val="20"/>
              </w:rPr>
              <w:t>Državni proračun</w:t>
            </w:r>
          </w:p>
          <w:p w14:paraId="155D823A" w14:textId="7EF9654C" w:rsidR="00CF7C80" w:rsidRPr="00A86FA4" w:rsidRDefault="00CF7C80" w:rsidP="002A04BF">
            <w:pPr>
              <w:jc w:val="center"/>
              <w:rPr>
                <w:rFonts w:cs="Times New Roman"/>
                <w:b/>
                <w:sz w:val="20"/>
                <w:szCs w:val="20"/>
              </w:rPr>
            </w:pPr>
            <w:r w:rsidRPr="00A86FA4">
              <w:rPr>
                <w:rFonts w:cs="Times New Roman"/>
                <w:b/>
                <w:sz w:val="20"/>
                <w:szCs w:val="20"/>
              </w:rPr>
              <w:t xml:space="preserve"> (EUR)</w:t>
            </w:r>
          </w:p>
        </w:tc>
        <w:tc>
          <w:tcPr>
            <w:tcW w:w="1154" w:type="pct"/>
            <w:vAlign w:val="center"/>
          </w:tcPr>
          <w:p w14:paraId="3F5999C0" w14:textId="77777777" w:rsidR="00CF7C80" w:rsidRPr="00A86FA4" w:rsidRDefault="00CF7C80" w:rsidP="002A04BF">
            <w:pPr>
              <w:jc w:val="center"/>
              <w:rPr>
                <w:rFonts w:cs="Times New Roman"/>
                <w:b/>
                <w:sz w:val="20"/>
                <w:szCs w:val="20"/>
              </w:rPr>
            </w:pPr>
            <w:r w:rsidRPr="00A86FA4">
              <w:rPr>
                <w:rFonts w:cs="Times New Roman"/>
                <w:b/>
                <w:sz w:val="20"/>
                <w:szCs w:val="20"/>
              </w:rPr>
              <w:t>EU financiranje (EUR)</w:t>
            </w:r>
          </w:p>
        </w:tc>
        <w:tc>
          <w:tcPr>
            <w:tcW w:w="1001" w:type="pct"/>
            <w:vAlign w:val="center"/>
          </w:tcPr>
          <w:p w14:paraId="6B6C3ACE" w14:textId="77777777" w:rsidR="00CF7C80" w:rsidRPr="00A86FA4" w:rsidRDefault="00CF7C80" w:rsidP="002A04BF">
            <w:pPr>
              <w:jc w:val="center"/>
              <w:rPr>
                <w:rFonts w:cs="Times New Roman"/>
                <w:b/>
                <w:sz w:val="20"/>
                <w:szCs w:val="20"/>
              </w:rPr>
            </w:pPr>
            <w:r w:rsidRPr="00A86FA4">
              <w:rPr>
                <w:rFonts w:cs="Times New Roman"/>
                <w:b/>
                <w:sz w:val="20"/>
                <w:szCs w:val="20"/>
              </w:rPr>
              <w:t>Drugi izvori (EUR)</w:t>
            </w:r>
          </w:p>
        </w:tc>
      </w:tr>
      <w:tr w:rsidR="00CE622A" w:rsidRPr="00CE622A" w14:paraId="2AAA8B36" w14:textId="77777777" w:rsidTr="00B66CD2">
        <w:tc>
          <w:tcPr>
            <w:tcW w:w="1460" w:type="pct"/>
            <w:vMerge/>
            <w:shd w:val="clear" w:color="auto" w:fill="F2F2F2" w:themeFill="background1" w:themeFillShade="F2"/>
            <w:vAlign w:val="center"/>
          </w:tcPr>
          <w:p w14:paraId="011AA770" w14:textId="77777777" w:rsidR="00CF7C80" w:rsidRPr="00A86FA4" w:rsidRDefault="00CF7C80" w:rsidP="002A04BF">
            <w:pPr>
              <w:rPr>
                <w:rFonts w:cs="Times New Roman"/>
                <w:b/>
                <w:sz w:val="20"/>
                <w:szCs w:val="20"/>
              </w:rPr>
            </w:pPr>
          </w:p>
        </w:tc>
        <w:tc>
          <w:tcPr>
            <w:tcW w:w="1385" w:type="pct"/>
            <w:vAlign w:val="center"/>
          </w:tcPr>
          <w:p w14:paraId="603EFBCC" w14:textId="5DE0E746" w:rsidR="00C43A46" w:rsidRPr="00802CE3" w:rsidRDefault="00C43A46" w:rsidP="00C43A46">
            <w:pPr>
              <w:spacing w:line="276" w:lineRule="auto"/>
              <w:jc w:val="center"/>
              <w:rPr>
                <w:rFonts w:cs="Times New Roman"/>
                <w:bCs/>
                <w:sz w:val="20"/>
                <w:szCs w:val="20"/>
              </w:rPr>
            </w:pPr>
            <w:r w:rsidRPr="00802CE3">
              <w:rPr>
                <w:rFonts w:cs="Times New Roman"/>
                <w:bCs/>
                <w:sz w:val="20"/>
                <w:szCs w:val="20"/>
              </w:rPr>
              <w:t>A681000- Administracija i upravljanje</w:t>
            </w:r>
          </w:p>
          <w:p w14:paraId="76961B3F" w14:textId="3F1A86FD" w:rsidR="00CF7C80" w:rsidRPr="00A86FA4" w:rsidRDefault="00C43A46" w:rsidP="00C43A46">
            <w:pPr>
              <w:jc w:val="center"/>
              <w:rPr>
                <w:rFonts w:cs="Times New Roman"/>
                <w:sz w:val="20"/>
                <w:szCs w:val="20"/>
              </w:rPr>
            </w:pPr>
            <w:r w:rsidRPr="00A86FA4">
              <w:rPr>
                <w:rFonts w:cs="Times New Roman"/>
                <w:bCs/>
                <w:sz w:val="20"/>
                <w:szCs w:val="20"/>
              </w:rPr>
              <w:t>0,00</w:t>
            </w:r>
          </w:p>
        </w:tc>
        <w:tc>
          <w:tcPr>
            <w:tcW w:w="1154" w:type="pct"/>
            <w:vAlign w:val="center"/>
          </w:tcPr>
          <w:p w14:paraId="77A03C7E" w14:textId="280C0A9B" w:rsidR="00CF7C80" w:rsidRPr="00A86FA4" w:rsidRDefault="003D7170" w:rsidP="002A04BF">
            <w:pPr>
              <w:jc w:val="center"/>
              <w:rPr>
                <w:rFonts w:cs="Times New Roman"/>
                <w:sz w:val="20"/>
                <w:szCs w:val="20"/>
              </w:rPr>
            </w:pPr>
            <w:r w:rsidRPr="00A86FA4">
              <w:rPr>
                <w:rFonts w:cs="Times New Roman"/>
                <w:sz w:val="20"/>
                <w:szCs w:val="20"/>
              </w:rPr>
              <w:t>0,00</w:t>
            </w:r>
          </w:p>
        </w:tc>
        <w:tc>
          <w:tcPr>
            <w:tcW w:w="1001" w:type="pct"/>
            <w:vAlign w:val="center"/>
          </w:tcPr>
          <w:p w14:paraId="593D95D9" w14:textId="77777777" w:rsidR="00CF7C80" w:rsidRPr="00A86FA4" w:rsidRDefault="00CF7C80" w:rsidP="002A04BF">
            <w:pPr>
              <w:jc w:val="center"/>
              <w:rPr>
                <w:rFonts w:cs="Times New Roman"/>
                <w:sz w:val="20"/>
                <w:szCs w:val="20"/>
              </w:rPr>
            </w:pPr>
            <w:r w:rsidRPr="00A86FA4">
              <w:rPr>
                <w:rFonts w:cs="Times New Roman"/>
                <w:sz w:val="20"/>
                <w:szCs w:val="20"/>
              </w:rPr>
              <w:t xml:space="preserve">0,00 </w:t>
            </w:r>
          </w:p>
        </w:tc>
      </w:tr>
      <w:tr w:rsidR="00CE622A" w:rsidRPr="00CE622A" w14:paraId="25EC5943" w14:textId="77777777" w:rsidTr="00B66CD2">
        <w:tc>
          <w:tcPr>
            <w:tcW w:w="1460" w:type="pct"/>
            <w:shd w:val="clear" w:color="auto" w:fill="F2F2F2" w:themeFill="background1" w:themeFillShade="F2"/>
            <w:vAlign w:val="center"/>
          </w:tcPr>
          <w:p w14:paraId="6BAB673D" w14:textId="3CFFE2A6" w:rsidR="00CF7C80" w:rsidRPr="00A86FA4" w:rsidRDefault="00CF7C80" w:rsidP="002A04BF">
            <w:pPr>
              <w:rPr>
                <w:rFonts w:cs="Times New Roman"/>
                <w:sz w:val="20"/>
                <w:szCs w:val="20"/>
              </w:rPr>
            </w:pPr>
            <w:r w:rsidRPr="00A86FA4">
              <w:rPr>
                <w:rFonts w:cs="Times New Roman"/>
                <w:sz w:val="20"/>
                <w:szCs w:val="20"/>
              </w:rPr>
              <w:t>ROK PROVEDBE AKTIVNOSTI</w:t>
            </w:r>
          </w:p>
        </w:tc>
        <w:tc>
          <w:tcPr>
            <w:tcW w:w="3540" w:type="pct"/>
            <w:gridSpan w:val="3"/>
            <w:vAlign w:val="center"/>
          </w:tcPr>
          <w:p w14:paraId="29A47A16" w14:textId="77777777" w:rsidR="00CF7C80" w:rsidRPr="00A86FA4" w:rsidRDefault="00CF7C80" w:rsidP="002A04BF">
            <w:pPr>
              <w:rPr>
                <w:rFonts w:cs="Times New Roman"/>
                <w:sz w:val="20"/>
                <w:szCs w:val="20"/>
              </w:rPr>
            </w:pPr>
            <w:r w:rsidRPr="00A86FA4">
              <w:rPr>
                <w:rFonts w:cs="Times New Roman"/>
                <w:sz w:val="20"/>
                <w:szCs w:val="20"/>
              </w:rPr>
              <w:t xml:space="preserve">IV. kvartal 2025. </w:t>
            </w:r>
          </w:p>
        </w:tc>
      </w:tr>
    </w:tbl>
    <w:p w14:paraId="47C1E6EE" w14:textId="77777777" w:rsidR="00454264" w:rsidRDefault="00454264" w:rsidP="00D36147">
      <w:pPr>
        <w:spacing w:after="0" w:line="276" w:lineRule="auto"/>
        <w:jc w:val="both"/>
        <w:rPr>
          <w:rFonts w:cs="Times New Roman"/>
          <w:b/>
          <w:iCs/>
          <w:color w:val="FF0000"/>
        </w:rPr>
      </w:pPr>
    </w:p>
    <w:p w14:paraId="0DDED6C9" w14:textId="77777777" w:rsidR="003379F1" w:rsidRPr="00CE622A" w:rsidRDefault="003379F1" w:rsidP="00D36147">
      <w:pPr>
        <w:spacing w:after="0" w:line="276" w:lineRule="auto"/>
        <w:jc w:val="both"/>
        <w:rPr>
          <w:rFonts w:cs="Times New Roman"/>
          <w:b/>
          <w:iCs/>
          <w:color w:val="FF0000"/>
        </w:rPr>
      </w:pPr>
    </w:p>
    <w:p w14:paraId="700755C1" w14:textId="133C5B1F" w:rsidR="00385033" w:rsidRPr="00FC64BF" w:rsidRDefault="006F2D62" w:rsidP="00D36147">
      <w:pPr>
        <w:spacing w:after="0" w:line="276" w:lineRule="auto"/>
        <w:jc w:val="both"/>
        <w:rPr>
          <w:rFonts w:cs="Times New Roman"/>
          <w:i/>
          <w:iCs/>
        </w:rPr>
      </w:pPr>
      <w:r w:rsidRPr="00FC64BF">
        <w:rPr>
          <w:rFonts w:cs="Times New Roman"/>
          <w:i/>
          <w:iCs/>
        </w:rPr>
        <w:t xml:space="preserve">Aktivnost </w:t>
      </w:r>
      <w:r w:rsidR="001A6535" w:rsidRPr="00FC64BF">
        <w:rPr>
          <w:rFonts w:cs="Times New Roman"/>
          <w:i/>
          <w:iCs/>
        </w:rPr>
        <w:t>4.3.</w:t>
      </w:r>
      <w:r w:rsidR="00492B9B" w:rsidRPr="00FC64BF">
        <w:rPr>
          <w:rFonts w:cs="Times New Roman"/>
          <w:i/>
          <w:iCs/>
        </w:rPr>
        <w:t>3</w:t>
      </w:r>
      <w:r w:rsidR="001A6535" w:rsidRPr="00FC64BF">
        <w:rPr>
          <w:rFonts w:cs="Times New Roman"/>
          <w:i/>
          <w:iCs/>
        </w:rPr>
        <w:t>. Praćenje upisa i školovanja učenika romske nacionalne manjin</w:t>
      </w:r>
      <w:r w:rsidR="00385033" w:rsidRPr="00FC64BF">
        <w:rPr>
          <w:rFonts w:cs="Times New Roman"/>
          <w:i/>
          <w:iCs/>
        </w:rPr>
        <w:t>e oba spola u osnovnim školama</w:t>
      </w:r>
    </w:p>
    <w:p w14:paraId="45A9D034" w14:textId="77B97A10" w:rsidR="00385033" w:rsidRPr="00FC64BF" w:rsidRDefault="00385033" w:rsidP="00D36147">
      <w:pPr>
        <w:spacing w:after="0" w:line="276" w:lineRule="auto"/>
        <w:jc w:val="both"/>
        <w:rPr>
          <w:rFonts w:cs="Times New Roman"/>
          <w:i/>
          <w:iCs/>
        </w:rPr>
      </w:pPr>
      <w:r w:rsidRPr="00FC64BF">
        <w:rPr>
          <w:rFonts w:cs="Times New Roman"/>
          <w:i/>
          <w:iCs/>
        </w:rPr>
        <w:t xml:space="preserve">Nositelj provedbe: </w:t>
      </w:r>
      <w:r w:rsidR="00F36CF1">
        <w:rPr>
          <w:rFonts w:cs="Times New Roman"/>
          <w:i/>
          <w:iCs/>
        </w:rPr>
        <w:t>Ministarstvo znanosti, obrazovanja i mladih</w:t>
      </w:r>
      <w:r w:rsidRPr="00FC64BF">
        <w:rPr>
          <w:rFonts w:cs="Times New Roman"/>
          <w:i/>
          <w:iCs/>
        </w:rPr>
        <w:t xml:space="preserve"> </w:t>
      </w:r>
    </w:p>
    <w:p w14:paraId="2E96B65A" w14:textId="302E1948" w:rsidR="00E6548D" w:rsidRPr="00FC64BF" w:rsidRDefault="00E6548D" w:rsidP="00D36147">
      <w:pPr>
        <w:spacing w:after="0" w:line="276" w:lineRule="auto"/>
        <w:jc w:val="both"/>
        <w:rPr>
          <w:rFonts w:cs="Times New Roman"/>
          <w:i/>
          <w:iCs/>
        </w:rPr>
      </w:pPr>
      <w:r w:rsidRPr="00FC64BF">
        <w:rPr>
          <w:rFonts w:cs="Times New Roman"/>
          <w:i/>
          <w:iCs/>
        </w:rPr>
        <w:t xml:space="preserve">Partneri: Upravni odjeli za obrazovanje u županijama, Gradski ured za obrazovanje Grada Zagreba, osnovne škole, </w:t>
      </w:r>
      <w:r w:rsidR="00026107">
        <w:rPr>
          <w:rFonts w:cs="Times New Roman"/>
          <w:i/>
          <w:iCs/>
        </w:rPr>
        <w:t>JLP(R)S</w:t>
      </w:r>
    </w:p>
    <w:p w14:paraId="5D73ECC2" w14:textId="77777777" w:rsidR="00E5482D" w:rsidRPr="00FC64BF" w:rsidRDefault="00E5482D" w:rsidP="00D36147">
      <w:pPr>
        <w:spacing w:after="0" w:line="276" w:lineRule="auto"/>
        <w:jc w:val="both"/>
        <w:rPr>
          <w:rFonts w:cs="Times New Roman"/>
          <w:i/>
          <w:iCs/>
        </w:rPr>
      </w:pPr>
    </w:p>
    <w:p w14:paraId="30A97CA5" w14:textId="532D9CBC" w:rsidR="005752AD" w:rsidRPr="00FC64BF" w:rsidRDefault="005752AD" w:rsidP="00D36147">
      <w:pPr>
        <w:spacing w:after="0" w:line="276" w:lineRule="auto"/>
        <w:jc w:val="both"/>
        <w:rPr>
          <w:rFonts w:cs="Times New Roman"/>
        </w:rPr>
      </w:pPr>
      <w:r w:rsidRPr="005752AD">
        <w:rPr>
          <w:rFonts w:cs="Times New Roman"/>
        </w:rPr>
        <w:t>Ministarstvo znanosti, obrazovanja i mladih vodi bazu o osnovnoškolskom obrazovanju pripadnika romske nacionalne manjine. Podaci dobiveni od upravnih odjela za obrazovanje u županijama te Gradskog ureda za obrazovanje, sport i mlade Grada Zagreba upotpunjuju se tj. obrađuju jednom godišnje, uzimajući u obzir podatke na kraju prethodne i na početku tekuće školske godine. Temeljem podataka prati se upis učenika, uključivanje u produženi boravak, osiguravanje dodatnog učenja hrvatskoga jezika, ponavljanje razreda, napuštanje školovanja tijekom školske godine kao i broj učenika pripadnika romske nacionalne manjine u pojedinim razrednim odjelima</w:t>
      </w:r>
      <w:r>
        <w:rPr>
          <w:rFonts w:cs="Times New Roman"/>
        </w:rPr>
        <w:t>.</w:t>
      </w:r>
    </w:p>
    <w:p w14:paraId="49984521" w14:textId="77777777" w:rsidR="005752AD" w:rsidRPr="00287FDA" w:rsidRDefault="005752AD" w:rsidP="00FC64BF">
      <w:pPr>
        <w:spacing w:after="0" w:line="276" w:lineRule="auto"/>
        <w:jc w:val="both"/>
        <w:rPr>
          <w:rFonts w:cs="Times New Roman"/>
        </w:rPr>
      </w:pPr>
    </w:p>
    <w:tbl>
      <w:tblPr>
        <w:tblStyle w:val="TableGrid"/>
        <w:tblW w:w="5000" w:type="pct"/>
        <w:tblLook w:val="04A0" w:firstRow="1" w:lastRow="0" w:firstColumn="1" w:lastColumn="0" w:noHBand="0" w:noVBand="1"/>
      </w:tblPr>
      <w:tblGrid>
        <w:gridCol w:w="2972"/>
        <w:gridCol w:w="1985"/>
        <w:gridCol w:w="2126"/>
        <w:gridCol w:w="1979"/>
      </w:tblGrid>
      <w:tr w:rsidR="005752AD" w:rsidRPr="005752AD" w14:paraId="4C629169" w14:textId="77777777" w:rsidTr="00AF43CC">
        <w:trPr>
          <w:trHeight w:val="1080"/>
        </w:trPr>
        <w:tc>
          <w:tcPr>
            <w:tcW w:w="1640" w:type="pct"/>
            <w:shd w:val="clear" w:color="auto" w:fill="F2F2F2" w:themeFill="background1" w:themeFillShade="F2"/>
            <w:vAlign w:val="center"/>
          </w:tcPr>
          <w:p w14:paraId="4660BEF6" w14:textId="40FEC736" w:rsidR="00CF7C80" w:rsidRPr="00DD2F01" w:rsidRDefault="007E61F3" w:rsidP="004A3B23">
            <w:pPr>
              <w:spacing w:line="276" w:lineRule="auto"/>
              <w:rPr>
                <w:rFonts w:cs="Times New Roman"/>
                <w:b/>
                <w:sz w:val="20"/>
                <w:szCs w:val="20"/>
              </w:rPr>
            </w:pPr>
            <w:r w:rsidRPr="00DD2F01">
              <w:rPr>
                <w:rFonts w:cs="Times New Roman"/>
                <w:b/>
                <w:sz w:val="20"/>
                <w:szCs w:val="20"/>
              </w:rPr>
              <w:lastRenderedPageBreak/>
              <w:t>Pokazatelji provedbe i pokazatelji uspješnosti provedbe</w:t>
            </w:r>
          </w:p>
        </w:tc>
        <w:tc>
          <w:tcPr>
            <w:tcW w:w="1095" w:type="pct"/>
            <w:shd w:val="clear" w:color="auto" w:fill="F2F2F2" w:themeFill="background1" w:themeFillShade="F2"/>
            <w:vAlign w:val="center"/>
          </w:tcPr>
          <w:p w14:paraId="088ABE1C" w14:textId="047EBBFC" w:rsidR="00CF7C80" w:rsidRPr="00DD2F01" w:rsidRDefault="00CF7C80" w:rsidP="00D36147">
            <w:pPr>
              <w:spacing w:line="276" w:lineRule="auto"/>
              <w:jc w:val="center"/>
              <w:rPr>
                <w:rFonts w:eastAsia="Calibri" w:cs="Times New Roman"/>
                <w:b/>
                <w:strike/>
                <w:sz w:val="20"/>
                <w:szCs w:val="20"/>
              </w:rPr>
            </w:pPr>
            <w:r w:rsidRPr="00DD2F01">
              <w:rPr>
                <w:rFonts w:eastAsia="Calibri" w:cs="Times New Roman"/>
                <w:b/>
                <w:sz w:val="20"/>
                <w:szCs w:val="20"/>
              </w:rPr>
              <w:t>Broj učenika osnovnih škola koja su uključena u osnovno obrazovanje na početku školske godine</w:t>
            </w:r>
          </w:p>
        </w:tc>
        <w:tc>
          <w:tcPr>
            <w:tcW w:w="1173" w:type="pct"/>
            <w:shd w:val="clear" w:color="auto" w:fill="F2F2F2" w:themeFill="background1" w:themeFillShade="F2"/>
            <w:vAlign w:val="center"/>
          </w:tcPr>
          <w:p w14:paraId="4DABEA60" w14:textId="46B70049" w:rsidR="00CF7C80" w:rsidRPr="00DD2F01" w:rsidRDefault="00CF7C80" w:rsidP="00D36147">
            <w:pPr>
              <w:spacing w:line="276" w:lineRule="auto"/>
              <w:jc w:val="center"/>
              <w:rPr>
                <w:rFonts w:cs="Times New Roman"/>
                <w:b/>
                <w:sz w:val="20"/>
                <w:szCs w:val="20"/>
              </w:rPr>
            </w:pPr>
            <w:r w:rsidRPr="00DD2F01">
              <w:rPr>
                <w:rFonts w:eastAsia="Calibri" w:cs="Times New Roman"/>
                <w:b/>
                <w:sz w:val="20"/>
                <w:szCs w:val="20"/>
              </w:rPr>
              <w:t>Broj učenika osnovnih škola koja su uključena u osnovno obrazovanje na kraju školske godine</w:t>
            </w:r>
          </w:p>
        </w:tc>
        <w:tc>
          <w:tcPr>
            <w:tcW w:w="1092" w:type="pct"/>
            <w:shd w:val="clear" w:color="auto" w:fill="F2F2F2" w:themeFill="background1" w:themeFillShade="F2"/>
            <w:vAlign w:val="center"/>
          </w:tcPr>
          <w:p w14:paraId="574B332D" w14:textId="7F18FFDB" w:rsidR="00CF7C80" w:rsidRPr="00DD2F01" w:rsidRDefault="00CF7C80" w:rsidP="00D36147">
            <w:pPr>
              <w:spacing w:line="276" w:lineRule="auto"/>
              <w:jc w:val="center"/>
              <w:rPr>
                <w:rFonts w:cs="Times New Roman"/>
                <w:b/>
                <w:sz w:val="20"/>
                <w:szCs w:val="20"/>
              </w:rPr>
            </w:pPr>
            <w:r w:rsidRPr="00DD2F01">
              <w:rPr>
                <w:rFonts w:eastAsia="Calibri" w:cs="Times New Roman"/>
                <w:b/>
                <w:sz w:val="20"/>
                <w:szCs w:val="20"/>
              </w:rPr>
              <w:t>Broj učenika osnovnih škola koja su napustila osnovnu školu tijekom školske godine</w:t>
            </w:r>
          </w:p>
        </w:tc>
      </w:tr>
      <w:tr w:rsidR="005752AD" w:rsidRPr="005752AD" w14:paraId="7E18DA85" w14:textId="77777777" w:rsidTr="0062352A">
        <w:tc>
          <w:tcPr>
            <w:tcW w:w="1640" w:type="pct"/>
            <w:shd w:val="clear" w:color="auto" w:fill="F2F2F2" w:themeFill="background1" w:themeFillShade="F2"/>
          </w:tcPr>
          <w:p w14:paraId="74633264" w14:textId="278FE778" w:rsidR="005752AD" w:rsidRPr="00DD2F01" w:rsidRDefault="005752AD" w:rsidP="0061594B">
            <w:pPr>
              <w:spacing w:line="276" w:lineRule="auto"/>
              <w:rPr>
                <w:rFonts w:cs="Times New Roman"/>
                <w:sz w:val="20"/>
                <w:szCs w:val="20"/>
              </w:rPr>
            </w:pPr>
            <w:r w:rsidRPr="00DD2F01">
              <w:rPr>
                <w:rFonts w:cs="Times New Roman"/>
                <w:sz w:val="20"/>
                <w:szCs w:val="20"/>
              </w:rPr>
              <w:t xml:space="preserve">Planirani ishodi za pokazatelje provedbe u 2024. </w:t>
            </w:r>
          </w:p>
        </w:tc>
        <w:tc>
          <w:tcPr>
            <w:tcW w:w="1095" w:type="pct"/>
          </w:tcPr>
          <w:p w14:paraId="1C912E07" w14:textId="5A9021E0" w:rsidR="005752AD" w:rsidRPr="00DD2F01" w:rsidRDefault="005752AD" w:rsidP="005752AD">
            <w:pPr>
              <w:spacing w:line="276" w:lineRule="auto"/>
              <w:jc w:val="center"/>
              <w:rPr>
                <w:rFonts w:cs="Times New Roman"/>
                <w:sz w:val="20"/>
                <w:szCs w:val="20"/>
              </w:rPr>
            </w:pPr>
            <w:r w:rsidRPr="00DD2F01">
              <w:rPr>
                <w:rFonts w:eastAsia="Calibri"/>
                <w:sz w:val="20"/>
                <w:szCs w:val="20"/>
              </w:rPr>
              <w:t>6.000</w:t>
            </w:r>
          </w:p>
        </w:tc>
        <w:tc>
          <w:tcPr>
            <w:tcW w:w="1173" w:type="pct"/>
          </w:tcPr>
          <w:p w14:paraId="089F7439" w14:textId="66707686" w:rsidR="005752AD" w:rsidRPr="00DD2F01" w:rsidRDefault="005752AD" w:rsidP="005752AD">
            <w:pPr>
              <w:spacing w:line="276" w:lineRule="auto"/>
              <w:jc w:val="center"/>
              <w:rPr>
                <w:rFonts w:cs="Times New Roman"/>
                <w:sz w:val="20"/>
                <w:szCs w:val="20"/>
              </w:rPr>
            </w:pPr>
            <w:r w:rsidRPr="00DD2F01">
              <w:rPr>
                <w:rFonts w:cs="Times New Roman"/>
                <w:sz w:val="20"/>
                <w:szCs w:val="20"/>
              </w:rPr>
              <w:t>5.900</w:t>
            </w:r>
          </w:p>
        </w:tc>
        <w:tc>
          <w:tcPr>
            <w:tcW w:w="1092" w:type="pct"/>
          </w:tcPr>
          <w:p w14:paraId="683A7297" w14:textId="037FDEF5" w:rsidR="005752AD" w:rsidRPr="00DD2F01" w:rsidRDefault="005752AD" w:rsidP="005752AD">
            <w:pPr>
              <w:spacing w:line="276" w:lineRule="auto"/>
              <w:jc w:val="center"/>
              <w:rPr>
                <w:rFonts w:cs="Times New Roman"/>
                <w:sz w:val="20"/>
                <w:szCs w:val="20"/>
              </w:rPr>
            </w:pPr>
            <w:r w:rsidRPr="00DD2F01">
              <w:rPr>
                <w:rFonts w:cs="Times New Roman"/>
                <w:sz w:val="20"/>
                <w:szCs w:val="20"/>
              </w:rPr>
              <w:t>100</w:t>
            </w:r>
          </w:p>
        </w:tc>
      </w:tr>
      <w:tr w:rsidR="005752AD" w:rsidRPr="005752AD" w14:paraId="3A763D4F" w14:textId="77777777" w:rsidTr="00FC64BF">
        <w:tc>
          <w:tcPr>
            <w:tcW w:w="1640" w:type="pct"/>
            <w:shd w:val="clear" w:color="auto" w:fill="F2F2F2" w:themeFill="background1" w:themeFillShade="F2"/>
          </w:tcPr>
          <w:p w14:paraId="4875ECD5" w14:textId="56AFBEA2" w:rsidR="005752AD" w:rsidRPr="00DD2F01" w:rsidRDefault="005752AD" w:rsidP="0061594B">
            <w:pPr>
              <w:spacing w:line="276" w:lineRule="auto"/>
              <w:rPr>
                <w:rFonts w:cs="Times New Roman"/>
                <w:sz w:val="20"/>
                <w:szCs w:val="20"/>
              </w:rPr>
            </w:pPr>
            <w:r w:rsidRPr="00DD2F01">
              <w:rPr>
                <w:rFonts w:cs="Times New Roman"/>
                <w:sz w:val="20"/>
                <w:szCs w:val="20"/>
              </w:rPr>
              <w:t>Ostvareni ishodi za pokazatelje provedbe u 2024.</w:t>
            </w:r>
          </w:p>
        </w:tc>
        <w:tc>
          <w:tcPr>
            <w:tcW w:w="1095" w:type="pct"/>
          </w:tcPr>
          <w:p w14:paraId="7E58CA02" w14:textId="77777777" w:rsidR="005752AD" w:rsidRPr="00DD2F01" w:rsidRDefault="005752AD" w:rsidP="005752AD">
            <w:pPr>
              <w:jc w:val="center"/>
              <w:rPr>
                <w:rFonts w:eastAsia="Calibri"/>
                <w:sz w:val="20"/>
                <w:szCs w:val="20"/>
              </w:rPr>
            </w:pPr>
            <w:r w:rsidRPr="00DD2F01">
              <w:rPr>
                <w:rFonts w:eastAsia="Calibri"/>
                <w:sz w:val="20"/>
                <w:szCs w:val="20"/>
              </w:rPr>
              <w:t>(početak šk. god. 2023./2024.)</w:t>
            </w:r>
          </w:p>
          <w:p w14:paraId="6F0B7AEC" w14:textId="170F1368" w:rsidR="005752AD" w:rsidRPr="00DD2F01" w:rsidRDefault="005752AD" w:rsidP="005752AD">
            <w:pPr>
              <w:spacing w:line="276" w:lineRule="auto"/>
              <w:jc w:val="center"/>
              <w:rPr>
                <w:rFonts w:cs="Times New Roman"/>
                <w:sz w:val="20"/>
                <w:szCs w:val="20"/>
              </w:rPr>
            </w:pPr>
            <w:r w:rsidRPr="00DD2F01">
              <w:rPr>
                <w:rFonts w:eastAsia="Calibri"/>
                <w:sz w:val="20"/>
                <w:szCs w:val="20"/>
              </w:rPr>
              <w:t>5.230 (2.646m/2.584ž)</w:t>
            </w:r>
          </w:p>
        </w:tc>
        <w:tc>
          <w:tcPr>
            <w:tcW w:w="1173" w:type="pct"/>
          </w:tcPr>
          <w:p w14:paraId="6190C472" w14:textId="77777777" w:rsidR="005752AD" w:rsidRPr="00DD2F01" w:rsidRDefault="005752AD" w:rsidP="005752AD">
            <w:pPr>
              <w:jc w:val="center"/>
              <w:rPr>
                <w:rFonts w:eastAsia="Calibri"/>
                <w:sz w:val="20"/>
                <w:szCs w:val="20"/>
              </w:rPr>
            </w:pPr>
            <w:r w:rsidRPr="00DD2F01">
              <w:rPr>
                <w:rFonts w:eastAsia="Calibri"/>
                <w:sz w:val="20"/>
                <w:szCs w:val="20"/>
              </w:rPr>
              <w:t>(kraj šk. god. 2023./2024.)</w:t>
            </w:r>
          </w:p>
          <w:p w14:paraId="26779DE2" w14:textId="38683414" w:rsidR="005752AD" w:rsidRPr="00DD2F01" w:rsidRDefault="005752AD" w:rsidP="005752AD">
            <w:pPr>
              <w:spacing w:line="276" w:lineRule="auto"/>
              <w:jc w:val="center"/>
              <w:rPr>
                <w:rFonts w:cs="Times New Roman"/>
                <w:sz w:val="20"/>
                <w:szCs w:val="20"/>
              </w:rPr>
            </w:pPr>
            <w:r w:rsidRPr="00DD2F01">
              <w:rPr>
                <w:rFonts w:eastAsia="Calibri"/>
                <w:sz w:val="20"/>
                <w:szCs w:val="20"/>
              </w:rPr>
              <w:t>5.202 (2.604m/2.598ž)</w:t>
            </w:r>
          </w:p>
        </w:tc>
        <w:tc>
          <w:tcPr>
            <w:tcW w:w="1092" w:type="pct"/>
          </w:tcPr>
          <w:p w14:paraId="5BAEE663" w14:textId="77777777" w:rsidR="005752AD" w:rsidRPr="00DD2F01" w:rsidRDefault="005752AD" w:rsidP="005752AD">
            <w:pPr>
              <w:jc w:val="center"/>
              <w:rPr>
                <w:rFonts w:cs="Times New Roman"/>
                <w:sz w:val="20"/>
                <w:szCs w:val="20"/>
              </w:rPr>
            </w:pPr>
            <w:r w:rsidRPr="00DD2F01">
              <w:rPr>
                <w:rFonts w:cs="Times New Roman"/>
                <w:sz w:val="20"/>
                <w:szCs w:val="20"/>
              </w:rPr>
              <w:t>(šk. god. 2023./2024.)</w:t>
            </w:r>
          </w:p>
          <w:p w14:paraId="55F09B2D" w14:textId="10A2BF0E" w:rsidR="005752AD" w:rsidRPr="00DD2F01" w:rsidRDefault="005752AD" w:rsidP="005752AD">
            <w:pPr>
              <w:spacing w:line="276" w:lineRule="auto"/>
              <w:jc w:val="center"/>
              <w:rPr>
                <w:rFonts w:cs="Times New Roman"/>
                <w:sz w:val="20"/>
                <w:szCs w:val="20"/>
              </w:rPr>
            </w:pPr>
            <w:r w:rsidRPr="00DD2F01">
              <w:rPr>
                <w:rFonts w:cs="Times New Roman"/>
                <w:sz w:val="20"/>
                <w:szCs w:val="20"/>
              </w:rPr>
              <w:t>161 (110m/51ž)</w:t>
            </w:r>
          </w:p>
        </w:tc>
      </w:tr>
      <w:tr w:rsidR="005752AD" w:rsidRPr="005752AD" w14:paraId="24FE14C8" w14:textId="77777777" w:rsidTr="00AF43CC">
        <w:tc>
          <w:tcPr>
            <w:tcW w:w="1640" w:type="pct"/>
            <w:shd w:val="clear" w:color="auto" w:fill="F2F2F2" w:themeFill="background1" w:themeFillShade="F2"/>
            <w:vAlign w:val="center"/>
          </w:tcPr>
          <w:p w14:paraId="1C7C7E34" w14:textId="77777777" w:rsidR="005752AD" w:rsidRPr="00DD2F01" w:rsidRDefault="005752AD" w:rsidP="005752AD">
            <w:pPr>
              <w:spacing w:line="276" w:lineRule="auto"/>
              <w:rPr>
                <w:rFonts w:cs="Times New Roman"/>
                <w:b/>
                <w:sz w:val="20"/>
                <w:szCs w:val="20"/>
              </w:rPr>
            </w:pPr>
            <w:r w:rsidRPr="00DD2F01">
              <w:rPr>
                <w:rFonts w:cs="Times New Roman"/>
                <w:b/>
                <w:sz w:val="20"/>
                <w:szCs w:val="20"/>
              </w:rPr>
              <w:t xml:space="preserve">IZVORI FINANCIRANJA </w:t>
            </w:r>
          </w:p>
        </w:tc>
        <w:tc>
          <w:tcPr>
            <w:tcW w:w="1095" w:type="pct"/>
            <w:vAlign w:val="center"/>
          </w:tcPr>
          <w:p w14:paraId="6F02621C" w14:textId="77777777" w:rsidR="005752AD" w:rsidRPr="00DD2F01" w:rsidRDefault="005752AD" w:rsidP="005752AD">
            <w:pPr>
              <w:spacing w:line="276" w:lineRule="auto"/>
              <w:jc w:val="center"/>
              <w:rPr>
                <w:rFonts w:cs="Times New Roman"/>
                <w:b/>
                <w:sz w:val="20"/>
                <w:szCs w:val="20"/>
              </w:rPr>
            </w:pPr>
            <w:r w:rsidRPr="00DD2F01">
              <w:rPr>
                <w:rFonts w:cs="Times New Roman"/>
                <w:b/>
                <w:sz w:val="20"/>
                <w:szCs w:val="20"/>
              </w:rPr>
              <w:t>Državni proračun (EUR)</w:t>
            </w:r>
          </w:p>
        </w:tc>
        <w:tc>
          <w:tcPr>
            <w:tcW w:w="1173" w:type="pct"/>
            <w:vAlign w:val="center"/>
          </w:tcPr>
          <w:p w14:paraId="497AC87A" w14:textId="77777777" w:rsidR="005752AD" w:rsidRPr="00DD2F01" w:rsidRDefault="005752AD" w:rsidP="005752AD">
            <w:pPr>
              <w:spacing w:line="276" w:lineRule="auto"/>
              <w:jc w:val="center"/>
              <w:rPr>
                <w:rFonts w:cs="Times New Roman"/>
                <w:b/>
                <w:sz w:val="20"/>
                <w:szCs w:val="20"/>
              </w:rPr>
            </w:pPr>
            <w:r w:rsidRPr="00DD2F01">
              <w:rPr>
                <w:rFonts w:cs="Times New Roman"/>
                <w:b/>
                <w:sz w:val="20"/>
                <w:szCs w:val="20"/>
              </w:rPr>
              <w:t>EU financiranje (EUR)</w:t>
            </w:r>
          </w:p>
        </w:tc>
        <w:tc>
          <w:tcPr>
            <w:tcW w:w="1092" w:type="pct"/>
            <w:vAlign w:val="center"/>
          </w:tcPr>
          <w:p w14:paraId="67195F0F" w14:textId="77777777" w:rsidR="005752AD" w:rsidRPr="00DD2F01" w:rsidRDefault="005752AD" w:rsidP="005752AD">
            <w:pPr>
              <w:spacing w:line="276" w:lineRule="auto"/>
              <w:jc w:val="center"/>
              <w:rPr>
                <w:rFonts w:cs="Times New Roman"/>
                <w:b/>
                <w:sz w:val="20"/>
                <w:szCs w:val="20"/>
              </w:rPr>
            </w:pPr>
            <w:r w:rsidRPr="00DD2F01">
              <w:rPr>
                <w:rFonts w:cs="Times New Roman"/>
                <w:b/>
                <w:sz w:val="20"/>
                <w:szCs w:val="20"/>
              </w:rPr>
              <w:t>Drugi izvori</w:t>
            </w:r>
          </w:p>
          <w:p w14:paraId="0669D75A" w14:textId="5360C37A" w:rsidR="005752AD" w:rsidRPr="00DD2F01" w:rsidRDefault="005752AD" w:rsidP="005752AD">
            <w:pPr>
              <w:spacing w:line="276" w:lineRule="auto"/>
              <w:jc w:val="center"/>
              <w:rPr>
                <w:rFonts w:cs="Times New Roman"/>
                <w:b/>
                <w:sz w:val="20"/>
                <w:szCs w:val="20"/>
              </w:rPr>
            </w:pPr>
            <w:r w:rsidRPr="00DD2F01">
              <w:rPr>
                <w:rFonts w:cs="Times New Roman"/>
                <w:b/>
                <w:sz w:val="20"/>
                <w:szCs w:val="20"/>
              </w:rPr>
              <w:t xml:space="preserve"> (EUR)</w:t>
            </w:r>
          </w:p>
        </w:tc>
      </w:tr>
      <w:tr w:rsidR="005752AD" w:rsidRPr="005752AD" w14:paraId="34645F20" w14:textId="77777777" w:rsidTr="00AF43CC">
        <w:tc>
          <w:tcPr>
            <w:tcW w:w="1640" w:type="pct"/>
            <w:shd w:val="clear" w:color="auto" w:fill="F2F2F2" w:themeFill="background1" w:themeFillShade="F2"/>
            <w:vAlign w:val="center"/>
          </w:tcPr>
          <w:p w14:paraId="6B2458D2" w14:textId="2F31371A" w:rsidR="005752AD" w:rsidRPr="00DD2F01" w:rsidRDefault="005752AD" w:rsidP="0061594B">
            <w:pPr>
              <w:spacing w:line="276" w:lineRule="auto"/>
              <w:rPr>
                <w:rFonts w:cs="Times New Roman"/>
                <w:sz w:val="20"/>
                <w:szCs w:val="20"/>
              </w:rPr>
            </w:pPr>
            <w:r w:rsidRPr="00DD2F01">
              <w:rPr>
                <w:rFonts w:cs="Times New Roman"/>
                <w:sz w:val="20"/>
                <w:szCs w:val="20"/>
              </w:rPr>
              <w:t>Izvori financiranja u 202</w:t>
            </w:r>
            <w:r w:rsidR="003379F1" w:rsidRPr="00DD2F01">
              <w:rPr>
                <w:rFonts w:cs="Times New Roman"/>
                <w:sz w:val="20"/>
                <w:szCs w:val="20"/>
              </w:rPr>
              <w:t>4</w:t>
            </w:r>
            <w:r w:rsidRPr="00DD2F01">
              <w:rPr>
                <w:rFonts w:cs="Times New Roman"/>
                <w:sz w:val="20"/>
                <w:szCs w:val="20"/>
              </w:rPr>
              <w:t>. (proračunska pozicija i predviđeni iznos sredstava)</w:t>
            </w:r>
          </w:p>
        </w:tc>
        <w:tc>
          <w:tcPr>
            <w:tcW w:w="1095" w:type="pct"/>
            <w:vAlign w:val="center"/>
          </w:tcPr>
          <w:p w14:paraId="2D3CEA1D" w14:textId="5E9AEF37" w:rsidR="005752AD" w:rsidRPr="00DD2F01" w:rsidRDefault="005752AD" w:rsidP="005752AD">
            <w:pPr>
              <w:spacing w:line="276" w:lineRule="auto"/>
              <w:jc w:val="center"/>
              <w:rPr>
                <w:rFonts w:cs="Times New Roman"/>
                <w:sz w:val="20"/>
                <w:szCs w:val="20"/>
              </w:rPr>
            </w:pPr>
            <w:r w:rsidRPr="00DD2F01">
              <w:rPr>
                <w:rFonts w:cs="Times New Roman"/>
                <w:sz w:val="20"/>
                <w:szCs w:val="20"/>
              </w:rPr>
              <w:t>A577000 – Administracija i upravljanje</w:t>
            </w:r>
          </w:p>
        </w:tc>
        <w:tc>
          <w:tcPr>
            <w:tcW w:w="1173" w:type="pct"/>
            <w:vAlign w:val="center"/>
          </w:tcPr>
          <w:p w14:paraId="14EE3893" w14:textId="7DBCDF03" w:rsidR="005752AD" w:rsidRPr="00DD2F01" w:rsidRDefault="005752AD" w:rsidP="005752AD">
            <w:pPr>
              <w:spacing w:line="276" w:lineRule="auto"/>
              <w:jc w:val="center"/>
              <w:rPr>
                <w:rFonts w:cs="Times New Roman"/>
                <w:sz w:val="20"/>
                <w:szCs w:val="20"/>
              </w:rPr>
            </w:pPr>
            <w:r w:rsidRPr="00DD2F01">
              <w:rPr>
                <w:rFonts w:cs="Times New Roman"/>
                <w:sz w:val="20"/>
                <w:szCs w:val="20"/>
              </w:rPr>
              <w:t>0,00</w:t>
            </w:r>
          </w:p>
        </w:tc>
        <w:tc>
          <w:tcPr>
            <w:tcW w:w="1092" w:type="pct"/>
            <w:vAlign w:val="center"/>
          </w:tcPr>
          <w:p w14:paraId="11FD114F" w14:textId="77777777" w:rsidR="005752AD" w:rsidRPr="00DD2F01" w:rsidRDefault="005752AD" w:rsidP="005752AD">
            <w:pPr>
              <w:spacing w:line="276" w:lineRule="auto"/>
              <w:jc w:val="center"/>
              <w:rPr>
                <w:rFonts w:cs="Times New Roman"/>
                <w:sz w:val="20"/>
                <w:szCs w:val="20"/>
              </w:rPr>
            </w:pPr>
            <w:r w:rsidRPr="00DD2F01">
              <w:rPr>
                <w:rFonts w:cs="Times New Roman"/>
                <w:sz w:val="20"/>
                <w:szCs w:val="20"/>
              </w:rPr>
              <w:t xml:space="preserve">0,00 </w:t>
            </w:r>
          </w:p>
        </w:tc>
      </w:tr>
      <w:tr w:rsidR="005752AD" w:rsidRPr="005752AD" w14:paraId="0FBBD366" w14:textId="77777777" w:rsidTr="00AF43CC">
        <w:tc>
          <w:tcPr>
            <w:tcW w:w="1640" w:type="pct"/>
            <w:vMerge w:val="restart"/>
            <w:shd w:val="clear" w:color="auto" w:fill="F2F2F2" w:themeFill="background1" w:themeFillShade="F2"/>
            <w:vAlign w:val="center"/>
          </w:tcPr>
          <w:p w14:paraId="3B90CCD5" w14:textId="77777777" w:rsidR="005752AD" w:rsidRPr="00DD2F01" w:rsidRDefault="005752AD" w:rsidP="005752AD">
            <w:pPr>
              <w:spacing w:line="276" w:lineRule="auto"/>
              <w:rPr>
                <w:rFonts w:cs="Times New Roman"/>
                <w:b/>
                <w:sz w:val="20"/>
                <w:szCs w:val="20"/>
              </w:rPr>
            </w:pPr>
            <w:r w:rsidRPr="00DD2F01">
              <w:rPr>
                <w:rFonts w:cs="Times New Roman"/>
                <w:b/>
                <w:sz w:val="20"/>
                <w:szCs w:val="20"/>
              </w:rPr>
              <w:t xml:space="preserve">UKUPNO UTROŠENA SREDSTVA PO IZVORU </w:t>
            </w:r>
          </w:p>
        </w:tc>
        <w:tc>
          <w:tcPr>
            <w:tcW w:w="1095" w:type="pct"/>
            <w:vAlign w:val="center"/>
          </w:tcPr>
          <w:p w14:paraId="3D0ECDBD" w14:textId="77777777" w:rsidR="005752AD" w:rsidRPr="00DD2F01" w:rsidRDefault="005752AD" w:rsidP="005752AD">
            <w:pPr>
              <w:spacing w:line="276" w:lineRule="auto"/>
              <w:jc w:val="center"/>
              <w:rPr>
                <w:rFonts w:cs="Times New Roman"/>
                <w:b/>
                <w:sz w:val="20"/>
                <w:szCs w:val="20"/>
              </w:rPr>
            </w:pPr>
            <w:r w:rsidRPr="00DD2F01">
              <w:rPr>
                <w:rFonts w:cs="Times New Roman"/>
                <w:b/>
                <w:sz w:val="20"/>
                <w:szCs w:val="20"/>
              </w:rPr>
              <w:t>Državni proračun (EUR)</w:t>
            </w:r>
          </w:p>
        </w:tc>
        <w:tc>
          <w:tcPr>
            <w:tcW w:w="1173" w:type="pct"/>
            <w:vAlign w:val="center"/>
          </w:tcPr>
          <w:p w14:paraId="7BF794A3" w14:textId="77777777" w:rsidR="005752AD" w:rsidRPr="00DD2F01" w:rsidRDefault="005752AD" w:rsidP="005752AD">
            <w:pPr>
              <w:spacing w:line="276" w:lineRule="auto"/>
              <w:jc w:val="center"/>
              <w:rPr>
                <w:rFonts w:cs="Times New Roman"/>
                <w:b/>
                <w:sz w:val="20"/>
                <w:szCs w:val="20"/>
              </w:rPr>
            </w:pPr>
            <w:r w:rsidRPr="00DD2F01">
              <w:rPr>
                <w:rFonts w:cs="Times New Roman"/>
                <w:b/>
                <w:sz w:val="20"/>
                <w:szCs w:val="20"/>
              </w:rPr>
              <w:t>EU financiranje (EUR)</w:t>
            </w:r>
          </w:p>
        </w:tc>
        <w:tc>
          <w:tcPr>
            <w:tcW w:w="1092" w:type="pct"/>
            <w:vAlign w:val="center"/>
          </w:tcPr>
          <w:p w14:paraId="4237F0EB" w14:textId="77777777" w:rsidR="005752AD" w:rsidRPr="00DD2F01" w:rsidRDefault="005752AD" w:rsidP="005752AD">
            <w:pPr>
              <w:spacing w:line="276" w:lineRule="auto"/>
              <w:jc w:val="center"/>
              <w:rPr>
                <w:rFonts w:cs="Times New Roman"/>
                <w:b/>
                <w:sz w:val="20"/>
                <w:szCs w:val="20"/>
              </w:rPr>
            </w:pPr>
            <w:r w:rsidRPr="00DD2F01">
              <w:rPr>
                <w:rFonts w:cs="Times New Roman"/>
                <w:b/>
                <w:sz w:val="20"/>
                <w:szCs w:val="20"/>
              </w:rPr>
              <w:t>Drugi izvori</w:t>
            </w:r>
          </w:p>
          <w:p w14:paraId="640E2E45" w14:textId="772239CA" w:rsidR="005752AD" w:rsidRPr="00DD2F01" w:rsidRDefault="005752AD" w:rsidP="005752AD">
            <w:pPr>
              <w:spacing w:line="276" w:lineRule="auto"/>
              <w:jc w:val="center"/>
              <w:rPr>
                <w:rFonts w:cs="Times New Roman"/>
                <w:b/>
                <w:sz w:val="20"/>
                <w:szCs w:val="20"/>
              </w:rPr>
            </w:pPr>
            <w:r w:rsidRPr="00DD2F01">
              <w:rPr>
                <w:rFonts w:cs="Times New Roman"/>
                <w:b/>
                <w:sz w:val="20"/>
                <w:szCs w:val="20"/>
              </w:rPr>
              <w:t xml:space="preserve"> (EUR)</w:t>
            </w:r>
          </w:p>
        </w:tc>
      </w:tr>
      <w:tr w:rsidR="005752AD" w:rsidRPr="005752AD" w14:paraId="02E0E706" w14:textId="77777777" w:rsidTr="00AF43CC">
        <w:tc>
          <w:tcPr>
            <w:tcW w:w="1640" w:type="pct"/>
            <w:vMerge/>
            <w:shd w:val="clear" w:color="auto" w:fill="F2F2F2" w:themeFill="background1" w:themeFillShade="F2"/>
            <w:vAlign w:val="center"/>
          </w:tcPr>
          <w:p w14:paraId="3DBFD959" w14:textId="77777777" w:rsidR="005752AD" w:rsidRPr="00DD2F01" w:rsidRDefault="005752AD" w:rsidP="005752AD">
            <w:pPr>
              <w:spacing w:line="276" w:lineRule="auto"/>
              <w:rPr>
                <w:rFonts w:cs="Times New Roman"/>
                <w:b/>
                <w:sz w:val="20"/>
                <w:szCs w:val="20"/>
              </w:rPr>
            </w:pPr>
          </w:p>
        </w:tc>
        <w:tc>
          <w:tcPr>
            <w:tcW w:w="1095" w:type="pct"/>
            <w:vAlign w:val="center"/>
          </w:tcPr>
          <w:p w14:paraId="70B523A4" w14:textId="77777777" w:rsidR="005752AD" w:rsidRPr="00DD2F01" w:rsidRDefault="005752AD" w:rsidP="005752AD">
            <w:pPr>
              <w:spacing w:line="276" w:lineRule="auto"/>
              <w:jc w:val="center"/>
              <w:rPr>
                <w:rFonts w:cs="Times New Roman"/>
                <w:sz w:val="20"/>
                <w:szCs w:val="20"/>
              </w:rPr>
            </w:pPr>
            <w:r w:rsidRPr="00DD2F01">
              <w:rPr>
                <w:rFonts w:cs="Times New Roman"/>
                <w:sz w:val="20"/>
                <w:szCs w:val="20"/>
              </w:rPr>
              <w:t>A577000 - Administracija i upravljanje</w:t>
            </w:r>
          </w:p>
          <w:p w14:paraId="04020C12" w14:textId="4E88431E" w:rsidR="005752AD" w:rsidRPr="00DD2F01" w:rsidRDefault="005752AD">
            <w:pPr>
              <w:spacing w:line="276" w:lineRule="auto"/>
              <w:jc w:val="center"/>
              <w:rPr>
                <w:rFonts w:cs="Times New Roman"/>
                <w:b/>
                <w:sz w:val="20"/>
                <w:szCs w:val="20"/>
              </w:rPr>
            </w:pPr>
            <w:r w:rsidRPr="00DD2F01">
              <w:rPr>
                <w:rFonts w:cs="Times New Roman"/>
                <w:b/>
                <w:sz w:val="20"/>
                <w:szCs w:val="20"/>
              </w:rPr>
              <w:t xml:space="preserve">0,00 </w:t>
            </w:r>
          </w:p>
        </w:tc>
        <w:tc>
          <w:tcPr>
            <w:tcW w:w="1173" w:type="pct"/>
            <w:vAlign w:val="center"/>
          </w:tcPr>
          <w:p w14:paraId="5D95AEC2" w14:textId="74AF2828" w:rsidR="005752AD" w:rsidRPr="00DD2F01" w:rsidRDefault="005752AD" w:rsidP="005752AD">
            <w:pPr>
              <w:spacing w:line="276" w:lineRule="auto"/>
              <w:jc w:val="center"/>
              <w:rPr>
                <w:rFonts w:cs="Times New Roman"/>
                <w:sz w:val="20"/>
                <w:szCs w:val="20"/>
              </w:rPr>
            </w:pPr>
            <w:r w:rsidRPr="00DD2F01">
              <w:rPr>
                <w:rFonts w:cs="Times New Roman"/>
                <w:sz w:val="20"/>
                <w:szCs w:val="20"/>
              </w:rPr>
              <w:t>0,00</w:t>
            </w:r>
          </w:p>
        </w:tc>
        <w:tc>
          <w:tcPr>
            <w:tcW w:w="1092" w:type="pct"/>
            <w:vAlign w:val="center"/>
          </w:tcPr>
          <w:p w14:paraId="525E265C" w14:textId="77777777" w:rsidR="005752AD" w:rsidRPr="00DD2F01" w:rsidRDefault="005752AD" w:rsidP="005752AD">
            <w:pPr>
              <w:spacing w:line="276" w:lineRule="auto"/>
              <w:jc w:val="center"/>
              <w:rPr>
                <w:rFonts w:cs="Times New Roman"/>
                <w:sz w:val="20"/>
                <w:szCs w:val="20"/>
              </w:rPr>
            </w:pPr>
            <w:r w:rsidRPr="00DD2F01">
              <w:rPr>
                <w:rFonts w:cs="Times New Roman"/>
                <w:sz w:val="20"/>
                <w:szCs w:val="20"/>
              </w:rPr>
              <w:t xml:space="preserve">0,00 </w:t>
            </w:r>
          </w:p>
        </w:tc>
      </w:tr>
      <w:tr w:rsidR="005752AD" w:rsidRPr="005752AD" w14:paraId="2F8A634B" w14:textId="77777777" w:rsidTr="00AF43CC">
        <w:trPr>
          <w:trHeight w:val="408"/>
        </w:trPr>
        <w:tc>
          <w:tcPr>
            <w:tcW w:w="1640" w:type="pct"/>
            <w:vAlign w:val="center"/>
          </w:tcPr>
          <w:p w14:paraId="735CA191" w14:textId="10B822C7" w:rsidR="005752AD" w:rsidRPr="00DD2F01" w:rsidRDefault="005752AD" w:rsidP="005752AD">
            <w:pPr>
              <w:spacing w:line="276" w:lineRule="auto"/>
              <w:rPr>
                <w:rFonts w:cs="Times New Roman"/>
                <w:sz w:val="20"/>
                <w:szCs w:val="20"/>
              </w:rPr>
            </w:pPr>
            <w:r w:rsidRPr="00DD2F01">
              <w:rPr>
                <w:rFonts w:cs="Times New Roman"/>
                <w:sz w:val="20"/>
                <w:szCs w:val="20"/>
              </w:rPr>
              <w:t>ROK PROVEDBE KTIVNOSTI</w:t>
            </w:r>
          </w:p>
        </w:tc>
        <w:tc>
          <w:tcPr>
            <w:tcW w:w="3360" w:type="pct"/>
            <w:gridSpan w:val="3"/>
            <w:vAlign w:val="center"/>
          </w:tcPr>
          <w:p w14:paraId="43AF1A22" w14:textId="4584C24E" w:rsidR="005752AD" w:rsidRPr="00DD2F01" w:rsidRDefault="005752AD" w:rsidP="005752AD">
            <w:pPr>
              <w:spacing w:line="276" w:lineRule="auto"/>
              <w:rPr>
                <w:rFonts w:cs="Times New Roman"/>
                <w:sz w:val="20"/>
                <w:szCs w:val="20"/>
              </w:rPr>
            </w:pPr>
            <w:r w:rsidRPr="00DD2F01">
              <w:rPr>
                <w:rFonts w:cs="Times New Roman"/>
                <w:sz w:val="20"/>
                <w:szCs w:val="20"/>
              </w:rPr>
              <w:t xml:space="preserve">II. kvartal 2025. </w:t>
            </w:r>
          </w:p>
        </w:tc>
      </w:tr>
    </w:tbl>
    <w:p w14:paraId="485382F4" w14:textId="77777777" w:rsidR="00BE32D7" w:rsidRDefault="00BE32D7" w:rsidP="00D36147">
      <w:pPr>
        <w:spacing w:after="0" w:line="276" w:lineRule="auto"/>
        <w:rPr>
          <w:rFonts w:cs="Times New Roman"/>
          <w:i/>
          <w:iCs/>
        </w:rPr>
      </w:pPr>
    </w:p>
    <w:p w14:paraId="7A6C6D8B" w14:textId="77777777" w:rsidR="003379F1" w:rsidRPr="00FC64BF" w:rsidRDefault="003379F1" w:rsidP="00D36147">
      <w:pPr>
        <w:spacing w:after="0" w:line="276" w:lineRule="auto"/>
        <w:rPr>
          <w:rFonts w:cs="Times New Roman"/>
          <w:i/>
          <w:iCs/>
        </w:rPr>
      </w:pPr>
    </w:p>
    <w:p w14:paraId="2F969B2F" w14:textId="325A2BEA" w:rsidR="00C65A9E" w:rsidRPr="00FC64BF" w:rsidRDefault="002D20C6" w:rsidP="00D9050B">
      <w:pPr>
        <w:spacing w:after="0" w:line="276" w:lineRule="auto"/>
        <w:jc w:val="both"/>
        <w:rPr>
          <w:rFonts w:cs="Times New Roman"/>
          <w:i/>
          <w:iCs/>
        </w:rPr>
      </w:pPr>
      <w:r w:rsidRPr="00FC64BF">
        <w:rPr>
          <w:rFonts w:cs="Times New Roman"/>
          <w:i/>
          <w:iCs/>
        </w:rPr>
        <w:t xml:space="preserve">Aktivnost </w:t>
      </w:r>
      <w:r w:rsidR="001A6535" w:rsidRPr="00FC64BF">
        <w:rPr>
          <w:rFonts w:cs="Times New Roman"/>
          <w:i/>
          <w:iCs/>
        </w:rPr>
        <w:t>4.3.</w:t>
      </w:r>
      <w:r w:rsidR="00492B9B" w:rsidRPr="00FC64BF">
        <w:rPr>
          <w:rFonts w:cs="Times New Roman"/>
          <w:i/>
          <w:iCs/>
        </w:rPr>
        <w:t>4</w:t>
      </w:r>
      <w:r w:rsidR="001A6535" w:rsidRPr="00FC64BF">
        <w:rPr>
          <w:rFonts w:cs="Times New Roman"/>
          <w:i/>
          <w:iCs/>
        </w:rPr>
        <w:t>.</w:t>
      </w:r>
      <w:r w:rsidRPr="00FC64BF">
        <w:rPr>
          <w:rFonts w:cs="Times New Roman"/>
          <w:i/>
          <w:iCs/>
        </w:rPr>
        <w:t xml:space="preserve"> </w:t>
      </w:r>
      <w:r w:rsidR="001A6535" w:rsidRPr="00FC64BF">
        <w:rPr>
          <w:rFonts w:cs="Times New Roman"/>
          <w:i/>
          <w:iCs/>
        </w:rPr>
        <w:t>Uključivanje učenika romske nacionalne manjine u produženi boravak, pružanje dodatne pomoći u učenju hrvatskog jezika te uključivanje učenika u dodatne aktivnosti usmjerene ka obraz</w:t>
      </w:r>
      <w:r w:rsidR="00C65A9E" w:rsidRPr="00FC64BF">
        <w:rPr>
          <w:rFonts w:cs="Times New Roman"/>
          <w:i/>
          <w:iCs/>
        </w:rPr>
        <w:t>ovnoj i socijalnoj integraciji</w:t>
      </w:r>
    </w:p>
    <w:p w14:paraId="6EDCE921" w14:textId="5C83B73B" w:rsidR="00C65A9E" w:rsidRPr="00FC64BF" w:rsidRDefault="00C65A9E" w:rsidP="004A3B23">
      <w:pPr>
        <w:spacing w:after="0" w:line="276" w:lineRule="auto"/>
        <w:jc w:val="both"/>
        <w:rPr>
          <w:rFonts w:cs="Times New Roman"/>
          <w:i/>
          <w:iCs/>
        </w:rPr>
      </w:pPr>
      <w:r w:rsidRPr="00FC64BF">
        <w:rPr>
          <w:rFonts w:cs="Times New Roman"/>
          <w:i/>
          <w:iCs/>
        </w:rPr>
        <w:t xml:space="preserve">Nositelj provedbe: </w:t>
      </w:r>
      <w:r w:rsidR="00F36CF1">
        <w:rPr>
          <w:rFonts w:cs="Times New Roman"/>
          <w:i/>
          <w:iCs/>
        </w:rPr>
        <w:t>Ministarstvo znanosti, obrazovanja i mladih</w:t>
      </w:r>
      <w:r w:rsidR="004C5775" w:rsidRPr="00FC64BF">
        <w:rPr>
          <w:rFonts w:cs="Times New Roman"/>
          <w:i/>
          <w:iCs/>
        </w:rPr>
        <w:t xml:space="preserve"> </w:t>
      </w:r>
    </w:p>
    <w:p w14:paraId="40A39410" w14:textId="738CAD61" w:rsidR="00C26464" w:rsidRPr="00FC64BF" w:rsidRDefault="00C26464" w:rsidP="00D36147">
      <w:pPr>
        <w:spacing w:after="0" w:line="276" w:lineRule="auto"/>
        <w:jc w:val="both"/>
        <w:rPr>
          <w:rFonts w:cs="Times New Roman"/>
          <w:i/>
          <w:iCs/>
        </w:rPr>
      </w:pPr>
      <w:r w:rsidRPr="00FC64BF">
        <w:rPr>
          <w:rFonts w:cs="Times New Roman"/>
          <w:i/>
          <w:iCs/>
        </w:rPr>
        <w:t xml:space="preserve">Partneri: Upravni odjeli za obrazovanje u županijama, Gradski ured za obrazovanje Grada Zagreba, predškolske ustanove, osnovne škole, </w:t>
      </w:r>
      <w:r w:rsidR="00026107">
        <w:rPr>
          <w:rFonts w:cs="Times New Roman"/>
          <w:i/>
          <w:iCs/>
        </w:rPr>
        <w:t>JLP(R)S</w:t>
      </w:r>
    </w:p>
    <w:p w14:paraId="2C84A353" w14:textId="77777777" w:rsidR="00C26464" w:rsidRPr="00FC64BF" w:rsidRDefault="00C26464" w:rsidP="00D36147">
      <w:pPr>
        <w:spacing w:after="0" w:line="276" w:lineRule="auto"/>
        <w:jc w:val="both"/>
        <w:rPr>
          <w:rFonts w:cs="Times New Roman"/>
          <w:i/>
          <w:iCs/>
        </w:rPr>
      </w:pPr>
    </w:p>
    <w:p w14:paraId="56CDB22F" w14:textId="27640808" w:rsidR="00016644" w:rsidRPr="00FC64BF" w:rsidRDefault="00016644" w:rsidP="00D36147">
      <w:pPr>
        <w:spacing w:after="0" w:line="276" w:lineRule="auto"/>
        <w:jc w:val="both"/>
        <w:rPr>
          <w:rFonts w:cs="Times New Roman"/>
        </w:rPr>
      </w:pPr>
      <w:r w:rsidRPr="00016644">
        <w:rPr>
          <w:rFonts w:cs="Times New Roman"/>
        </w:rPr>
        <w:t xml:space="preserve">Ministarstvo znanosti, obrazovanja i mladih, </w:t>
      </w:r>
      <w:r w:rsidR="00DD2F01" w:rsidRPr="00DD2F01">
        <w:rPr>
          <w:rFonts w:cs="Times New Roman"/>
        </w:rPr>
        <w:t>sukladno čl</w:t>
      </w:r>
      <w:r w:rsidR="0040064A">
        <w:rPr>
          <w:rFonts w:cs="Times New Roman"/>
        </w:rPr>
        <w:t>anku</w:t>
      </w:r>
      <w:r w:rsidR="00DD2F01" w:rsidRPr="00DD2F01">
        <w:rPr>
          <w:rFonts w:cs="Times New Roman"/>
        </w:rPr>
        <w:t xml:space="preserve"> 43. Zakona o odgoju i obrazovanju u osnovnoj i srednjoj školi (</w:t>
      </w:r>
      <w:r w:rsidR="00D9050B">
        <w:rPr>
          <w:rFonts w:cs="Times New Roman"/>
        </w:rPr>
        <w:t>„</w:t>
      </w:r>
      <w:r w:rsidR="00DD2F01" w:rsidRPr="00DD2F01">
        <w:rPr>
          <w:rFonts w:cs="Times New Roman"/>
        </w:rPr>
        <w:t>N</w:t>
      </w:r>
      <w:r w:rsidR="00D9050B">
        <w:rPr>
          <w:rFonts w:cs="Times New Roman"/>
        </w:rPr>
        <w:t>arodne novine“</w:t>
      </w:r>
      <w:r w:rsidR="00F2268A">
        <w:rPr>
          <w:rFonts w:cs="Times New Roman"/>
        </w:rPr>
        <w:t xml:space="preserve">, </w:t>
      </w:r>
      <w:r w:rsidR="00DD2F01" w:rsidRPr="00DD2F01">
        <w:rPr>
          <w:rFonts w:cs="Times New Roman"/>
        </w:rPr>
        <w:t xml:space="preserve"> br. 87/08, 86/09, 92/10, 105/10, 90/11,16/12, 86/12, 94/13, 152/14, 7/17, 68/18, 98/19, 64/20, 151/22 i 156/23)</w:t>
      </w:r>
      <w:r w:rsidR="00DD2F01">
        <w:rPr>
          <w:rFonts w:cs="Times New Roman"/>
        </w:rPr>
        <w:t>,</w:t>
      </w:r>
      <w:r w:rsidRPr="00016644">
        <w:rPr>
          <w:rFonts w:cs="Times New Roman"/>
        </w:rPr>
        <w:t xml:space="preserve"> pripadnicima romske nacionalne manjine osigurava posebnu pomoć u učenju hrvatskoga jezika učenicima koji ne znaju ili nedovoljno poznaju hrvatski jezik. Učiteljima razredne nastave i hrvatskoga jezika osiguravaju se sredstva za prekovremeni rad za pružanje posebne pomoći u učenju hrvatskoga jezika. Osim navedenog</w:t>
      </w:r>
      <w:r w:rsidR="00D9050B">
        <w:rPr>
          <w:rFonts w:cs="Times New Roman"/>
        </w:rPr>
        <w:t>a,</w:t>
      </w:r>
      <w:r w:rsidRPr="00016644">
        <w:rPr>
          <w:rFonts w:cs="Times New Roman"/>
        </w:rPr>
        <w:t xml:space="preserve"> osigurava se provedba produženog boravka za pripadnike romske nacionalne manjine. Tako su u 2024. </w:t>
      </w:r>
      <w:r w:rsidR="00D9050B">
        <w:rPr>
          <w:rFonts w:cs="Times New Roman"/>
        </w:rPr>
        <w:t xml:space="preserve">godini </w:t>
      </w:r>
      <w:r w:rsidRPr="00016644">
        <w:rPr>
          <w:rFonts w:cs="Times New Roman"/>
        </w:rPr>
        <w:t>utrošena sredstva u iznosu od 4</w:t>
      </w:r>
      <w:r w:rsidR="00DE35E7">
        <w:rPr>
          <w:rFonts w:cs="Times New Roman"/>
        </w:rPr>
        <w:t>72</w:t>
      </w:r>
      <w:r w:rsidRPr="00016644">
        <w:rPr>
          <w:rFonts w:cs="Times New Roman"/>
        </w:rPr>
        <w:t>.</w:t>
      </w:r>
      <w:r w:rsidR="00DE35E7">
        <w:rPr>
          <w:rFonts w:cs="Times New Roman"/>
        </w:rPr>
        <w:t>782</w:t>
      </w:r>
      <w:r w:rsidRPr="00016644">
        <w:rPr>
          <w:rFonts w:cs="Times New Roman"/>
        </w:rPr>
        <w:t>,5</w:t>
      </w:r>
      <w:r w:rsidR="00DE35E7">
        <w:rPr>
          <w:rFonts w:cs="Times New Roman"/>
        </w:rPr>
        <w:t>0</w:t>
      </w:r>
      <w:r w:rsidRPr="00016644">
        <w:rPr>
          <w:rFonts w:cs="Times New Roman"/>
        </w:rPr>
        <w:t xml:space="preserve"> EUR za provedbu programa produženog boravka. Također, kroz navedenu aktivnost sufinancira se izvanučionička nastava (škola u prirodi, terenska nastava, školska ekskurzija i dr.) te druge aktivnosti usmjerene ka obrazovnoj i socijalnoj integraciji učenika pripadnika romske nacionalne manjine. Za navedene aktivnosti u 2024. </w:t>
      </w:r>
      <w:r w:rsidR="00D9050B">
        <w:rPr>
          <w:rFonts w:cs="Times New Roman"/>
        </w:rPr>
        <w:t xml:space="preserve">godini </w:t>
      </w:r>
      <w:r w:rsidRPr="00016644">
        <w:rPr>
          <w:rFonts w:cs="Times New Roman"/>
        </w:rPr>
        <w:t>utrošena su sredstva u iznosu od 1</w:t>
      </w:r>
      <w:r w:rsidR="00DE35E7">
        <w:rPr>
          <w:rFonts w:cs="Times New Roman"/>
        </w:rPr>
        <w:t>4</w:t>
      </w:r>
      <w:r w:rsidRPr="00016644">
        <w:rPr>
          <w:rFonts w:cs="Times New Roman"/>
        </w:rPr>
        <w:t xml:space="preserve">8.620,97 EUR. Osiguranje produženog boravka iznimno je važno kao preduvjet </w:t>
      </w:r>
      <w:r w:rsidRPr="00016644">
        <w:rPr>
          <w:rFonts w:cs="Times New Roman"/>
        </w:rPr>
        <w:lastRenderedPageBreak/>
        <w:t xml:space="preserve">uspješnog završetka osnovnog obrazovanja učenika romske nacionalne manjine te je vidljivo povećanje broja učenika uključenih u produženi boravak. Provedbom izvanučioničke nastave te produženog boravka ostvaren je znatan napredak djece na području učenja jezika, stjecanja higijenskih navika i socijalizacije djece u čemu značajnu ulogu imaju i romski pomagači u osnovnim školama za čiji se rad sredstva osiguravaju u državnom proračunu. Za plaće 22 romska pomagača koji rade u 11 osnovnih škola s većim brojem pripadnika romske nacionalne manjine, u 2024. </w:t>
      </w:r>
      <w:r w:rsidR="00D9050B">
        <w:rPr>
          <w:rFonts w:cs="Times New Roman"/>
        </w:rPr>
        <w:t xml:space="preserve">godini </w:t>
      </w:r>
      <w:r w:rsidRPr="00016644">
        <w:rPr>
          <w:rFonts w:cs="Times New Roman"/>
        </w:rPr>
        <w:t>utrošena su sredstva u iznosu od 507.057,00 EUR. Za provedbu aktivnosti uključivanja učenika romske nacionalne manjine u produženi boravak, pružanje dodatne pomoći u učenju hrvatskog jezika te uključivanje učenika u dodatne aktivnosti usmjerene ka obrazovnoj i socijalnoj integraciji utrošena su sredstva u sveukupnom iznosu od 1.1</w:t>
      </w:r>
      <w:r w:rsidR="00DE35E7">
        <w:rPr>
          <w:rFonts w:cs="Times New Roman"/>
        </w:rPr>
        <w:t>28</w:t>
      </w:r>
      <w:r w:rsidRPr="00016644">
        <w:rPr>
          <w:rFonts w:cs="Times New Roman"/>
        </w:rPr>
        <w:t>.</w:t>
      </w:r>
      <w:r w:rsidR="00DE35E7">
        <w:rPr>
          <w:rFonts w:cs="Times New Roman"/>
        </w:rPr>
        <w:t>460</w:t>
      </w:r>
      <w:r w:rsidRPr="00016644">
        <w:rPr>
          <w:rFonts w:cs="Times New Roman"/>
        </w:rPr>
        <w:t>,</w:t>
      </w:r>
      <w:r w:rsidR="00DE35E7">
        <w:rPr>
          <w:rFonts w:cs="Times New Roman"/>
        </w:rPr>
        <w:t>47</w:t>
      </w:r>
      <w:r w:rsidRPr="00016644">
        <w:rPr>
          <w:rFonts w:cs="Times New Roman"/>
        </w:rPr>
        <w:t xml:space="preserve"> EUR</w:t>
      </w:r>
      <w:r>
        <w:rPr>
          <w:rFonts w:cs="Times New Roman"/>
        </w:rPr>
        <w:t>.</w:t>
      </w:r>
    </w:p>
    <w:p w14:paraId="2A0BE004" w14:textId="77777777" w:rsidR="006B3DE6" w:rsidRPr="00CE622A" w:rsidRDefault="006B3DE6" w:rsidP="00D36147">
      <w:pPr>
        <w:spacing w:after="0" w:line="276" w:lineRule="auto"/>
        <w:jc w:val="both"/>
        <w:rPr>
          <w:rFonts w:cs="Times New Roman"/>
          <w:color w:val="FF0000"/>
        </w:rPr>
      </w:pPr>
    </w:p>
    <w:tbl>
      <w:tblPr>
        <w:tblStyle w:val="TableGrid"/>
        <w:tblW w:w="5000" w:type="pct"/>
        <w:tblLayout w:type="fixed"/>
        <w:tblLook w:val="04A0" w:firstRow="1" w:lastRow="0" w:firstColumn="1" w:lastColumn="0" w:noHBand="0" w:noVBand="1"/>
      </w:tblPr>
      <w:tblGrid>
        <w:gridCol w:w="2646"/>
        <w:gridCol w:w="2510"/>
        <w:gridCol w:w="2092"/>
        <w:gridCol w:w="1814"/>
      </w:tblGrid>
      <w:tr w:rsidR="00CE622A" w:rsidRPr="00CE622A" w14:paraId="23C1FC07" w14:textId="77777777" w:rsidTr="00B66CD2">
        <w:trPr>
          <w:trHeight w:val="1080"/>
        </w:trPr>
        <w:tc>
          <w:tcPr>
            <w:tcW w:w="1460" w:type="pct"/>
            <w:shd w:val="clear" w:color="auto" w:fill="F2F2F2" w:themeFill="background1" w:themeFillShade="F2"/>
            <w:vAlign w:val="center"/>
          </w:tcPr>
          <w:p w14:paraId="68A9E31D" w14:textId="2797A4A0" w:rsidR="006B3DE6" w:rsidRPr="00A86FA4" w:rsidRDefault="007E61F3" w:rsidP="002A04BF">
            <w:pPr>
              <w:rPr>
                <w:rFonts w:cs="Times New Roman"/>
                <w:b/>
                <w:sz w:val="20"/>
                <w:szCs w:val="20"/>
              </w:rPr>
            </w:pPr>
            <w:r w:rsidRPr="00A86FA4">
              <w:rPr>
                <w:rFonts w:cs="Times New Roman"/>
                <w:b/>
                <w:sz w:val="20"/>
                <w:szCs w:val="20"/>
              </w:rPr>
              <w:t>Pokazatelji provedbe i pokazatelji uspješnosti provedbe</w:t>
            </w:r>
          </w:p>
        </w:tc>
        <w:tc>
          <w:tcPr>
            <w:tcW w:w="1385" w:type="pct"/>
            <w:shd w:val="clear" w:color="auto" w:fill="F2F2F2" w:themeFill="background1" w:themeFillShade="F2"/>
            <w:vAlign w:val="center"/>
          </w:tcPr>
          <w:p w14:paraId="587ABBA8" w14:textId="5DA232A4" w:rsidR="006B3DE6" w:rsidRPr="00A86FA4" w:rsidRDefault="006B3DE6" w:rsidP="002A04BF">
            <w:pPr>
              <w:jc w:val="center"/>
              <w:rPr>
                <w:rFonts w:eastAsia="Calibri" w:cs="Times New Roman"/>
                <w:b/>
                <w:strike/>
                <w:sz w:val="20"/>
                <w:szCs w:val="20"/>
              </w:rPr>
            </w:pPr>
            <w:r w:rsidRPr="00A86FA4">
              <w:rPr>
                <w:rFonts w:eastAsia="Calibri" w:cs="Times New Roman"/>
                <w:b/>
                <w:sz w:val="20"/>
                <w:szCs w:val="20"/>
              </w:rPr>
              <w:t>Broj učenika uključenih u produženi boravak</w:t>
            </w:r>
          </w:p>
        </w:tc>
        <w:tc>
          <w:tcPr>
            <w:tcW w:w="1154" w:type="pct"/>
            <w:shd w:val="clear" w:color="auto" w:fill="F2F2F2" w:themeFill="background1" w:themeFillShade="F2"/>
            <w:vAlign w:val="center"/>
          </w:tcPr>
          <w:p w14:paraId="777DF9FD" w14:textId="62CA5AF0" w:rsidR="006B3DE6" w:rsidRPr="00A86FA4" w:rsidRDefault="006B3DE6" w:rsidP="002A04BF">
            <w:pPr>
              <w:jc w:val="center"/>
              <w:rPr>
                <w:rFonts w:cs="Times New Roman"/>
                <w:b/>
                <w:sz w:val="20"/>
                <w:szCs w:val="20"/>
              </w:rPr>
            </w:pPr>
            <w:r w:rsidRPr="00A86FA4">
              <w:rPr>
                <w:rFonts w:eastAsia="Calibri" w:cs="Times New Roman"/>
                <w:b/>
                <w:sz w:val="20"/>
                <w:szCs w:val="20"/>
              </w:rPr>
              <w:t>Broj učenika uključenih u dodatno učenje hrvatskog jezika</w:t>
            </w:r>
          </w:p>
        </w:tc>
        <w:tc>
          <w:tcPr>
            <w:tcW w:w="1001" w:type="pct"/>
            <w:shd w:val="clear" w:color="auto" w:fill="F2F2F2" w:themeFill="background1" w:themeFillShade="F2"/>
            <w:vAlign w:val="center"/>
          </w:tcPr>
          <w:p w14:paraId="36EC5692" w14:textId="2E7426B5" w:rsidR="006B3DE6" w:rsidRPr="00A86FA4" w:rsidRDefault="006B3DE6" w:rsidP="002A04BF">
            <w:pPr>
              <w:jc w:val="center"/>
              <w:rPr>
                <w:rFonts w:cs="Times New Roman"/>
                <w:b/>
                <w:sz w:val="20"/>
                <w:szCs w:val="20"/>
              </w:rPr>
            </w:pPr>
            <w:r w:rsidRPr="00A86FA4">
              <w:rPr>
                <w:rFonts w:eastAsia="Calibri" w:cs="Times New Roman"/>
                <w:b/>
                <w:sz w:val="20"/>
                <w:szCs w:val="20"/>
              </w:rPr>
              <w:t>Broj učenika uključenih u izvannastavne aktivnosti</w:t>
            </w:r>
          </w:p>
        </w:tc>
      </w:tr>
      <w:tr w:rsidR="00016644" w:rsidRPr="00CE622A" w14:paraId="15699361" w14:textId="77777777" w:rsidTr="00FC64BF">
        <w:tc>
          <w:tcPr>
            <w:tcW w:w="1460" w:type="pct"/>
            <w:shd w:val="clear" w:color="auto" w:fill="F2F2F2" w:themeFill="background1" w:themeFillShade="F2"/>
          </w:tcPr>
          <w:p w14:paraId="63EE5BFA" w14:textId="603E5A03" w:rsidR="00016644" w:rsidRPr="00A86FA4" w:rsidRDefault="00016644" w:rsidP="0061594B">
            <w:pPr>
              <w:rPr>
                <w:rFonts w:cs="Times New Roman"/>
                <w:sz w:val="20"/>
                <w:szCs w:val="20"/>
              </w:rPr>
            </w:pPr>
            <w:r w:rsidRPr="00A86FA4">
              <w:rPr>
                <w:rFonts w:cs="Times New Roman"/>
                <w:sz w:val="20"/>
                <w:szCs w:val="20"/>
              </w:rPr>
              <w:t xml:space="preserve">Planirani ishodi za pokazatelje provedbe u 2024. </w:t>
            </w:r>
          </w:p>
        </w:tc>
        <w:tc>
          <w:tcPr>
            <w:tcW w:w="1385" w:type="pct"/>
          </w:tcPr>
          <w:p w14:paraId="4A4B71F1" w14:textId="62CE0D99" w:rsidR="00016644" w:rsidRPr="00A86FA4" w:rsidRDefault="00016644" w:rsidP="00016644">
            <w:pPr>
              <w:jc w:val="center"/>
              <w:rPr>
                <w:rFonts w:cs="Times New Roman"/>
                <w:sz w:val="20"/>
                <w:szCs w:val="20"/>
              </w:rPr>
            </w:pPr>
            <w:r w:rsidRPr="00A86FA4">
              <w:rPr>
                <w:rFonts w:eastAsia="Calibri"/>
                <w:sz w:val="20"/>
                <w:szCs w:val="20"/>
              </w:rPr>
              <w:t>700</w:t>
            </w:r>
          </w:p>
        </w:tc>
        <w:tc>
          <w:tcPr>
            <w:tcW w:w="1154" w:type="pct"/>
          </w:tcPr>
          <w:p w14:paraId="4B5F0883" w14:textId="15EC8538" w:rsidR="00016644" w:rsidRPr="00A86FA4" w:rsidRDefault="00016644" w:rsidP="00016644">
            <w:pPr>
              <w:jc w:val="center"/>
              <w:rPr>
                <w:rFonts w:cs="Times New Roman"/>
                <w:sz w:val="20"/>
                <w:szCs w:val="20"/>
              </w:rPr>
            </w:pPr>
            <w:r w:rsidRPr="00A86FA4">
              <w:rPr>
                <w:rFonts w:eastAsia="Calibri"/>
                <w:sz w:val="20"/>
                <w:szCs w:val="20"/>
              </w:rPr>
              <w:t>400</w:t>
            </w:r>
          </w:p>
        </w:tc>
        <w:tc>
          <w:tcPr>
            <w:tcW w:w="1001" w:type="pct"/>
          </w:tcPr>
          <w:p w14:paraId="17D65AE4" w14:textId="2DBF78A1" w:rsidR="00016644" w:rsidRPr="00A86FA4" w:rsidRDefault="00016644" w:rsidP="00016644">
            <w:pPr>
              <w:jc w:val="center"/>
              <w:rPr>
                <w:rFonts w:cs="Times New Roman"/>
                <w:sz w:val="20"/>
                <w:szCs w:val="20"/>
              </w:rPr>
            </w:pPr>
            <w:r w:rsidRPr="00A86FA4">
              <w:rPr>
                <w:rFonts w:cs="Times New Roman"/>
                <w:sz w:val="20"/>
                <w:szCs w:val="20"/>
              </w:rPr>
              <w:t>300</w:t>
            </w:r>
          </w:p>
        </w:tc>
      </w:tr>
      <w:tr w:rsidR="00016644" w:rsidRPr="00CE622A" w14:paraId="31776C40" w14:textId="77777777" w:rsidTr="00FC64BF">
        <w:tc>
          <w:tcPr>
            <w:tcW w:w="1460" w:type="pct"/>
            <w:shd w:val="clear" w:color="auto" w:fill="F2F2F2" w:themeFill="background1" w:themeFillShade="F2"/>
          </w:tcPr>
          <w:p w14:paraId="0E47ACB5" w14:textId="530FFF61" w:rsidR="00016644" w:rsidRPr="00A86FA4" w:rsidRDefault="00016644" w:rsidP="0061594B">
            <w:pPr>
              <w:rPr>
                <w:rFonts w:cs="Times New Roman"/>
                <w:sz w:val="20"/>
                <w:szCs w:val="20"/>
              </w:rPr>
            </w:pPr>
            <w:r w:rsidRPr="00A86FA4">
              <w:rPr>
                <w:rFonts w:cs="Times New Roman"/>
                <w:sz w:val="20"/>
                <w:szCs w:val="20"/>
              </w:rPr>
              <w:t xml:space="preserve">Ostvareni ishodi za pokazatelje provedbe u 2024. </w:t>
            </w:r>
          </w:p>
        </w:tc>
        <w:tc>
          <w:tcPr>
            <w:tcW w:w="1385" w:type="pct"/>
          </w:tcPr>
          <w:p w14:paraId="5999C94C" w14:textId="77777777" w:rsidR="00016644" w:rsidRPr="00A86FA4" w:rsidRDefault="00016644" w:rsidP="00016644">
            <w:pPr>
              <w:jc w:val="center"/>
              <w:rPr>
                <w:rFonts w:eastAsia="Calibri"/>
                <w:b/>
                <w:sz w:val="20"/>
                <w:szCs w:val="20"/>
              </w:rPr>
            </w:pPr>
            <w:r w:rsidRPr="00A86FA4">
              <w:rPr>
                <w:rFonts w:eastAsia="Calibri"/>
                <w:sz w:val="20"/>
                <w:szCs w:val="20"/>
              </w:rPr>
              <w:t>(kraj šk. god. 2023./2024.)</w:t>
            </w:r>
          </w:p>
          <w:p w14:paraId="7BCC5F7B" w14:textId="77777777" w:rsidR="00016644" w:rsidRPr="00A86FA4" w:rsidRDefault="00016644" w:rsidP="00016644">
            <w:pPr>
              <w:jc w:val="center"/>
              <w:rPr>
                <w:rFonts w:eastAsia="Calibri"/>
                <w:b/>
                <w:sz w:val="20"/>
                <w:szCs w:val="20"/>
              </w:rPr>
            </w:pPr>
            <w:r w:rsidRPr="00A86FA4">
              <w:rPr>
                <w:rFonts w:eastAsia="Calibri"/>
                <w:b/>
                <w:sz w:val="20"/>
                <w:szCs w:val="20"/>
              </w:rPr>
              <w:t>803 (417m/386ž)</w:t>
            </w:r>
          </w:p>
          <w:p w14:paraId="6EB965A1" w14:textId="44382AB0" w:rsidR="00016644" w:rsidRPr="00A86FA4" w:rsidRDefault="00016644" w:rsidP="00016644">
            <w:pPr>
              <w:jc w:val="center"/>
              <w:rPr>
                <w:rFonts w:cs="Times New Roman"/>
                <w:sz w:val="20"/>
                <w:szCs w:val="20"/>
              </w:rPr>
            </w:pPr>
          </w:p>
        </w:tc>
        <w:tc>
          <w:tcPr>
            <w:tcW w:w="1154" w:type="pct"/>
          </w:tcPr>
          <w:p w14:paraId="14A758BD" w14:textId="77777777" w:rsidR="00016644" w:rsidRPr="00A86FA4" w:rsidRDefault="00016644" w:rsidP="00016644">
            <w:pPr>
              <w:jc w:val="center"/>
              <w:rPr>
                <w:rFonts w:eastAsia="Calibri"/>
                <w:b/>
                <w:sz w:val="20"/>
                <w:szCs w:val="20"/>
              </w:rPr>
            </w:pPr>
            <w:r w:rsidRPr="00A86FA4">
              <w:rPr>
                <w:rFonts w:eastAsia="Calibri"/>
                <w:sz w:val="20"/>
                <w:szCs w:val="20"/>
              </w:rPr>
              <w:t>(kraj šk. god. 2023./2024.)</w:t>
            </w:r>
          </w:p>
          <w:p w14:paraId="597CD570" w14:textId="39CA727C" w:rsidR="00016644" w:rsidRPr="00A86FA4" w:rsidRDefault="00016644" w:rsidP="00016644">
            <w:pPr>
              <w:jc w:val="center"/>
              <w:rPr>
                <w:rFonts w:cs="Times New Roman"/>
                <w:sz w:val="20"/>
                <w:szCs w:val="20"/>
              </w:rPr>
            </w:pPr>
            <w:r w:rsidRPr="00A86FA4">
              <w:rPr>
                <w:rFonts w:eastAsia="Calibri"/>
                <w:b/>
                <w:sz w:val="20"/>
                <w:szCs w:val="20"/>
              </w:rPr>
              <w:t>626 (337m/289ž)</w:t>
            </w:r>
          </w:p>
        </w:tc>
        <w:tc>
          <w:tcPr>
            <w:tcW w:w="1001" w:type="pct"/>
          </w:tcPr>
          <w:p w14:paraId="2514FE95" w14:textId="058F5CAE" w:rsidR="00016644" w:rsidRPr="00A86FA4" w:rsidRDefault="00016644" w:rsidP="00016644">
            <w:pPr>
              <w:jc w:val="center"/>
              <w:rPr>
                <w:rFonts w:cs="Times New Roman"/>
                <w:sz w:val="20"/>
                <w:szCs w:val="20"/>
              </w:rPr>
            </w:pPr>
            <w:r w:rsidRPr="00A86FA4">
              <w:rPr>
                <w:rFonts w:cs="Times New Roman"/>
                <w:sz w:val="20"/>
                <w:szCs w:val="20"/>
              </w:rPr>
              <w:t>280</w:t>
            </w:r>
          </w:p>
        </w:tc>
      </w:tr>
      <w:tr w:rsidR="00016644" w:rsidRPr="00CE622A" w14:paraId="0B87863E" w14:textId="77777777" w:rsidTr="00B66CD2">
        <w:tc>
          <w:tcPr>
            <w:tcW w:w="1460" w:type="pct"/>
            <w:shd w:val="clear" w:color="auto" w:fill="F2F2F2" w:themeFill="background1" w:themeFillShade="F2"/>
            <w:vAlign w:val="center"/>
          </w:tcPr>
          <w:p w14:paraId="4D80B016" w14:textId="77777777" w:rsidR="00016644" w:rsidRPr="00A86FA4" w:rsidRDefault="00016644" w:rsidP="00016644">
            <w:pPr>
              <w:rPr>
                <w:rFonts w:cs="Times New Roman"/>
                <w:b/>
                <w:sz w:val="20"/>
                <w:szCs w:val="20"/>
              </w:rPr>
            </w:pPr>
            <w:r w:rsidRPr="00A86FA4">
              <w:rPr>
                <w:rFonts w:cs="Times New Roman"/>
                <w:b/>
                <w:sz w:val="20"/>
                <w:szCs w:val="20"/>
              </w:rPr>
              <w:t xml:space="preserve">IZVORI FINANCIRANJA </w:t>
            </w:r>
          </w:p>
        </w:tc>
        <w:tc>
          <w:tcPr>
            <w:tcW w:w="1385" w:type="pct"/>
            <w:vAlign w:val="center"/>
          </w:tcPr>
          <w:p w14:paraId="5CF017DA" w14:textId="77777777" w:rsidR="00016644" w:rsidRPr="00A86FA4" w:rsidRDefault="00016644" w:rsidP="00016644">
            <w:pPr>
              <w:jc w:val="center"/>
              <w:rPr>
                <w:rFonts w:cs="Times New Roman"/>
                <w:b/>
                <w:sz w:val="20"/>
                <w:szCs w:val="20"/>
              </w:rPr>
            </w:pPr>
            <w:r w:rsidRPr="00A86FA4">
              <w:rPr>
                <w:rFonts w:cs="Times New Roman"/>
                <w:b/>
                <w:sz w:val="20"/>
                <w:szCs w:val="20"/>
              </w:rPr>
              <w:t>Državni proračun (EUR)</w:t>
            </w:r>
          </w:p>
        </w:tc>
        <w:tc>
          <w:tcPr>
            <w:tcW w:w="1154" w:type="pct"/>
            <w:vAlign w:val="center"/>
          </w:tcPr>
          <w:p w14:paraId="01CFFA90" w14:textId="77777777" w:rsidR="00016644" w:rsidRPr="00A86FA4" w:rsidRDefault="00016644" w:rsidP="00016644">
            <w:pPr>
              <w:jc w:val="center"/>
              <w:rPr>
                <w:rFonts w:cs="Times New Roman"/>
                <w:b/>
                <w:sz w:val="20"/>
                <w:szCs w:val="20"/>
              </w:rPr>
            </w:pPr>
            <w:r w:rsidRPr="00A86FA4">
              <w:rPr>
                <w:rFonts w:cs="Times New Roman"/>
                <w:b/>
                <w:sz w:val="20"/>
                <w:szCs w:val="20"/>
              </w:rPr>
              <w:t>EU financiranje (EUR)</w:t>
            </w:r>
          </w:p>
        </w:tc>
        <w:tc>
          <w:tcPr>
            <w:tcW w:w="1001" w:type="pct"/>
            <w:vAlign w:val="center"/>
          </w:tcPr>
          <w:p w14:paraId="22CC1D2A" w14:textId="77777777" w:rsidR="00016644" w:rsidRPr="00A86FA4" w:rsidRDefault="00016644" w:rsidP="00016644">
            <w:pPr>
              <w:jc w:val="center"/>
              <w:rPr>
                <w:rFonts w:cs="Times New Roman"/>
                <w:b/>
                <w:sz w:val="20"/>
                <w:szCs w:val="20"/>
              </w:rPr>
            </w:pPr>
            <w:r w:rsidRPr="00A86FA4">
              <w:rPr>
                <w:rFonts w:cs="Times New Roman"/>
                <w:b/>
                <w:sz w:val="20"/>
                <w:szCs w:val="20"/>
              </w:rPr>
              <w:t>Drugi izvori (EUR)</w:t>
            </w:r>
          </w:p>
        </w:tc>
      </w:tr>
      <w:tr w:rsidR="00016644" w:rsidRPr="00CE622A" w14:paraId="740742DD" w14:textId="77777777" w:rsidTr="00B66CD2">
        <w:tc>
          <w:tcPr>
            <w:tcW w:w="1460" w:type="pct"/>
            <w:shd w:val="clear" w:color="auto" w:fill="F2F2F2" w:themeFill="background1" w:themeFillShade="F2"/>
            <w:vAlign w:val="center"/>
          </w:tcPr>
          <w:p w14:paraId="6935A28E" w14:textId="27C5015C" w:rsidR="00016644" w:rsidRPr="00A86FA4" w:rsidRDefault="00016644" w:rsidP="0061594B">
            <w:pPr>
              <w:rPr>
                <w:rFonts w:cs="Times New Roman"/>
                <w:sz w:val="20"/>
                <w:szCs w:val="20"/>
              </w:rPr>
            </w:pPr>
            <w:r w:rsidRPr="00A86FA4">
              <w:rPr>
                <w:rFonts w:cs="Times New Roman"/>
                <w:sz w:val="20"/>
                <w:szCs w:val="20"/>
              </w:rPr>
              <w:t>Izvori financiranja u 202</w:t>
            </w:r>
            <w:r w:rsidR="00505158" w:rsidRPr="00A86FA4">
              <w:rPr>
                <w:rFonts w:cs="Times New Roman"/>
                <w:sz w:val="20"/>
                <w:szCs w:val="20"/>
              </w:rPr>
              <w:t>4</w:t>
            </w:r>
            <w:r w:rsidRPr="00A86FA4">
              <w:rPr>
                <w:rFonts w:cs="Times New Roman"/>
                <w:sz w:val="20"/>
                <w:szCs w:val="20"/>
              </w:rPr>
              <w:t>. (proračunska pozicija i predviđeni iznos sredstava)</w:t>
            </w:r>
          </w:p>
        </w:tc>
        <w:tc>
          <w:tcPr>
            <w:tcW w:w="1385" w:type="pct"/>
            <w:vAlign w:val="center"/>
          </w:tcPr>
          <w:p w14:paraId="1E4C7AA7" w14:textId="14E81B69" w:rsidR="00016644" w:rsidRPr="00A86FA4" w:rsidRDefault="00016644" w:rsidP="00016644">
            <w:pPr>
              <w:jc w:val="center"/>
              <w:rPr>
                <w:rFonts w:cs="Times New Roman"/>
                <w:sz w:val="20"/>
                <w:szCs w:val="20"/>
              </w:rPr>
            </w:pPr>
          </w:p>
        </w:tc>
        <w:tc>
          <w:tcPr>
            <w:tcW w:w="1154" w:type="pct"/>
            <w:vAlign w:val="center"/>
          </w:tcPr>
          <w:p w14:paraId="770A1E0C" w14:textId="77777777" w:rsidR="00016644" w:rsidRPr="00A86FA4" w:rsidRDefault="00016644" w:rsidP="00016644">
            <w:pPr>
              <w:jc w:val="center"/>
              <w:rPr>
                <w:rFonts w:cs="Times New Roman"/>
                <w:sz w:val="20"/>
                <w:szCs w:val="20"/>
              </w:rPr>
            </w:pPr>
            <w:r w:rsidRPr="00A86FA4">
              <w:rPr>
                <w:rFonts w:cs="Times New Roman"/>
                <w:sz w:val="20"/>
                <w:szCs w:val="20"/>
              </w:rPr>
              <w:t>0,00</w:t>
            </w:r>
          </w:p>
        </w:tc>
        <w:tc>
          <w:tcPr>
            <w:tcW w:w="1001" w:type="pct"/>
            <w:vAlign w:val="center"/>
          </w:tcPr>
          <w:p w14:paraId="5A2FBA34" w14:textId="77777777" w:rsidR="00016644" w:rsidRPr="00A86FA4" w:rsidRDefault="00016644" w:rsidP="00016644">
            <w:pPr>
              <w:jc w:val="center"/>
              <w:rPr>
                <w:rFonts w:cs="Times New Roman"/>
                <w:sz w:val="20"/>
                <w:szCs w:val="20"/>
              </w:rPr>
            </w:pPr>
            <w:r w:rsidRPr="00A86FA4">
              <w:rPr>
                <w:rFonts w:cs="Times New Roman"/>
                <w:sz w:val="20"/>
                <w:szCs w:val="20"/>
              </w:rPr>
              <w:t xml:space="preserve">0,00 </w:t>
            </w:r>
          </w:p>
        </w:tc>
      </w:tr>
      <w:tr w:rsidR="00016644" w:rsidRPr="00CE622A" w14:paraId="130B4AF9" w14:textId="77777777" w:rsidTr="00B66CD2">
        <w:tc>
          <w:tcPr>
            <w:tcW w:w="1460" w:type="pct"/>
            <w:vMerge w:val="restart"/>
            <w:shd w:val="clear" w:color="auto" w:fill="F2F2F2" w:themeFill="background1" w:themeFillShade="F2"/>
            <w:vAlign w:val="center"/>
          </w:tcPr>
          <w:p w14:paraId="559D20A7" w14:textId="77777777" w:rsidR="00016644" w:rsidRPr="00A86FA4" w:rsidRDefault="00016644" w:rsidP="00016644">
            <w:pPr>
              <w:rPr>
                <w:rFonts w:cs="Times New Roman"/>
                <w:b/>
                <w:sz w:val="20"/>
                <w:szCs w:val="20"/>
              </w:rPr>
            </w:pPr>
            <w:r w:rsidRPr="00A86FA4">
              <w:rPr>
                <w:rFonts w:cs="Times New Roman"/>
                <w:b/>
                <w:sz w:val="20"/>
                <w:szCs w:val="20"/>
              </w:rPr>
              <w:t xml:space="preserve">UKUPNO UTROŠENA SREDSTVA PO IZVORU </w:t>
            </w:r>
          </w:p>
        </w:tc>
        <w:tc>
          <w:tcPr>
            <w:tcW w:w="1385" w:type="pct"/>
            <w:vAlign w:val="center"/>
          </w:tcPr>
          <w:p w14:paraId="07FA96FD" w14:textId="77777777" w:rsidR="00016644" w:rsidRPr="00A86FA4" w:rsidRDefault="00016644" w:rsidP="00016644">
            <w:pPr>
              <w:jc w:val="center"/>
              <w:rPr>
                <w:rFonts w:cs="Times New Roman"/>
                <w:b/>
                <w:sz w:val="20"/>
                <w:szCs w:val="20"/>
              </w:rPr>
            </w:pPr>
            <w:r w:rsidRPr="00A86FA4">
              <w:rPr>
                <w:rFonts w:cs="Times New Roman"/>
                <w:b/>
                <w:sz w:val="20"/>
                <w:szCs w:val="20"/>
              </w:rPr>
              <w:t>Državni proračun (EUR)</w:t>
            </w:r>
          </w:p>
        </w:tc>
        <w:tc>
          <w:tcPr>
            <w:tcW w:w="1154" w:type="pct"/>
            <w:vAlign w:val="center"/>
          </w:tcPr>
          <w:p w14:paraId="337F261A" w14:textId="77777777" w:rsidR="00016644" w:rsidRPr="00A86FA4" w:rsidRDefault="00016644" w:rsidP="00016644">
            <w:pPr>
              <w:jc w:val="center"/>
              <w:rPr>
                <w:rFonts w:cs="Times New Roman"/>
                <w:b/>
                <w:sz w:val="20"/>
                <w:szCs w:val="20"/>
              </w:rPr>
            </w:pPr>
            <w:r w:rsidRPr="00A86FA4">
              <w:rPr>
                <w:rFonts w:cs="Times New Roman"/>
                <w:b/>
                <w:sz w:val="20"/>
                <w:szCs w:val="20"/>
              </w:rPr>
              <w:t>EU financiranje (EUR)</w:t>
            </w:r>
          </w:p>
        </w:tc>
        <w:tc>
          <w:tcPr>
            <w:tcW w:w="1001" w:type="pct"/>
            <w:vAlign w:val="center"/>
          </w:tcPr>
          <w:p w14:paraId="2FE58425" w14:textId="77777777" w:rsidR="00016644" w:rsidRPr="00A86FA4" w:rsidRDefault="00016644" w:rsidP="00016644">
            <w:pPr>
              <w:jc w:val="center"/>
              <w:rPr>
                <w:rFonts w:cs="Times New Roman"/>
                <w:b/>
                <w:sz w:val="20"/>
                <w:szCs w:val="20"/>
              </w:rPr>
            </w:pPr>
            <w:r w:rsidRPr="00A86FA4">
              <w:rPr>
                <w:rFonts w:cs="Times New Roman"/>
                <w:b/>
                <w:sz w:val="20"/>
                <w:szCs w:val="20"/>
              </w:rPr>
              <w:t>Drugi izvori (EUR)</w:t>
            </w:r>
          </w:p>
        </w:tc>
      </w:tr>
      <w:tr w:rsidR="00016644" w:rsidRPr="00CE622A" w14:paraId="2E65E2C7" w14:textId="77777777" w:rsidTr="00B66CD2">
        <w:tc>
          <w:tcPr>
            <w:tcW w:w="1460" w:type="pct"/>
            <w:vMerge/>
            <w:shd w:val="clear" w:color="auto" w:fill="F2F2F2" w:themeFill="background1" w:themeFillShade="F2"/>
            <w:vAlign w:val="center"/>
          </w:tcPr>
          <w:p w14:paraId="3347E988" w14:textId="77777777" w:rsidR="00016644" w:rsidRPr="00A86FA4" w:rsidRDefault="00016644" w:rsidP="00016644">
            <w:pPr>
              <w:rPr>
                <w:rFonts w:cs="Times New Roman"/>
                <w:b/>
                <w:sz w:val="20"/>
                <w:szCs w:val="20"/>
              </w:rPr>
            </w:pPr>
          </w:p>
        </w:tc>
        <w:tc>
          <w:tcPr>
            <w:tcW w:w="1385" w:type="pct"/>
            <w:vAlign w:val="center"/>
          </w:tcPr>
          <w:p w14:paraId="61FF437B" w14:textId="59AAD7E4" w:rsidR="00DE35E7" w:rsidRPr="00423491" w:rsidRDefault="00DE35E7" w:rsidP="00423491">
            <w:pPr>
              <w:jc w:val="both"/>
              <w:rPr>
                <w:rFonts w:cs="Times New Roman"/>
                <w:sz w:val="20"/>
                <w:szCs w:val="20"/>
              </w:rPr>
            </w:pPr>
            <w:r w:rsidRPr="00423491">
              <w:rPr>
                <w:rFonts w:cs="Times New Roman"/>
                <w:sz w:val="20"/>
                <w:szCs w:val="20"/>
              </w:rPr>
              <w:t>produženi boravak 472.782,5</w:t>
            </w:r>
            <w:r>
              <w:rPr>
                <w:rFonts w:cs="Times New Roman"/>
                <w:sz w:val="20"/>
                <w:szCs w:val="20"/>
              </w:rPr>
              <w:t>0 EUR</w:t>
            </w:r>
            <w:r w:rsidRPr="00423491">
              <w:rPr>
                <w:rFonts w:cs="Times New Roman"/>
                <w:sz w:val="20"/>
                <w:szCs w:val="20"/>
              </w:rPr>
              <w:t xml:space="preserve"> (A767015 418.950,64 + A 577137 911,13 + A 577131 52.920,73) </w:t>
            </w:r>
          </w:p>
          <w:p w14:paraId="7F834D28" w14:textId="7C96FFE3" w:rsidR="00DE35E7" w:rsidRPr="00423491" w:rsidRDefault="00DE35E7" w:rsidP="00423491">
            <w:pPr>
              <w:jc w:val="both"/>
              <w:rPr>
                <w:rFonts w:cs="Times New Roman"/>
                <w:sz w:val="20"/>
                <w:szCs w:val="20"/>
              </w:rPr>
            </w:pPr>
            <w:r w:rsidRPr="00935AF2">
              <w:rPr>
                <w:rFonts w:cs="Times New Roman"/>
                <w:sz w:val="20"/>
                <w:szCs w:val="20"/>
              </w:rPr>
              <w:t>plaće romskih pomagača</w:t>
            </w:r>
            <w:r w:rsidRPr="00637207">
              <w:rPr>
                <w:rFonts w:cs="Times New Roman"/>
                <w:sz w:val="20"/>
                <w:szCs w:val="20"/>
              </w:rPr>
              <w:t xml:space="preserve"> </w:t>
            </w:r>
            <w:r w:rsidRPr="00423491">
              <w:rPr>
                <w:rFonts w:cs="Times New Roman"/>
                <w:sz w:val="20"/>
                <w:szCs w:val="20"/>
              </w:rPr>
              <w:t>A579000 507.057,00 EUR</w:t>
            </w:r>
          </w:p>
          <w:p w14:paraId="6CD16AFA" w14:textId="43E9098F" w:rsidR="00DE35E7" w:rsidRDefault="00DE35E7" w:rsidP="00423491">
            <w:pPr>
              <w:jc w:val="both"/>
              <w:rPr>
                <w:rFonts w:cs="Times New Roman"/>
                <w:sz w:val="20"/>
                <w:szCs w:val="20"/>
              </w:rPr>
            </w:pPr>
            <w:r w:rsidRPr="00423491">
              <w:rPr>
                <w:rFonts w:cs="Times New Roman"/>
                <w:sz w:val="20"/>
                <w:szCs w:val="20"/>
              </w:rPr>
              <w:t>izvanučionička nastava 148.620,97</w:t>
            </w:r>
            <w:r>
              <w:rPr>
                <w:rFonts w:cs="Times New Roman"/>
                <w:sz w:val="20"/>
                <w:szCs w:val="20"/>
              </w:rPr>
              <w:t xml:space="preserve"> EUR</w:t>
            </w:r>
            <w:r w:rsidRPr="00423491">
              <w:rPr>
                <w:rFonts w:cs="Times New Roman"/>
                <w:sz w:val="20"/>
                <w:szCs w:val="20"/>
              </w:rPr>
              <w:t xml:space="preserve"> (</w:t>
            </w:r>
            <w:r>
              <w:rPr>
                <w:rFonts w:cs="Times New Roman"/>
                <w:sz w:val="20"/>
                <w:szCs w:val="20"/>
              </w:rPr>
              <w:t xml:space="preserve">A </w:t>
            </w:r>
            <w:r w:rsidRPr="00423491">
              <w:rPr>
                <w:rFonts w:cs="Times New Roman"/>
                <w:sz w:val="20"/>
                <w:szCs w:val="20"/>
              </w:rPr>
              <w:t>767015 143.483,97, A 577137 5.137,00)</w:t>
            </w:r>
          </w:p>
          <w:p w14:paraId="721E3DB0" w14:textId="6C69E2AC" w:rsidR="00DE35E7" w:rsidRDefault="00DE35E7" w:rsidP="00423491">
            <w:pPr>
              <w:jc w:val="both"/>
              <w:rPr>
                <w:rFonts w:cs="Times New Roman"/>
                <w:sz w:val="20"/>
                <w:szCs w:val="20"/>
              </w:rPr>
            </w:pPr>
            <w:r>
              <w:rPr>
                <w:rFonts w:cs="Times New Roman"/>
                <w:sz w:val="20"/>
                <w:szCs w:val="20"/>
              </w:rPr>
              <w:t>ukupno</w:t>
            </w:r>
          </w:p>
          <w:p w14:paraId="1E61CB85" w14:textId="34C4AD20" w:rsidR="00DE35E7" w:rsidRPr="00637207" w:rsidRDefault="00DE35E7" w:rsidP="00423491">
            <w:pPr>
              <w:jc w:val="both"/>
              <w:rPr>
                <w:rFonts w:cs="Times New Roman"/>
                <w:b/>
                <w:sz w:val="20"/>
                <w:szCs w:val="20"/>
              </w:rPr>
            </w:pPr>
            <w:r w:rsidRPr="00423491">
              <w:rPr>
                <w:rFonts w:cs="Times New Roman"/>
                <w:b/>
                <w:sz w:val="20"/>
                <w:szCs w:val="20"/>
              </w:rPr>
              <w:t>1.128.460,47 EUR</w:t>
            </w:r>
          </w:p>
          <w:p w14:paraId="138E6348" w14:textId="45BFDEC1" w:rsidR="00DE35E7" w:rsidRPr="00A86FA4" w:rsidRDefault="00DE35E7" w:rsidP="00DE35E7">
            <w:pPr>
              <w:jc w:val="center"/>
              <w:rPr>
                <w:rFonts w:cs="Times New Roman"/>
                <w:b/>
                <w:sz w:val="20"/>
                <w:szCs w:val="20"/>
              </w:rPr>
            </w:pPr>
          </w:p>
        </w:tc>
        <w:tc>
          <w:tcPr>
            <w:tcW w:w="1154" w:type="pct"/>
            <w:vAlign w:val="center"/>
          </w:tcPr>
          <w:p w14:paraId="58837B00" w14:textId="77777777" w:rsidR="00016644" w:rsidRPr="00A86FA4" w:rsidRDefault="00016644" w:rsidP="00016644">
            <w:pPr>
              <w:jc w:val="center"/>
              <w:rPr>
                <w:rFonts w:cs="Times New Roman"/>
                <w:b/>
                <w:sz w:val="20"/>
                <w:szCs w:val="20"/>
              </w:rPr>
            </w:pPr>
            <w:r w:rsidRPr="00A86FA4">
              <w:rPr>
                <w:rFonts w:cs="Times New Roman"/>
                <w:b/>
                <w:sz w:val="20"/>
                <w:szCs w:val="20"/>
              </w:rPr>
              <w:t>0,00</w:t>
            </w:r>
          </w:p>
        </w:tc>
        <w:tc>
          <w:tcPr>
            <w:tcW w:w="1001" w:type="pct"/>
            <w:vAlign w:val="center"/>
          </w:tcPr>
          <w:p w14:paraId="47129188" w14:textId="77777777" w:rsidR="00016644" w:rsidRPr="00A86FA4" w:rsidRDefault="00016644" w:rsidP="00016644">
            <w:pPr>
              <w:jc w:val="center"/>
              <w:rPr>
                <w:rFonts w:cs="Times New Roman"/>
                <w:b/>
                <w:sz w:val="20"/>
                <w:szCs w:val="20"/>
              </w:rPr>
            </w:pPr>
            <w:r w:rsidRPr="00A86FA4">
              <w:rPr>
                <w:rFonts w:cs="Times New Roman"/>
                <w:b/>
                <w:sz w:val="20"/>
                <w:szCs w:val="20"/>
              </w:rPr>
              <w:t xml:space="preserve">0,00 </w:t>
            </w:r>
          </w:p>
        </w:tc>
      </w:tr>
      <w:tr w:rsidR="00016644" w:rsidRPr="00CE622A" w14:paraId="4AC61E07" w14:textId="77777777" w:rsidTr="00B66CD2">
        <w:tc>
          <w:tcPr>
            <w:tcW w:w="1460" w:type="pct"/>
            <w:shd w:val="clear" w:color="auto" w:fill="F2F2F2" w:themeFill="background1" w:themeFillShade="F2"/>
            <w:vAlign w:val="center"/>
          </w:tcPr>
          <w:p w14:paraId="15B9B401" w14:textId="0BF6DB1A" w:rsidR="00016644" w:rsidRPr="00A86FA4" w:rsidRDefault="00016644" w:rsidP="00016644">
            <w:pPr>
              <w:rPr>
                <w:rFonts w:cs="Times New Roman"/>
                <w:sz w:val="20"/>
                <w:szCs w:val="20"/>
              </w:rPr>
            </w:pPr>
            <w:r w:rsidRPr="00A86FA4">
              <w:rPr>
                <w:rFonts w:cs="Times New Roman"/>
                <w:sz w:val="20"/>
                <w:szCs w:val="20"/>
              </w:rPr>
              <w:t>ROK PROVEDBE AKTIVNOSTI</w:t>
            </w:r>
          </w:p>
        </w:tc>
        <w:tc>
          <w:tcPr>
            <w:tcW w:w="3540" w:type="pct"/>
            <w:gridSpan w:val="3"/>
            <w:vAlign w:val="center"/>
          </w:tcPr>
          <w:p w14:paraId="103B3753" w14:textId="108B5DF1" w:rsidR="00016644" w:rsidRPr="00A86FA4" w:rsidRDefault="00016644" w:rsidP="00016644">
            <w:pPr>
              <w:rPr>
                <w:rFonts w:cs="Times New Roman"/>
                <w:sz w:val="20"/>
                <w:szCs w:val="20"/>
              </w:rPr>
            </w:pPr>
            <w:r w:rsidRPr="00A86FA4">
              <w:rPr>
                <w:rFonts w:cs="Times New Roman"/>
                <w:sz w:val="20"/>
                <w:szCs w:val="20"/>
              </w:rPr>
              <w:t xml:space="preserve">IV. kvartal 2025. </w:t>
            </w:r>
          </w:p>
        </w:tc>
      </w:tr>
    </w:tbl>
    <w:p w14:paraId="10815310" w14:textId="714C2516" w:rsidR="006B3DE6" w:rsidRDefault="006B3DE6" w:rsidP="004A3B23">
      <w:pPr>
        <w:spacing w:after="0" w:line="276" w:lineRule="auto"/>
        <w:jc w:val="both"/>
        <w:rPr>
          <w:rFonts w:cs="Times New Roman"/>
        </w:rPr>
      </w:pPr>
    </w:p>
    <w:p w14:paraId="1137B6E8" w14:textId="77777777" w:rsidR="00287FDA" w:rsidRPr="00287FDA" w:rsidRDefault="00287FDA" w:rsidP="004A3B23">
      <w:pPr>
        <w:spacing w:after="0" w:line="276" w:lineRule="auto"/>
        <w:jc w:val="both"/>
        <w:rPr>
          <w:rFonts w:cs="Times New Roman"/>
        </w:rPr>
      </w:pPr>
    </w:p>
    <w:p w14:paraId="569EE9F3" w14:textId="1BD3F11E" w:rsidR="00C65A9E" w:rsidRPr="00287FDA" w:rsidRDefault="002D20C6" w:rsidP="00D36147">
      <w:pPr>
        <w:spacing w:after="0" w:line="276" w:lineRule="auto"/>
        <w:jc w:val="both"/>
        <w:rPr>
          <w:rFonts w:cs="Times New Roman"/>
          <w:i/>
          <w:iCs/>
        </w:rPr>
      </w:pPr>
      <w:r w:rsidRPr="00287FDA">
        <w:rPr>
          <w:rFonts w:cs="Times New Roman"/>
          <w:i/>
          <w:iCs/>
        </w:rPr>
        <w:t xml:space="preserve">Aktivnost </w:t>
      </w:r>
      <w:r w:rsidR="001A6535" w:rsidRPr="00287FDA">
        <w:rPr>
          <w:rFonts w:cs="Times New Roman"/>
          <w:i/>
          <w:iCs/>
        </w:rPr>
        <w:t>4.3.</w:t>
      </w:r>
      <w:r w:rsidR="00492B9B" w:rsidRPr="00287FDA">
        <w:rPr>
          <w:rFonts w:cs="Times New Roman"/>
          <w:i/>
          <w:iCs/>
        </w:rPr>
        <w:t>5</w:t>
      </w:r>
      <w:r w:rsidR="001A6535" w:rsidRPr="00287FDA">
        <w:rPr>
          <w:rFonts w:cs="Times New Roman"/>
          <w:i/>
          <w:iCs/>
        </w:rPr>
        <w:t>.</w:t>
      </w:r>
      <w:r w:rsidRPr="00287FDA">
        <w:rPr>
          <w:rFonts w:cs="Times New Roman"/>
          <w:i/>
          <w:iCs/>
        </w:rPr>
        <w:t xml:space="preserve"> </w:t>
      </w:r>
      <w:r w:rsidR="001A6535" w:rsidRPr="00287FDA">
        <w:rPr>
          <w:rFonts w:cs="Times New Roman"/>
          <w:i/>
          <w:iCs/>
        </w:rPr>
        <w:t>Sufinanciranje ljetnih škola te drugih posebnih programa za učenike pripad</w:t>
      </w:r>
      <w:r w:rsidR="00C65A9E" w:rsidRPr="00287FDA">
        <w:rPr>
          <w:rFonts w:cs="Times New Roman"/>
          <w:i/>
          <w:iCs/>
        </w:rPr>
        <w:t>nike romske nacionalne manjine</w:t>
      </w:r>
    </w:p>
    <w:p w14:paraId="437839AA" w14:textId="36D0E1F8" w:rsidR="00C65A9E" w:rsidRPr="00287FDA" w:rsidRDefault="00C65A9E" w:rsidP="00D36147">
      <w:pPr>
        <w:spacing w:after="0" w:line="276" w:lineRule="auto"/>
        <w:jc w:val="both"/>
        <w:rPr>
          <w:rFonts w:cs="Times New Roman"/>
          <w:i/>
          <w:iCs/>
        </w:rPr>
      </w:pPr>
      <w:r w:rsidRPr="00287FDA">
        <w:rPr>
          <w:rFonts w:cs="Times New Roman"/>
          <w:i/>
          <w:iCs/>
        </w:rPr>
        <w:t xml:space="preserve">Nositelj provedbe: </w:t>
      </w:r>
      <w:r w:rsidR="00F36CF1" w:rsidRPr="00287FDA">
        <w:rPr>
          <w:rFonts w:cs="Times New Roman"/>
          <w:i/>
          <w:iCs/>
        </w:rPr>
        <w:t>Ministarstvo znanosti, obrazovanja i mladih</w:t>
      </w:r>
      <w:r w:rsidRPr="00287FDA">
        <w:rPr>
          <w:rFonts w:cs="Times New Roman"/>
          <w:i/>
          <w:iCs/>
        </w:rPr>
        <w:t xml:space="preserve"> </w:t>
      </w:r>
    </w:p>
    <w:p w14:paraId="4E236CED" w14:textId="76E462BD" w:rsidR="001A6535" w:rsidRPr="00287FDA" w:rsidRDefault="00C65A9E" w:rsidP="00D36147">
      <w:pPr>
        <w:spacing w:after="0" w:line="276" w:lineRule="auto"/>
        <w:jc w:val="both"/>
        <w:rPr>
          <w:rFonts w:cs="Times New Roman"/>
          <w:i/>
          <w:iCs/>
        </w:rPr>
      </w:pPr>
      <w:r w:rsidRPr="00287FDA">
        <w:rPr>
          <w:rFonts w:cs="Times New Roman"/>
          <w:i/>
          <w:iCs/>
        </w:rPr>
        <w:t>P</w:t>
      </w:r>
      <w:r w:rsidR="002843C0" w:rsidRPr="00287FDA">
        <w:rPr>
          <w:rFonts w:cs="Times New Roman"/>
          <w:i/>
          <w:iCs/>
        </w:rPr>
        <w:t xml:space="preserve">artneri: </w:t>
      </w:r>
      <w:r w:rsidR="003A47FA" w:rsidRPr="00287FDA">
        <w:rPr>
          <w:rFonts w:cs="Times New Roman"/>
          <w:i/>
          <w:iCs/>
        </w:rPr>
        <w:t>o</w:t>
      </w:r>
      <w:r w:rsidR="002843C0" w:rsidRPr="00287FDA">
        <w:rPr>
          <w:rFonts w:cs="Times New Roman"/>
          <w:i/>
          <w:iCs/>
        </w:rPr>
        <w:t xml:space="preserve">rganizacije civilnog društva, </w:t>
      </w:r>
      <w:r w:rsidR="00BD24D7">
        <w:rPr>
          <w:rFonts w:cs="Times New Roman"/>
          <w:i/>
          <w:iCs/>
        </w:rPr>
        <w:t>savezi/</w:t>
      </w:r>
      <w:r w:rsidR="002843C0" w:rsidRPr="00287FDA">
        <w:rPr>
          <w:rFonts w:cs="Times New Roman"/>
          <w:i/>
          <w:iCs/>
        </w:rPr>
        <w:t>udruge, odgojno-obrazovne ustanove</w:t>
      </w:r>
    </w:p>
    <w:p w14:paraId="56549AE9" w14:textId="77777777" w:rsidR="00E7549B" w:rsidRPr="00287FDA" w:rsidRDefault="00E7549B" w:rsidP="00D36147">
      <w:pPr>
        <w:spacing w:after="0" w:line="276" w:lineRule="auto"/>
        <w:jc w:val="both"/>
        <w:rPr>
          <w:rFonts w:cs="Times New Roman"/>
          <w:i/>
          <w:iCs/>
        </w:rPr>
      </w:pPr>
    </w:p>
    <w:p w14:paraId="1227685C" w14:textId="32ACDA48" w:rsidR="00505158" w:rsidRPr="00FC64BF" w:rsidRDefault="00463FD7" w:rsidP="00D36147">
      <w:pPr>
        <w:spacing w:after="0" w:line="276" w:lineRule="auto"/>
        <w:jc w:val="both"/>
        <w:rPr>
          <w:rFonts w:eastAsia="Calibri" w:cs="Times New Roman"/>
          <w:szCs w:val="24"/>
        </w:rPr>
      </w:pPr>
      <w:r w:rsidRPr="00FC64BF">
        <w:rPr>
          <w:rFonts w:eastAsia="Calibri" w:cs="Times New Roman"/>
          <w:szCs w:val="24"/>
        </w:rPr>
        <w:lastRenderedPageBreak/>
        <w:t xml:space="preserve">U svrhu očuvanja etničkog, kulturnog i jezičnog identiteta učenika pripadnika nacionalnih manjina Ministarstvo znanosti, obrazovanja i mladih kontinuirano sufinancira provedbu posebnih oblika nastave za potrebe učenika pripadnika nacionalnih manjina u Republici Hrvatskoj. Ministarstvo svake godine objavljuje Javni poziv kojemu je jedan od glavnih ciljeva, u suradnji s manjinskim udrugama koje djeluju na području odgoja i obrazovanja učenika pripadnika nacionalnih manjina, kao ravnopravnim partnerima, provoditi programe koji će učenicima pripadnicima nacionalnih manjina omogućiti stjecanje novih vještina i znanja izvan redovitoga odgojno-obrazovnog sustava. U 2024. </w:t>
      </w:r>
      <w:r w:rsidR="001D7218">
        <w:rPr>
          <w:rFonts w:eastAsia="Calibri" w:cs="Times New Roman"/>
          <w:szCs w:val="24"/>
        </w:rPr>
        <w:t xml:space="preserve">godini </w:t>
      </w:r>
      <w:r w:rsidRPr="00FC64BF">
        <w:rPr>
          <w:rFonts w:eastAsia="Calibri" w:cs="Times New Roman"/>
          <w:szCs w:val="24"/>
        </w:rPr>
        <w:t xml:space="preserve">Ministarstvo znanosti, obrazovanja i mladih je putem Javnog poziva za sufinanciranje posebnih programa nacionalnih manjina u </w:t>
      </w:r>
      <w:r w:rsidR="003379F1">
        <w:rPr>
          <w:rFonts w:eastAsia="Calibri" w:cs="Times New Roman"/>
          <w:szCs w:val="24"/>
        </w:rPr>
        <w:t>Republici Hrvatskoj</w:t>
      </w:r>
      <w:r w:rsidR="003379F1" w:rsidRPr="00FC64BF">
        <w:rPr>
          <w:rFonts w:eastAsia="Calibri" w:cs="Times New Roman"/>
          <w:szCs w:val="24"/>
        </w:rPr>
        <w:t xml:space="preserve"> </w:t>
      </w:r>
      <w:r w:rsidRPr="00FC64BF">
        <w:rPr>
          <w:rFonts w:eastAsia="Calibri" w:cs="Times New Roman"/>
          <w:szCs w:val="24"/>
        </w:rPr>
        <w:t xml:space="preserve">sufinanciralo provedbu pet programa u organizaciji Saveza Roma u </w:t>
      </w:r>
      <w:r w:rsidR="003379F1">
        <w:rPr>
          <w:rFonts w:eastAsia="Calibri" w:cs="Times New Roman"/>
          <w:szCs w:val="24"/>
        </w:rPr>
        <w:t>Republici Hrvatskoj</w:t>
      </w:r>
      <w:r w:rsidR="003379F1" w:rsidRPr="00FC64BF">
        <w:rPr>
          <w:rFonts w:eastAsia="Calibri" w:cs="Times New Roman"/>
          <w:szCs w:val="24"/>
        </w:rPr>
        <w:t xml:space="preserve"> </w:t>
      </w:r>
      <w:r w:rsidR="003379F1">
        <w:rPr>
          <w:rFonts w:eastAsia="Calibri" w:cs="Times New Roman"/>
          <w:szCs w:val="24"/>
        </w:rPr>
        <w:t>„</w:t>
      </w:r>
      <w:r w:rsidRPr="00FC64BF">
        <w:rPr>
          <w:rFonts w:eastAsia="Calibri" w:cs="Times New Roman"/>
          <w:szCs w:val="24"/>
        </w:rPr>
        <w:t>Kali Sara</w:t>
      </w:r>
      <w:r w:rsidR="003379F1">
        <w:rPr>
          <w:rFonts w:eastAsia="Calibri" w:cs="Times New Roman"/>
          <w:szCs w:val="24"/>
        </w:rPr>
        <w:t>“</w:t>
      </w:r>
      <w:r w:rsidRPr="00FC64BF">
        <w:rPr>
          <w:rFonts w:eastAsia="Calibri" w:cs="Times New Roman"/>
          <w:szCs w:val="24"/>
        </w:rPr>
        <w:t xml:space="preserve">, i to: </w:t>
      </w:r>
      <w:r w:rsidRPr="00FC64BF">
        <w:rPr>
          <w:rFonts w:eastAsia="Calibri" w:cs="Times New Roman"/>
          <w:i/>
          <w:szCs w:val="24"/>
        </w:rPr>
        <w:t>Svjetski Dan Roma, Međunarodni dan sjećanja na romske žrtve genocida u Drugom svjetskom ratu/Samudaripen</w:t>
      </w:r>
      <w:r w:rsidRPr="00FC64BF">
        <w:rPr>
          <w:rFonts w:eastAsia="Calibri" w:cs="Times New Roman"/>
          <w:szCs w:val="24"/>
        </w:rPr>
        <w:t xml:space="preserve">, </w:t>
      </w:r>
      <w:r w:rsidRPr="00FC64BF">
        <w:rPr>
          <w:rFonts w:eastAsia="Calibri" w:cs="Times New Roman"/>
          <w:i/>
          <w:szCs w:val="24"/>
        </w:rPr>
        <w:t>Svjetski dan romskog jezika</w:t>
      </w:r>
      <w:r w:rsidRPr="00FC64BF">
        <w:rPr>
          <w:rFonts w:eastAsia="Calibri" w:cs="Times New Roman"/>
          <w:szCs w:val="24"/>
        </w:rPr>
        <w:t xml:space="preserve">, </w:t>
      </w:r>
      <w:r w:rsidRPr="00FC64BF">
        <w:rPr>
          <w:rFonts w:eastAsia="Calibri" w:cs="Times New Roman"/>
          <w:i/>
          <w:szCs w:val="24"/>
        </w:rPr>
        <w:t xml:space="preserve">Dođi u REKC I </w:t>
      </w:r>
      <w:r w:rsidRPr="00FC64BF">
        <w:rPr>
          <w:rFonts w:eastAsia="Calibri" w:cs="Times New Roman"/>
          <w:szCs w:val="24"/>
        </w:rPr>
        <w:t xml:space="preserve">te </w:t>
      </w:r>
      <w:r w:rsidRPr="00FC64BF">
        <w:rPr>
          <w:rFonts w:eastAsia="Calibri" w:cs="Times New Roman"/>
          <w:i/>
          <w:szCs w:val="24"/>
        </w:rPr>
        <w:t>Putujem i čitam</w:t>
      </w:r>
      <w:r w:rsidRPr="00FC64BF">
        <w:rPr>
          <w:rFonts w:eastAsia="Calibri" w:cs="Times New Roman"/>
          <w:szCs w:val="24"/>
        </w:rPr>
        <w:t xml:space="preserve">, dva programa Pučkog otvorenog učilišta Korak po korak: </w:t>
      </w:r>
      <w:r w:rsidRPr="00FC64BF">
        <w:rPr>
          <w:rFonts w:eastAsia="Calibri" w:cs="Times New Roman"/>
          <w:i/>
          <w:szCs w:val="24"/>
        </w:rPr>
        <w:t>Dorada i dotisak bajaških jezično-didaktičkih resursa za promicanje jezika i kulture romske nacionalne manjine</w:t>
      </w:r>
      <w:r w:rsidRPr="00FC64BF">
        <w:rPr>
          <w:rFonts w:eastAsia="Calibri" w:cs="Times New Roman"/>
          <w:szCs w:val="24"/>
        </w:rPr>
        <w:t xml:space="preserve"> i </w:t>
      </w:r>
      <w:r w:rsidRPr="00FC64BF">
        <w:rPr>
          <w:rFonts w:eastAsia="Calibri" w:cs="Times New Roman"/>
          <w:i/>
          <w:szCs w:val="24"/>
        </w:rPr>
        <w:t>Stručno usavršavanje nastavnika predmeta Jezik i kultura romske nacionalne manjine</w:t>
      </w:r>
      <w:r w:rsidRPr="00FC64BF">
        <w:rPr>
          <w:rFonts w:eastAsia="Calibri" w:cs="Times New Roman"/>
          <w:szCs w:val="24"/>
        </w:rPr>
        <w:t>, jedan program O</w:t>
      </w:r>
      <w:r w:rsidR="001D7218">
        <w:rPr>
          <w:rFonts w:eastAsia="Calibri" w:cs="Times New Roman"/>
          <w:szCs w:val="24"/>
        </w:rPr>
        <w:t>snovne škole</w:t>
      </w:r>
      <w:r w:rsidRPr="00FC64BF">
        <w:rPr>
          <w:rFonts w:eastAsia="Calibri" w:cs="Times New Roman"/>
          <w:szCs w:val="24"/>
        </w:rPr>
        <w:t xml:space="preserve"> prof. Franje Viktora Šignjara, Virje </w:t>
      </w:r>
      <w:r w:rsidRPr="00FC64BF">
        <w:rPr>
          <w:rFonts w:eastAsia="Calibri" w:cs="Times New Roman"/>
          <w:i/>
          <w:szCs w:val="24"/>
        </w:rPr>
        <w:t>Igramo i učimo uz pomoć Malog razgovornog bajaško-virovskog rječnika</w:t>
      </w:r>
      <w:r w:rsidRPr="00FC64BF">
        <w:rPr>
          <w:rFonts w:eastAsia="Calibri" w:cs="Times New Roman"/>
          <w:szCs w:val="24"/>
        </w:rPr>
        <w:t xml:space="preserve"> te jedan program Udruge Romski nacionalni forum Beli Manastir </w:t>
      </w:r>
      <w:r w:rsidRPr="00FC64BF">
        <w:rPr>
          <w:rFonts w:eastAsia="Calibri" w:cs="Times New Roman"/>
          <w:i/>
          <w:szCs w:val="24"/>
        </w:rPr>
        <w:t>Obilježavanje Svjetskog dana romskog jezika</w:t>
      </w:r>
      <w:r w:rsidR="002F7831">
        <w:rPr>
          <w:rFonts w:eastAsia="Calibri" w:cs="Times New Roman"/>
          <w:i/>
          <w:szCs w:val="24"/>
        </w:rPr>
        <w:t xml:space="preserve"> </w:t>
      </w:r>
      <w:r w:rsidRPr="00FC64BF">
        <w:rPr>
          <w:rFonts w:eastAsia="Calibri" w:cs="Times New Roman"/>
          <w:i/>
          <w:szCs w:val="24"/>
        </w:rPr>
        <w:t xml:space="preserve">- Beli Manastir 2024. </w:t>
      </w:r>
      <w:r w:rsidRPr="00FC64BF">
        <w:rPr>
          <w:rFonts w:eastAsia="Calibri" w:cs="Times New Roman"/>
          <w:szCs w:val="24"/>
        </w:rPr>
        <w:t>Temeljem javnih poziva osigurano je sufinanciranje navedenih programa u sveukupnom iznosu od 26.130,00 EUR.</w:t>
      </w:r>
    </w:p>
    <w:p w14:paraId="06C7C613" w14:textId="77777777" w:rsidR="00E7549B" w:rsidRPr="00FC64BF" w:rsidRDefault="00E7549B" w:rsidP="00D36147">
      <w:pPr>
        <w:spacing w:after="0" w:line="276" w:lineRule="auto"/>
        <w:jc w:val="both"/>
        <w:rPr>
          <w:rFonts w:eastAsia="Calibri" w:cs="Times New Roman"/>
          <w:szCs w:val="24"/>
        </w:rPr>
      </w:pPr>
    </w:p>
    <w:tbl>
      <w:tblPr>
        <w:tblStyle w:val="TableGrid"/>
        <w:tblW w:w="5000" w:type="pct"/>
        <w:tblLook w:val="04A0" w:firstRow="1" w:lastRow="0" w:firstColumn="1" w:lastColumn="0" w:noHBand="0" w:noVBand="1"/>
      </w:tblPr>
      <w:tblGrid>
        <w:gridCol w:w="2690"/>
        <w:gridCol w:w="2267"/>
        <w:gridCol w:w="2128"/>
        <w:gridCol w:w="1977"/>
      </w:tblGrid>
      <w:tr w:rsidR="00463FD7" w:rsidRPr="00463FD7" w14:paraId="20518608" w14:textId="77777777" w:rsidTr="002A04BF">
        <w:trPr>
          <w:trHeight w:val="1080"/>
        </w:trPr>
        <w:tc>
          <w:tcPr>
            <w:tcW w:w="1484" w:type="pct"/>
            <w:shd w:val="clear" w:color="auto" w:fill="F2F2F2" w:themeFill="background1" w:themeFillShade="F2"/>
            <w:vAlign w:val="center"/>
          </w:tcPr>
          <w:p w14:paraId="172714DC" w14:textId="623FD5A5" w:rsidR="00701CCF" w:rsidRPr="00FC64BF" w:rsidRDefault="007E61F3" w:rsidP="002A04BF">
            <w:pPr>
              <w:rPr>
                <w:rFonts w:cs="Times New Roman"/>
                <w:b/>
                <w:sz w:val="20"/>
                <w:szCs w:val="18"/>
              </w:rPr>
            </w:pPr>
            <w:r w:rsidRPr="00FC64BF">
              <w:rPr>
                <w:rFonts w:cs="Times New Roman"/>
                <w:b/>
                <w:sz w:val="20"/>
                <w:szCs w:val="18"/>
              </w:rPr>
              <w:t>Pokazatelji provedbe i pokazatelji uspješnosti provedbe</w:t>
            </w:r>
          </w:p>
        </w:tc>
        <w:tc>
          <w:tcPr>
            <w:tcW w:w="1251" w:type="pct"/>
            <w:shd w:val="clear" w:color="auto" w:fill="F2F2F2" w:themeFill="background1" w:themeFillShade="F2"/>
            <w:vAlign w:val="center"/>
          </w:tcPr>
          <w:p w14:paraId="52C73069" w14:textId="7C3625CD" w:rsidR="00701CCF" w:rsidRPr="00FC64BF" w:rsidRDefault="00701CCF" w:rsidP="002A04BF">
            <w:pPr>
              <w:jc w:val="center"/>
              <w:rPr>
                <w:rFonts w:eastAsia="Calibri" w:cs="Times New Roman"/>
                <w:b/>
                <w:sz w:val="20"/>
                <w:szCs w:val="18"/>
              </w:rPr>
            </w:pPr>
            <w:r w:rsidRPr="00FC64BF">
              <w:rPr>
                <w:rFonts w:eastAsia="Calibri" w:cs="Times New Roman"/>
                <w:b/>
                <w:sz w:val="20"/>
                <w:szCs w:val="18"/>
              </w:rPr>
              <w:t xml:space="preserve">Broj prijava na </w:t>
            </w:r>
            <w:r w:rsidR="00EA5905" w:rsidRPr="00FC64BF">
              <w:rPr>
                <w:rFonts w:eastAsia="Calibri" w:cs="Times New Roman"/>
                <w:b/>
                <w:sz w:val="20"/>
                <w:szCs w:val="18"/>
              </w:rPr>
              <w:t>j</w:t>
            </w:r>
            <w:r w:rsidRPr="00FC64BF">
              <w:rPr>
                <w:rFonts w:eastAsia="Calibri" w:cs="Times New Roman"/>
                <w:b/>
                <w:sz w:val="20"/>
                <w:szCs w:val="18"/>
              </w:rPr>
              <w:t>avne</w:t>
            </w:r>
          </w:p>
          <w:p w14:paraId="5158061A" w14:textId="65FA6CF5" w:rsidR="00701CCF" w:rsidRPr="00FC64BF" w:rsidRDefault="006831BD" w:rsidP="002A04BF">
            <w:pPr>
              <w:jc w:val="center"/>
              <w:rPr>
                <w:rFonts w:eastAsia="Calibri" w:cs="Times New Roman"/>
                <w:b/>
                <w:strike/>
                <w:sz w:val="20"/>
                <w:szCs w:val="18"/>
              </w:rPr>
            </w:pPr>
            <w:r w:rsidRPr="00FC64BF">
              <w:rPr>
                <w:rFonts w:eastAsia="Calibri" w:cs="Times New Roman"/>
                <w:b/>
                <w:sz w:val="20"/>
                <w:szCs w:val="18"/>
              </w:rPr>
              <w:t>P</w:t>
            </w:r>
            <w:r w:rsidR="00701CCF" w:rsidRPr="00FC64BF">
              <w:rPr>
                <w:rFonts w:eastAsia="Calibri" w:cs="Times New Roman"/>
                <w:b/>
                <w:sz w:val="20"/>
                <w:szCs w:val="18"/>
              </w:rPr>
              <w:t>ozive</w:t>
            </w:r>
          </w:p>
        </w:tc>
        <w:tc>
          <w:tcPr>
            <w:tcW w:w="1174" w:type="pct"/>
            <w:shd w:val="clear" w:color="auto" w:fill="F2F2F2" w:themeFill="background1" w:themeFillShade="F2"/>
            <w:vAlign w:val="center"/>
          </w:tcPr>
          <w:p w14:paraId="38EEE68B" w14:textId="580C6CB6" w:rsidR="00701CCF" w:rsidRPr="00FC64BF" w:rsidRDefault="00701CCF" w:rsidP="002A04BF">
            <w:pPr>
              <w:jc w:val="center"/>
              <w:rPr>
                <w:rFonts w:cs="Times New Roman"/>
                <w:b/>
                <w:sz w:val="20"/>
                <w:szCs w:val="18"/>
              </w:rPr>
            </w:pPr>
            <w:r w:rsidRPr="00FC64BF">
              <w:rPr>
                <w:rFonts w:eastAsia="Calibri" w:cs="Times New Roman"/>
                <w:b/>
                <w:sz w:val="20"/>
                <w:szCs w:val="18"/>
              </w:rPr>
              <w:t>Broj odobrenih programa</w:t>
            </w:r>
          </w:p>
        </w:tc>
        <w:tc>
          <w:tcPr>
            <w:tcW w:w="1091" w:type="pct"/>
            <w:shd w:val="clear" w:color="auto" w:fill="F2F2F2" w:themeFill="background1" w:themeFillShade="F2"/>
            <w:vAlign w:val="center"/>
          </w:tcPr>
          <w:p w14:paraId="400F26D5" w14:textId="2B46B9A1" w:rsidR="00701CCF" w:rsidRPr="00FC64BF" w:rsidRDefault="00701CCF" w:rsidP="00447EFE">
            <w:pPr>
              <w:jc w:val="center"/>
              <w:rPr>
                <w:rFonts w:cs="Times New Roman"/>
                <w:b/>
                <w:sz w:val="20"/>
                <w:szCs w:val="18"/>
              </w:rPr>
            </w:pPr>
            <w:r w:rsidRPr="00FC64BF">
              <w:rPr>
                <w:rFonts w:eastAsia="Calibri" w:cs="Times New Roman"/>
                <w:b/>
                <w:sz w:val="20"/>
                <w:szCs w:val="18"/>
              </w:rPr>
              <w:t>Broj sudionika ljetnih</w:t>
            </w:r>
            <w:r w:rsidR="00447EFE" w:rsidRPr="00FC64BF">
              <w:rPr>
                <w:rFonts w:eastAsia="Calibri" w:cs="Times New Roman"/>
                <w:b/>
                <w:sz w:val="20"/>
                <w:szCs w:val="18"/>
              </w:rPr>
              <w:t xml:space="preserve"> </w:t>
            </w:r>
            <w:r w:rsidRPr="00FC64BF">
              <w:rPr>
                <w:rFonts w:eastAsia="Calibri" w:cs="Times New Roman"/>
                <w:b/>
                <w:sz w:val="20"/>
                <w:szCs w:val="18"/>
              </w:rPr>
              <w:t>škola i/ili posebnih</w:t>
            </w:r>
            <w:r w:rsidR="00447EFE" w:rsidRPr="00FC64BF">
              <w:rPr>
                <w:rFonts w:eastAsia="Calibri" w:cs="Times New Roman"/>
                <w:b/>
                <w:sz w:val="20"/>
                <w:szCs w:val="18"/>
              </w:rPr>
              <w:t xml:space="preserve"> </w:t>
            </w:r>
            <w:r w:rsidRPr="00FC64BF">
              <w:rPr>
                <w:rFonts w:eastAsia="Calibri" w:cs="Times New Roman"/>
                <w:b/>
                <w:sz w:val="20"/>
                <w:szCs w:val="18"/>
              </w:rPr>
              <w:t>programa</w:t>
            </w:r>
          </w:p>
        </w:tc>
      </w:tr>
      <w:tr w:rsidR="00463FD7" w:rsidRPr="00463FD7" w14:paraId="2106CA35" w14:textId="77777777" w:rsidTr="0062352A">
        <w:tc>
          <w:tcPr>
            <w:tcW w:w="1484" w:type="pct"/>
            <w:shd w:val="clear" w:color="auto" w:fill="F2F2F2" w:themeFill="background1" w:themeFillShade="F2"/>
          </w:tcPr>
          <w:p w14:paraId="728FB3C6" w14:textId="4E9B0777" w:rsidR="00463FD7" w:rsidRPr="003379F1" w:rsidRDefault="00463FD7" w:rsidP="0061594B">
            <w:pPr>
              <w:rPr>
                <w:rFonts w:cs="Times New Roman"/>
                <w:sz w:val="20"/>
                <w:szCs w:val="20"/>
              </w:rPr>
            </w:pPr>
            <w:r w:rsidRPr="00A86FA4">
              <w:rPr>
                <w:rFonts w:cs="Times New Roman"/>
                <w:sz w:val="20"/>
                <w:szCs w:val="20"/>
              </w:rPr>
              <w:t>Planirani ishodi za pokazatelje provedbe u 2024.</w:t>
            </w:r>
          </w:p>
        </w:tc>
        <w:tc>
          <w:tcPr>
            <w:tcW w:w="1251" w:type="pct"/>
          </w:tcPr>
          <w:p w14:paraId="0DF0AF17" w14:textId="5B148EF8" w:rsidR="00463FD7" w:rsidRPr="00802CE3" w:rsidRDefault="00463FD7" w:rsidP="00463FD7">
            <w:pPr>
              <w:jc w:val="center"/>
              <w:rPr>
                <w:rFonts w:cs="Times New Roman"/>
                <w:sz w:val="20"/>
                <w:szCs w:val="20"/>
              </w:rPr>
            </w:pPr>
            <w:r w:rsidRPr="00A86FA4">
              <w:rPr>
                <w:rFonts w:cs="Times New Roman"/>
                <w:sz w:val="20"/>
                <w:szCs w:val="20"/>
              </w:rPr>
              <w:t>12</w:t>
            </w:r>
          </w:p>
        </w:tc>
        <w:tc>
          <w:tcPr>
            <w:tcW w:w="1174" w:type="pct"/>
          </w:tcPr>
          <w:p w14:paraId="6579B814" w14:textId="3EBDAD0A" w:rsidR="00463FD7" w:rsidRPr="00802CE3" w:rsidRDefault="00463FD7" w:rsidP="00463FD7">
            <w:pPr>
              <w:jc w:val="center"/>
              <w:rPr>
                <w:rFonts w:cs="Times New Roman"/>
                <w:sz w:val="20"/>
                <w:szCs w:val="20"/>
              </w:rPr>
            </w:pPr>
            <w:r w:rsidRPr="00A86FA4">
              <w:rPr>
                <w:rFonts w:cs="Times New Roman"/>
                <w:sz w:val="20"/>
                <w:szCs w:val="20"/>
              </w:rPr>
              <w:t>10</w:t>
            </w:r>
          </w:p>
        </w:tc>
        <w:tc>
          <w:tcPr>
            <w:tcW w:w="1091" w:type="pct"/>
          </w:tcPr>
          <w:p w14:paraId="0997D659" w14:textId="0DA43685" w:rsidR="00463FD7" w:rsidRPr="00802CE3" w:rsidRDefault="00463FD7" w:rsidP="00463FD7">
            <w:pPr>
              <w:jc w:val="center"/>
              <w:rPr>
                <w:rFonts w:cs="Times New Roman"/>
                <w:sz w:val="20"/>
                <w:szCs w:val="20"/>
              </w:rPr>
            </w:pPr>
            <w:r w:rsidRPr="00A86FA4">
              <w:rPr>
                <w:rFonts w:cs="Times New Roman"/>
                <w:sz w:val="20"/>
                <w:szCs w:val="20"/>
              </w:rPr>
              <w:t>500</w:t>
            </w:r>
          </w:p>
        </w:tc>
      </w:tr>
      <w:tr w:rsidR="00463FD7" w:rsidRPr="00463FD7" w14:paraId="55D950A5" w14:textId="77777777" w:rsidTr="0062352A">
        <w:tc>
          <w:tcPr>
            <w:tcW w:w="1484" w:type="pct"/>
            <w:shd w:val="clear" w:color="auto" w:fill="F2F2F2" w:themeFill="background1" w:themeFillShade="F2"/>
          </w:tcPr>
          <w:p w14:paraId="1C881DBC" w14:textId="2C7A3D38" w:rsidR="00463FD7" w:rsidRPr="003379F1" w:rsidRDefault="00463FD7" w:rsidP="0061594B">
            <w:pPr>
              <w:rPr>
                <w:rFonts w:cs="Times New Roman"/>
                <w:sz w:val="20"/>
                <w:szCs w:val="20"/>
              </w:rPr>
            </w:pPr>
            <w:r w:rsidRPr="00A86FA4">
              <w:rPr>
                <w:rFonts w:cs="Times New Roman"/>
                <w:sz w:val="20"/>
                <w:szCs w:val="20"/>
              </w:rPr>
              <w:t xml:space="preserve">Ostvareni ishodi za pokazatelje provedbe u 2024. </w:t>
            </w:r>
          </w:p>
        </w:tc>
        <w:tc>
          <w:tcPr>
            <w:tcW w:w="1251" w:type="pct"/>
          </w:tcPr>
          <w:p w14:paraId="2CE97DE7" w14:textId="0D24D8FA" w:rsidR="00463FD7" w:rsidRPr="00802CE3" w:rsidRDefault="00463FD7" w:rsidP="00463FD7">
            <w:pPr>
              <w:jc w:val="center"/>
              <w:rPr>
                <w:rFonts w:cs="Times New Roman"/>
                <w:sz w:val="20"/>
                <w:szCs w:val="20"/>
              </w:rPr>
            </w:pPr>
            <w:r w:rsidRPr="00A86FA4">
              <w:rPr>
                <w:rFonts w:cs="Times New Roman"/>
                <w:sz w:val="20"/>
                <w:szCs w:val="20"/>
              </w:rPr>
              <w:t>10</w:t>
            </w:r>
          </w:p>
        </w:tc>
        <w:tc>
          <w:tcPr>
            <w:tcW w:w="1174" w:type="pct"/>
          </w:tcPr>
          <w:p w14:paraId="148FE122" w14:textId="59A4AAFD" w:rsidR="00463FD7" w:rsidRPr="00802CE3" w:rsidRDefault="00463FD7" w:rsidP="00463FD7">
            <w:pPr>
              <w:jc w:val="center"/>
              <w:rPr>
                <w:rFonts w:cs="Times New Roman"/>
                <w:sz w:val="20"/>
                <w:szCs w:val="20"/>
              </w:rPr>
            </w:pPr>
            <w:r w:rsidRPr="00A86FA4">
              <w:rPr>
                <w:rFonts w:cs="Times New Roman"/>
                <w:sz w:val="20"/>
                <w:szCs w:val="20"/>
              </w:rPr>
              <w:t>9</w:t>
            </w:r>
          </w:p>
        </w:tc>
        <w:tc>
          <w:tcPr>
            <w:tcW w:w="1091" w:type="pct"/>
          </w:tcPr>
          <w:p w14:paraId="6EBCA380" w14:textId="1D408048" w:rsidR="00463FD7" w:rsidRPr="00802CE3" w:rsidRDefault="00463FD7" w:rsidP="00463FD7">
            <w:pPr>
              <w:jc w:val="center"/>
              <w:rPr>
                <w:rFonts w:cs="Times New Roman"/>
                <w:sz w:val="20"/>
                <w:szCs w:val="20"/>
              </w:rPr>
            </w:pPr>
            <w:r w:rsidRPr="00A86FA4">
              <w:rPr>
                <w:rFonts w:cs="Times New Roman"/>
                <w:sz w:val="20"/>
                <w:szCs w:val="20"/>
              </w:rPr>
              <w:t>300</w:t>
            </w:r>
          </w:p>
        </w:tc>
      </w:tr>
      <w:tr w:rsidR="00463FD7" w:rsidRPr="00463FD7" w14:paraId="67A98AAC" w14:textId="77777777" w:rsidTr="002A04BF">
        <w:tc>
          <w:tcPr>
            <w:tcW w:w="1484" w:type="pct"/>
            <w:shd w:val="clear" w:color="auto" w:fill="F2F2F2" w:themeFill="background1" w:themeFillShade="F2"/>
            <w:vAlign w:val="center"/>
          </w:tcPr>
          <w:p w14:paraId="0CF7C08E" w14:textId="77777777" w:rsidR="00463FD7" w:rsidRPr="00FC64BF" w:rsidRDefault="00463FD7" w:rsidP="00463FD7">
            <w:pPr>
              <w:rPr>
                <w:rFonts w:cs="Times New Roman"/>
                <w:b/>
                <w:sz w:val="20"/>
                <w:szCs w:val="18"/>
              </w:rPr>
            </w:pPr>
            <w:r w:rsidRPr="00FC64BF">
              <w:rPr>
                <w:rFonts w:cs="Times New Roman"/>
                <w:b/>
                <w:sz w:val="20"/>
                <w:szCs w:val="18"/>
              </w:rPr>
              <w:t xml:space="preserve">IZVORI FINANCIRANJA </w:t>
            </w:r>
          </w:p>
        </w:tc>
        <w:tc>
          <w:tcPr>
            <w:tcW w:w="1251" w:type="pct"/>
            <w:vAlign w:val="center"/>
          </w:tcPr>
          <w:p w14:paraId="17A2CFAB" w14:textId="77777777" w:rsidR="00463FD7" w:rsidRPr="00802CE3" w:rsidRDefault="00463FD7" w:rsidP="00463FD7">
            <w:pPr>
              <w:jc w:val="center"/>
              <w:rPr>
                <w:rFonts w:cs="Times New Roman"/>
                <w:b/>
                <w:sz w:val="20"/>
                <w:szCs w:val="20"/>
              </w:rPr>
            </w:pPr>
            <w:r w:rsidRPr="00802CE3">
              <w:rPr>
                <w:rFonts w:cs="Times New Roman"/>
                <w:b/>
                <w:sz w:val="20"/>
                <w:szCs w:val="20"/>
              </w:rPr>
              <w:t>Državni proračun (EUR)</w:t>
            </w:r>
          </w:p>
        </w:tc>
        <w:tc>
          <w:tcPr>
            <w:tcW w:w="1174" w:type="pct"/>
            <w:vAlign w:val="center"/>
          </w:tcPr>
          <w:p w14:paraId="5C05A2EB" w14:textId="77777777" w:rsidR="00463FD7" w:rsidRPr="00A86FA4" w:rsidRDefault="00463FD7" w:rsidP="00463FD7">
            <w:pPr>
              <w:jc w:val="center"/>
              <w:rPr>
                <w:rFonts w:cs="Times New Roman"/>
                <w:b/>
                <w:sz w:val="20"/>
                <w:szCs w:val="20"/>
              </w:rPr>
            </w:pPr>
            <w:r w:rsidRPr="00A86FA4">
              <w:rPr>
                <w:rFonts w:cs="Times New Roman"/>
                <w:b/>
                <w:sz w:val="20"/>
                <w:szCs w:val="20"/>
              </w:rPr>
              <w:t>EU financiranje (EUR)</w:t>
            </w:r>
          </w:p>
        </w:tc>
        <w:tc>
          <w:tcPr>
            <w:tcW w:w="1091" w:type="pct"/>
            <w:vAlign w:val="center"/>
          </w:tcPr>
          <w:p w14:paraId="770FF317" w14:textId="77777777" w:rsidR="00463FD7" w:rsidRPr="00A86FA4" w:rsidRDefault="00463FD7" w:rsidP="00463FD7">
            <w:pPr>
              <w:jc w:val="center"/>
              <w:rPr>
                <w:rFonts w:cs="Times New Roman"/>
                <w:b/>
                <w:sz w:val="20"/>
                <w:szCs w:val="20"/>
              </w:rPr>
            </w:pPr>
            <w:r w:rsidRPr="00A86FA4">
              <w:rPr>
                <w:rFonts w:cs="Times New Roman"/>
                <w:b/>
                <w:sz w:val="20"/>
                <w:szCs w:val="20"/>
              </w:rPr>
              <w:t>Drugi izvori</w:t>
            </w:r>
          </w:p>
          <w:p w14:paraId="5F47FC5E" w14:textId="39EDAB2C" w:rsidR="00463FD7" w:rsidRPr="00A86FA4" w:rsidRDefault="00463FD7" w:rsidP="00463FD7">
            <w:pPr>
              <w:jc w:val="center"/>
              <w:rPr>
                <w:rFonts w:cs="Times New Roman"/>
                <w:b/>
                <w:sz w:val="20"/>
                <w:szCs w:val="20"/>
              </w:rPr>
            </w:pPr>
            <w:r w:rsidRPr="00A86FA4">
              <w:rPr>
                <w:rFonts w:cs="Times New Roman"/>
                <w:b/>
                <w:sz w:val="20"/>
                <w:szCs w:val="20"/>
              </w:rPr>
              <w:t xml:space="preserve"> (EUR)</w:t>
            </w:r>
          </w:p>
        </w:tc>
      </w:tr>
      <w:tr w:rsidR="00463FD7" w:rsidRPr="00463FD7" w14:paraId="4DBA69D1" w14:textId="77777777" w:rsidTr="002A04BF">
        <w:tc>
          <w:tcPr>
            <w:tcW w:w="1484" w:type="pct"/>
            <w:shd w:val="clear" w:color="auto" w:fill="F2F2F2" w:themeFill="background1" w:themeFillShade="F2"/>
            <w:vAlign w:val="center"/>
          </w:tcPr>
          <w:p w14:paraId="6E39D13B" w14:textId="688B50C7" w:rsidR="00463FD7" w:rsidRPr="00FC64BF" w:rsidRDefault="00463FD7" w:rsidP="0061594B">
            <w:pPr>
              <w:rPr>
                <w:rFonts w:cs="Times New Roman"/>
                <w:sz w:val="20"/>
                <w:szCs w:val="18"/>
              </w:rPr>
            </w:pPr>
            <w:r w:rsidRPr="00FC64BF">
              <w:rPr>
                <w:rFonts w:cs="Times New Roman"/>
                <w:sz w:val="20"/>
                <w:szCs w:val="18"/>
              </w:rPr>
              <w:t>Izvori financiranja u 202</w:t>
            </w:r>
            <w:r>
              <w:rPr>
                <w:rFonts w:cs="Times New Roman"/>
                <w:sz w:val="20"/>
                <w:szCs w:val="18"/>
              </w:rPr>
              <w:t>4</w:t>
            </w:r>
            <w:r w:rsidRPr="00FC64BF">
              <w:rPr>
                <w:rFonts w:cs="Times New Roman"/>
                <w:sz w:val="20"/>
                <w:szCs w:val="18"/>
              </w:rPr>
              <w:t>. (proračunska pozicija i predviđeni iznos sredstava)</w:t>
            </w:r>
          </w:p>
        </w:tc>
        <w:tc>
          <w:tcPr>
            <w:tcW w:w="1251" w:type="pct"/>
            <w:vAlign w:val="center"/>
          </w:tcPr>
          <w:p w14:paraId="010CFCBD" w14:textId="03E0C283" w:rsidR="00463FD7" w:rsidRPr="00802CE3" w:rsidRDefault="00463FD7" w:rsidP="00463FD7">
            <w:pPr>
              <w:jc w:val="center"/>
              <w:rPr>
                <w:rFonts w:cs="Times New Roman"/>
                <w:sz w:val="20"/>
                <w:szCs w:val="20"/>
              </w:rPr>
            </w:pPr>
            <w:r w:rsidRPr="00802CE3">
              <w:rPr>
                <w:rFonts w:cs="Times New Roman"/>
                <w:sz w:val="20"/>
                <w:szCs w:val="20"/>
              </w:rPr>
              <w:t>A577137 – Posebni programi obrazovanja za provođenje programa nacionalnih manjina</w:t>
            </w:r>
          </w:p>
          <w:p w14:paraId="2BD92DC8" w14:textId="08681E9C" w:rsidR="00463FD7" w:rsidRPr="00A86FA4" w:rsidRDefault="00463FD7">
            <w:pPr>
              <w:jc w:val="center"/>
              <w:rPr>
                <w:rFonts w:cs="Times New Roman"/>
                <w:sz w:val="20"/>
                <w:szCs w:val="20"/>
              </w:rPr>
            </w:pPr>
          </w:p>
        </w:tc>
        <w:tc>
          <w:tcPr>
            <w:tcW w:w="1174" w:type="pct"/>
            <w:vAlign w:val="center"/>
          </w:tcPr>
          <w:p w14:paraId="45BE226E" w14:textId="77777777" w:rsidR="00463FD7" w:rsidRPr="00A86FA4" w:rsidRDefault="00463FD7" w:rsidP="00463FD7">
            <w:pPr>
              <w:jc w:val="center"/>
              <w:rPr>
                <w:rFonts w:cs="Times New Roman"/>
                <w:sz w:val="20"/>
                <w:szCs w:val="20"/>
              </w:rPr>
            </w:pPr>
            <w:r w:rsidRPr="00A86FA4">
              <w:rPr>
                <w:rFonts w:cs="Times New Roman"/>
                <w:sz w:val="20"/>
                <w:szCs w:val="20"/>
              </w:rPr>
              <w:t>0,00</w:t>
            </w:r>
          </w:p>
        </w:tc>
        <w:tc>
          <w:tcPr>
            <w:tcW w:w="1091" w:type="pct"/>
            <w:vAlign w:val="center"/>
          </w:tcPr>
          <w:p w14:paraId="2A3BA875" w14:textId="77777777" w:rsidR="00463FD7" w:rsidRPr="00A86FA4" w:rsidRDefault="00463FD7" w:rsidP="00463FD7">
            <w:pPr>
              <w:jc w:val="center"/>
              <w:rPr>
                <w:rFonts w:cs="Times New Roman"/>
                <w:sz w:val="20"/>
                <w:szCs w:val="20"/>
              </w:rPr>
            </w:pPr>
            <w:r w:rsidRPr="00A86FA4">
              <w:rPr>
                <w:rFonts w:cs="Times New Roman"/>
                <w:sz w:val="20"/>
                <w:szCs w:val="20"/>
              </w:rPr>
              <w:t xml:space="preserve">0,00 </w:t>
            </w:r>
          </w:p>
        </w:tc>
      </w:tr>
      <w:tr w:rsidR="00463FD7" w:rsidRPr="00463FD7" w14:paraId="5E0D3420" w14:textId="77777777" w:rsidTr="002A04BF">
        <w:tc>
          <w:tcPr>
            <w:tcW w:w="1484" w:type="pct"/>
            <w:vMerge w:val="restart"/>
            <w:shd w:val="clear" w:color="auto" w:fill="F2F2F2" w:themeFill="background1" w:themeFillShade="F2"/>
            <w:vAlign w:val="center"/>
          </w:tcPr>
          <w:p w14:paraId="037A648D" w14:textId="77777777" w:rsidR="00463FD7" w:rsidRPr="00FC64BF" w:rsidRDefault="00463FD7" w:rsidP="00463FD7">
            <w:pPr>
              <w:rPr>
                <w:rFonts w:cs="Times New Roman"/>
                <w:b/>
                <w:sz w:val="20"/>
                <w:szCs w:val="18"/>
              </w:rPr>
            </w:pPr>
            <w:r w:rsidRPr="00FC64BF">
              <w:rPr>
                <w:rFonts w:cs="Times New Roman"/>
                <w:b/>
                <w:sz w:val="20"/>
                <w:szCs w:val="18"/>
              </w:rPr>
              <w:t xml:space="preserve">UKUPNO UTROŠENA SREDSTVA PO IZVORU </w:t>
            </w:r>
          </w:p>
        </w:tc>
        <w:tc>
          <w:tcPr>
            <w:tcW w:w="1251" w:type="pct"/>
            <w:vAlign w:val="center"/>
          </w:tcPr>
          <w:p w14:paraId="09701EBD" w14:textId="77777777" w:rsidR="00463FD7" w:rsidRPr="00802CE3" w:rsidRDefault="00463FD7" w:rsidP="00463FD7">
            <w:pPr>
              <w:jc w:val="center"/>
              <w:rPr>
                <w:rFonts w:cs="Times New Roman"/>
                <w:b/>
                <w:sz w:val="20"/>
                <w:szCs w:val="20"/>
              </w:rPr>
            </w:pPr>
            <w:r w:rsidRPr="00802CE3">
              <w:rPr>
                <w:rFonts w:cs="Times New Roman"/>
                <w:b/>
                <w:sz w:val="20"/>
                <w:szCs w:val="20"/>
              </w:rPr>
              <w:t>Državni proračun (EUR)</w:t>
            </w:r>
          </w:p>
        </w:tc>
        <w:tc>
          <w:tcPr>
            <w:tcW w:w="1174" w:type="pct"/>
            <w:vAlign w:val="center"/>
          </w:tcPr>
          <w:p w14:paraId="2D57DDE7" w14:textId="77777777" w:rsidR="00463FD7" w:rsidRPr="00A86FA4" w:rsidRDefault="00463FD7" w:rsidP="00463FD7">
            <w:pPr>
              <w:jc w:val="center"/>
              <w:rPr>
                <w:rFonts w:cs="Times New Roman"/>
                <w:b/>
                <w:sz w:val="20"/>
                <w:szCs w:val="20"/>
              </w:rPr>
            </w:pPr>
            <w:r w:rsidRPr="00A86FA4">
              <w:rPr>
                <w:rFonts w:cs="Times New Roman"/>
                <w:b/>
                <w:sz w:val="20"/>
                <w:szCs w:val="20"/>
              </w:rPr>
              <w:t>EU financiranje (EUR)</w:t>
            </w:r>
          </w:p>
        </w:tc>
        <w:tc>
          <w:tcPr>
            <w:tcW w:w="1091" w:type="pct"/>
            <w:vAlign w:val="center"/>
          </w:tcPr>
          <w:p w14:paraId="6DCC8D86" w14:textId="77777777" w:rsidR="00463FD7" w:rsidRPr="00A86FA4" w:rsidRDefault="00463FD7" w:rsidP="00463FD7">
            <w:pPr>
              <w:jc w:val="center"/>
              <w:rPr>
                <w:rFonts w:cs="Times New Roman"/>
                <w:b/>
                <w:sz w:val="20"/>
                <w:szCs w:val="20"/>
              </w:rPr>
            </w:pPr>
            <w:r w:rsidRPr="00A86FA4">
              <w:rPr>
                <w:rFonts w:cs="Times New Roman"/>
                <w:b/>
                <w:sz w:val="20"/>
                <w:szCs w:val="20"/>
              </w:rPr>
              <w:t xml:space="preserve">Drugi izvori </w:t>
            </w:r>
          </w:p>
          <w:p w14:paraId="1EE8A4F6" w14:textId="5B5E4603" w:rsidR="00463FD7" w:rsidRPr="00A86FA4" w:rsidRDefault="00463FD7" w:rsidP="00463FD7">
            <w:pPr>
              <w:jc w:val="center"/>
              <w:rPr>
                <w:rFonts w:cs="Times New Roman"/>
                <w:b/>
                <w:sz w:val="20"/>
                <w:szCs w:val="20"/>
              </w:rPr>
            </w:pPr>
            <w:r w:rsidRPr="00A86FA4">
              <w:rPr>
                <w:rFonts w:cs="Times New Roman"/>
                <w:b/>
                <w:sz w:val="20"/>
                <w:szCs w:val="20"/>
              </w:rPr>
              <w:t>(EUR)</w:t>
            </w:r>
          </w:p>
        </w:tc>
      </w:tr>
      <w:tr w:rsidR="00463FD7" w:rsidRPr="00463FD7" w14:paraId="6F2E3C8D" w14:textId="77777777" w:rsidTr="002A04BF">
        <w:tc>
          <w:tcPr>
            <w:tcW w:w="1484" w:type="pct"/>
            <w:vMerge/>
            <w:shd w:val="clear" w:color="auto" w:fill="F2F2F2" w:themeFill="background1" w:themeFillShade="F2"/>
            <w:vAlign w:val="center"/>
          </w:tcPr>
          <w:p w14:paraId="3B95A9C2" w14:textId="77777777" w:rsidR="00463FD7" w:rsidRPr="00FC64BF" w:rsidRDefault="00463FD7" w:rsidP="00463FD7">
            <w:pPr>
              <w:rPr>
                <w:rFonts w:cs="Times New Roman"/>
                <w:b/>
                <w:sz w:val="20"/>
                <w:szCs w:val="18"/>
              </w:rPr>
            </w:pPr>
          </w:p>
        </w:tc>
        <w:tc>
          <w:tcPr>
            <w:tcW w:w="1251" w:type="pct"/>
            <w:vAlign w:val="center"/>
          </w:tcPr>
          <w:p w14:paraId="5CC62C9B" w14:textId="77777777" w:rsidR="00463FD7" w:rsidRPr="00A86FA4" w:rsidRDefault="00463FD7" w:rsidP="00463FD7">
            <w:pPr>
              <w:jc w:val="center"/>
              <w:rPr>
                <w:rFonts w:eastAsia="Calibri"/>
                <w:sz w:val="20"/>
                <w:szCs w:val="20"/>
              </w:rPr>
            </w:pPr>
            <w:r w:rsidRPr="00A86FA4">
              <w:rPr>
                <w:rFonts w:eastAsia="Calibri"/>
                <w:sz w:val="20"/>
                <w:szCs w:val="20"/>
              </w:rPr>
              <w:t xml:space="preserve">A577137 – Posebni programi za provođenje programa nacionalnih manjina Izvor 11 </w:t>
            </w:r>
          </w:p>
          <w:p w14:paraId="73E0A76F" w14:textId="620916C4" w:rsidR="00463FD7" w:rsidRPr="00802CE3" w:rsidRDefault="00463FD7" w:rsidP="00463FD7">
            <w:pPr>
              <w:jc w:val="center"/>
              <w:rPr>
                <w:rFonts w:cs="Times New Roman"/>
                <w:b/>
                <w:sz w:val="20"/>
                <w:szCs w:val="20"/>
              </w:rPr>
            </w:pPr>
            <w:r w:rsidRPr="00A86FA4">
              <w:rPr>
                <w:rFonts w:eastAsia="Calibri"/>
                <w:b/>
                <w:sz w:val="20"/>
                <w:szCs w:val="20"/>
              </w:rPr>
              <w:t>Iznos: 26.130,00 EUR</w:t>
            </w:r>
          </w:p>
        </w:tc>
        <w:tc>
          <w:tcPr>
            <w:tcW w:w="1174" w:type="pct"/>
            <w:vAlign w:val="center"/>
          </w:tcPr>
          <w:p w14:paraId="0C844F07" w14:textId="77777777" w:rsidR="00463FD7" w:rsidRPr="00A86FA4" w:rsidRDefault="00463FD7" w:rsidP="00463FD7">
            <w:pPr>
              <w:jc w:val="center"/>
              <w:rPr>
                <w:rFonts w:cs="Times New Roman"/>
                <w:b/>
                <w:sz w:val="20"/>
                <w:szCs w:val="20"/>
              </w:rPr>
            </w:pPr>
            <w:r w:rsidRPr="00A86FA4">
              <w:rPr>
                <w:rFonts w:cs="Times New Roman"/>
                <w:b/>
                <w:sz w:val="20"/>
                <w:szCs w:val="20"/>
              </w:rPr>
              <w:t>0,00</w:t>
            </w:r>
          </w:p>
        </w:tc>
        <w:tc>
          <w:tcPr>
            <w:tcW w:w="1091" w:type="pct"/>
            <w:vAlign w:val="center"/>
          </w:tcPr>
          <w:p w14:paraId="4AD88334" w14:textId="77777777" w:rsidR="00463FD7" w:rsidRPr="00A86FA4" w:rsidRDefault="00463FD7" w:rsidP="00463FD7">
            <w:pPr>
              <w:jc w:val="center"/>
              <w:rPr>
                <w:rFonts w:cs="Times New Roman"/>
                <w:b/>
                <w:sz w:val="20"/>
                <w:szCs w:val="20"/>
              </w:rPr>
            </w:pPr>
            <w:r w:rsidRPr="00A86FA4">
              <w:rPr>
                <w:rFonts w:cs="Times New Roman"/>
                <w:b/>
                <w:sz w:val="20"/>
                <w:szCs w:val="20"/>
              </w:rPr>
              <w:t xml:space="preserve">0,00 </w:t>
            </w:r>
          </w:p>
        </w:tc>
      </w:tr>
      <w:tr w:rsidR="00463FD7" w:rsidRPr="00463FD7" w14:paraId="4429D05B" w14:textId="77777777" w:rsidTr="002A04BF">
        <w:trPr>
          <w:trHeight w:val="390"/>
        </w:trPr>
        <w:tc>
          <w:tcPr>
            <w:tcW w:w="1484" w:type="pct"/>
            <w:shd w:val="clear" w:color="auto" w:fill="F2F2F2" w:themeFill="background1" w:themeFillShade="F2"/>
            <w:vAlign w:val="center"/>
          </w:tcPr>
          <w:p w14:paraId="5BD5E52E" w14:textId="30B0E41B" w:rsidR="00463FD7" w:rsidRPr="00FC64BF" w:rsidRDefault="00463FD7" w:rsidP="00463FD7">
            <w:pPr>
              <w:rPr>
                <w:rFonts w:cs="Times New Roman"/>
                <w:sz w:val="20"/>
                <w:szCs w:val="18"/>
              </w:rPr>
            </w:pPr>
            <w:r w:rsidRPr="00FC64BF">
              <w:rPr>
                <w:rFonts w:cs="Times New Roman"/>
                <w:sz w:val="20"/>
                <w:szCs w:val="18"/>
              </w:rPr>
              <w:t xml:space="preserve">ROK PROVEDBE AKTIVNOSTI </w:t>
            </w:r>
          </w:p>
        </w:tc>
        <w:tc>
          <w:tcPr>
            <w:tcW w:w="3516" w:type="pct"/>
            <w:gridSpan w:val="3"/>
            <w:vAlign w:val="center"/>
          </w:tcPr>
          <w:p w14:paraId="37C60E92" w14:textId="77777777" w:rsidR="00463FD7" w:rsidRPr="00FC64BF" w:rsidRDefault="00463FD7" w:rsidP="00463FD7">
            <w:pPr>
              <w:rPr>
                <w:rFonts w:cs="Times New Roman"/>
                <w:sz w:val="20"/>
                <w:szCs w:val="18"/>
              </w:rPr>
            </w:pPr>
            <w:r w:rsidRPr="00FC64BF">
              <w:rPr>
                <w:rFonts w:cs="Times New Roman"/>
                <w:sz w:val="20"/>
                <w:szCs w:val="18"/>
              </w:rPr>
              <w:t xml:space="preserve">IV. kvartal 2025. </w:t>
            </w:r>
          </w:p>
        </w:tc>
      </w:tr>
    </w:tbl>
    <w:p w14:paraId="7B5A3ECA" w14:textId="77777777" w:rsidR="00E63507" w:rsidRPr="00FC64BF" w:rsidRDefault="00E63507" w:rsidP="00D36147">
      <w:pPr>
        <w:spacing w:after="0" w:line="276" w:lineRule="auto"/>
        <w:jc w:val="both"/>
        <w:rPr>
          <w:rFonts w:cs="Times New Roman"/>
          <w:i/>
          <w:iCs/>
        </w:rPr>
      </w:pPr>
    </w:p>
    <w:p w14:paraId="29D44A92" w14:textId="33F77C80" w:rsidR="00C65A9E" w:rsidRPr="00FC64BF" w:rsidRDefault="002D20C6" w:rsidP="00D36147">
      <w:pPr>
        <w:spacing w:after="0" w:line="276" w:lineRule="auto"/>
        <w:jc w:val="both"/>
        <w:rPr>
          <w:rFonts w:cs="Times New Roman"/>
          <w:i/>
          <w:iCs/>
        </w:rPr>
      </w:pPr>
      <w:r w:rsidRPr="00FC64BF">
        <w:rPr>
          <w:rFonts w:cs="Times New Roman"/>
          <w:i/>
          <w:iCs/>
        </w:rPr>
        <w:t xml:space="preserve">Aktivnost </w:t>
      </w:r>
      <w:r w:rsidR="001A6535" w:rsidRPr="00FC64BF">
        <w:rPr>
          <w:rFonts w:cs="Times New Roman"/>
          <w:i/>
          <w:iCs/>
        </w:rPr>
        <w:t>4.3.</w:t>
      </w:r>
      <w:r w:rsidR="00492B9B" w:rsidRPr="00FC64BF">
        <w:rPr>
          <w:rFonts w:cs="Times New Roman"/>
          <w:i/>
          <w:iCs/>
        </w:rPr>
        <w:t>6</w:t>
      </w:r>
      <w:r w:rsidR="001A6535" w:rsidRPr="00FC64BF">
        <w:rPr>
          <w:rFonts w:cs="Times New Roman"/>
          <w:i/>
          <w:iCs/>
        </w:rPr>
        <w:t>.</w:t>
      </w:r>
      <w:r w:rsidRPr="00FC64BF">
        <w:rPr>
          <w:rFonts w:cs="Times New Roman"/>
          <w:i/>
          <w:iCs/>
        </w:rPr>
        <w:t xml:space="preserve"> </w:t>
      </w:r>
      <w:r w:rsidR="001A6535" w:rsidRPr="00FC64BF">
        <w:rPr>
          <w:rFonts w:cs="Times New Roman"/>
          <w:i/>
          <w:iCs/>
        </w:rPr>
        <w:t>Sufinanciranje didaktičke opreme i školskog pribora za učenike osnovnih škola pripad</w:t>
      </w:r>
      <w:r w:rsidR="00C65A9E" w:rsidRPr="00FC64BF">
        <w:rPr>
          <w:rFonts w:cs="Times New Roman"/>
          <w:i/>
          <w:iCs/>
        </w:rPr>
        <w:t>nike romske nacionalne manjine</w:t>
      </w:r>
    </w:p>
    <w:p w14:paraId="602B2B39" w14:textId="11BB5AF0" w:rsidR="00C65A9E" w:rsidRPr="00FC64BF" w:rsidRDefault="00C65A9E" w:rsidP="00D36147">
      <w:pPr>
        <w:spacing w:after="0" w:line="276" w:lineRule="auto"/>
        <w:jc w:val="both"/>
        <w:rPr>
          <w:rFonts w:cs="Times New Roman"/>
          <w:i/>
          <w:iCs/>
        </w:rPr>
      </w:pPr>
      <w:r w:rsidRPr="00FC64BF">
        <w:rPr>
          <w:rFonts w:cs="Times New Roman"/>
          <w:i/>
          <w:iCs/>
        </w:rPr>
        <w:t xml:space="preserve">Nositelj provedbe: </w:t>
      </w:r>
      <w:r w:rsidR="00F36CF1">
        <w:rPr>
          <w:rFonts w:cs="Times New Roman"/>
          <w:i/>
          <w:iCs/>
        </w:rPr>
        <w:t>Ministarstvo znanosti, obrazovanja i mladih</w:t>
      </w:r>
      <w:r w:rsidRPr="00FC64BF">
        <w:rPr>
          <w:rFonts w:cs="Times New Roman"/>
          <w:i/>
          <w:iCs/>
        </w:rPr>
        <w:t xml:space="preserve"> </w:t>
      </w:r>
    </w:p>
    <w:p w14:paraId="40168EB3" w14:textId="516A745B" w:rsidR="001A6535" w:rsidRPr="00FC64BF" w:rsidRDefault="00C65A9E" w:rsidP="00D36147">
      <w:pPr>
        <w:spacing w:after="0" w:line="276" w:lineRule="auto"/>
        <w:jc w:val="both"/>
        <w:rPr>
          <w:rFonts w:eastAsia="Calibri" w:cs="Times New Roman"/>
          <w:i/>
          <w:iCs/>
        </w:rPr>
      </w:pPr>
      <w:r w:rsidRPr="00FC64BF">
        <w:rPr>
          <w:rFonts w:cs="Times New Roman"/>
          <w:i/>
          <w:iCs/>
        </w:rPr>
        <w:t>P</w:t>
      </w:r>
      <w:r w:rsidR="00BA0AAF" w:rsidRPr="00FC64BF">
        <w:rPr>
          <w:rFonts w:cs="Times New Roman"/>
          <w:i/>
          <w:iCs/>
        </w:rPr>
        <w:t xml:space="preserve">artneri: </w:t>
      </w:r>
      <w:r w:rsidR="000C7DB3" w:rsidRPr="00FC64BF">
        <w:rPr>
          <w:rFonts w:eastAsia="Calibri" w:cs="Times New Roman"/>
          <w:i/>
          <w:iCs/>
        </w:rPr>
        <w:t>O</w:t>
      </w:r>
      <w:r w:rsidR="00BA0AAF" w:rsidRPr="00FC64BF">
        <w:rPr>
          <w:rFonts w:eastAsia="Calibri" w:cs="Times New Roman"/>
          <w:i/>
          <w:iCs/>
        </w:rPr>
        <w:t>snovnoško</w:t>
      </w:r>
      <w:r w:rsidRPr="00FC64BF">
        <w:rPr>
          <w:rFonts w:eastAsia="Calibri" w:cs="Times New Roman"/>
          <w:i/>
          <w:iCs/>
        </w:rPr>
        <w:t>lske odgojno-obrazovne ustanove</w:t>
      </w:r>
    </w:p>
    <w:p w14:paraId="56A8FD52" w14:textId="77777777" w:rsidR="00E7549B" w:rsidRPr="00FC64BF" w:rsidRDefault="00E7549B" w:rsidP="00D36147">
      <w:pPr>
        <w:spacing w:after="0" w:line="276" w:lineRule="auto"/>
        <w:jc w:val="both"/>
        <w:rPr>
          <w:rFonts w:cs="Times New Roman"/>
          <w:i/>
          <w:iCs/>
        </w:rPr>
      </w:pPr>
    </w:p>
    <w:p w14:paraId="19F39F51" w14:textId="4394EA41" w:rsidR="00463FD7" w:rsidRPr="00FC64BF" w:rsidRDefault="00463FD7" w:rsidP="00D36147">
      <w:pPr>
        <w:spacing w:after="0" w:line="276" w:lineRule="auto"/>
        <w:jc w:val="both"/>
        <w:rPr>
          <w:rFonts w:cs="Times New Roman"/>
        </w:rPr>
      </w:pPr>
      <w:r w:rsidRPr="00463FD7">
        <w:rPr>
          <w:rFonts w:cs="Times New Roman"/>
        </w:rPr>
        <w:t>Aktivnost predviđa osiguranje minimalne opremljenosti učenika pripadnika romske nacionalne manjine školskim priborom. Uslijed siromaštva i života u otežanim uvjetima, često u obiteljima s nezaposlenim roditeljima djeca pripadnika romske nacionalne manjine osnovnoškolske dobi ne raspolažu školskim priborom koji osigurava nesmetano ili olakšano izvršavanje školskih obveza. Navedeno potvrđuju i škole koje pohađaju takvi učenici, većinom iz izoliranih romskih naselja. Provedba aktivnosti osigurava sredstva koja se dodjeljuju osnovnoj školi, a koja bi uključenim učenicima nabavila potrebnu opremu i pribor. U 202</w:t>
      </w:r>
      <w:r w:rsidR="00DD2F01">
        <w:rPr>
          <w:rFonts w:cs="Times New Roman"/>
        </w:rPr>
        <w:t>4</w:t>
      </w:r>
      <w:r w:rsidRPr="00463FD7">
        <w:rPr>
          <w:rFonts w:cs="Times New Roman"/>
        </w:rPr>
        <w:t xml:space="preserve">. </w:t>
      </w:r>
      <w:r w:rsidR="000C70C3">
        <w:rPr>
          <w:rFonts w:cs="Times New Roman"/>
        </w:rPr>
        <w:t xml:space="preserve">godini </w:t>
      </w:r>
      <w:r w:rsidR="00F36CF1">
        <w:rPr>
          <w:rFonts w:cs="Times New Roman"/>
        </w:rPr>
        <w:t>Ministarstvo znanosti, obrazovanja i mladih</w:t>
      </w:r>
      <w:r w:rsidRPr="00463FD7">
        <w:rPr>
          <w:rFonts w:cs="Times New Roman"/>
        </w:rPr>
        <w:t xml:space="preserve"> osiguralo je sredstva za didaktički materijal i opremu odgojno-obrazovnim ustanovama s većim brojem učenika pripadnika romske nacionalne manjine, a kako bi se i takvim ciljanim intervencijama omogućili bolji uvjeti obrazovanja svim učenicima. </w:t>
      </w:r>
      <w:r w:rsidR="00DD2F01" w:rsidRPr="00DD2F01">
        <w:rPr>
          <w:rFonts w:cs="Times New Roman"/>
        </w:rPr>
        <w:t xml:space="preserve"> Osnovnoj školi Dr. Ivana Novaka, Macinec</w:t>
      </w:r>
      <w:r w:rsidR="00DD2F01">
        <w:rPr>
          <w:rFonts w:cs="Times New Roman"/>
        </w:rPr>
        <w:t>,</w:t>
      </w:r>
      <w:r w:rsidR="00DD2F01" w:rsidRPr="00DD2F01">
        <w:rPr>
          <w:rFonts w:cs="Times New Roman"/>
        </w:rPr>
        <w:t xml:space="preserve"> sufinancirano je opremanje učionice (projektori i platna za projektore) u iznosu od 4.349,91 EUR. </w:t>
      </w:r>
      <w:r w:rsidRPr="00463FD7">
        <w:rPr>
          <w:rFonts w:cs="Times New Roman"/>
        </w:rPr>
        <w:t>Osiguravanje kvalitetnog i uključivog obrazovanja za sve dodatno se smanjuju društvene, gospodarske i kulturne nejednakosti.</w:t>
      </w:r>
    </w:p>
    <w:p w14:paraId="2C0B141F" w14:textId="77777777" w:rsidR="00E7549B" w:rsidRPr="00287FDA" w:rsidRDefault="00E7549B" w:rsidP="00D36147">
      <w:pPr>
        <w:spacing w:after="0" w:line="276" w:lineRule="auto"/>
        <w:jc w:val="both"/>
        <w:rPr>
          <w:rFonts w:cs="Times New Roman"/>
        </w:rPr>
      </w:pPr>
    </w:p>
    <w:tbl>
      <w:tblPr>
        <w:tblStyle w:val="TableGrid"/>
        <w:tblW w:w="0" w:type="auto"/>
        <w:tblLook w:val="04A0" w:firstRow="1" w:lastRow="0" w:firstColumn="1" w:lastColumn="0" w:noHBand="0" w:noVBand="1"/>
      </w:tblPr>
      <w:tblGrid>
        <w:gridCol w:w="2793"/>
        <w:gridCol w:w="2305"/>
        <w:gridCol w:w="2127"/>
        <w:gridCol w:w="1837"/>
      </w:tblGrid>
      <w:tr w:rsidR="00CE622A" w:rsidRPr="00CE622A" w14:paraId="2237B42E" w14:textId="77777777" w:rsidTr="00B66CD2">
        <w:trPr>
          <w:trHeight w:val="1080"/>
        </w:trPr>
        <w:tc>
          <w:tcPr>
            <w:tcW w:w="2793" w:type="dxa"/>
            <w:shd w:val="clear" w:color="auto" w:fill="F2F2F2" w:themeFill="background1" w:themeFillShade="F2"/>
            <w:vAlign w:val="center"/>
          </w:tcPr>
          <w:p w14:paraId="67A1ED74" w14:textId="3C1F0187" w:rsidR="00701CCF" w:rsidRPr="00C4513D" w:rsidRDefault="007E61F3" w:rsidP="004A3B23">
            <w:pPr>
              <w:spacing w:line="276" w:lineRule="auto"/>
              <w:rPr>
                <w:rFonts w:cs="Times New Roman"/>
                <w:b/>
                <w:sz w:val="20"/>
                <w:szCs w:val="20"/>
              </w:rPr>
            </w:pPr>
            <w:r w:rsidRPr="00C4513D">
              <w:rPr>
                <w:rFonts w:cs="Times New Roman"/>
                <w:b/>
                <w:sz w:val="20"/>
                <w:szCs w:val="20"/>
              </w:rPr>
              <w:t>Pokazatelji provedbe i pokazatelji uspješnosti provedbe</w:t>
            </w:r>
          </w:p>
        </w:tc>
        <w:tc>
          <w:tcPr>
            <w:tcW w:w="2305" w:type="dxa"/>
            <w:shd w:val="clear" w:color="auto" w:fill="F2F2F2" w:themeFill="background1" w:themeFillShade="F2"/>
            <w:vAlign w:val="center"/>
          </w:tcPr>
          <w:p w14:paraId="327E6B27" w14:textId="7AE2338F" w:rsidR="00701CCF" w:rsidRPr="00C4513D" w:rsidRDefault="00701CCF" w:rsidP="00447EFE">
            <w:pPr>
              <w:spacing w:line="276" w:lineRule="auto"/>
              <w:jc w:val="center"/>
              <w:rPr>
                <w:rFonts w:eastAsia="Calibri" w:cs="Times New Roman"/>
                <w:b/>
                <w:strike/>
                <w:sz w:val="20"/>
                <w:szCs w:val="20"/>
              </w:rPr>
            </w:pPr>
            <w:r w:rsidRPr="00C4513D">
              <w:rPr>
                <w:rFonts w:eastAsia="Calibri" w:cs="Times New Roman"/>
                <w:b/>
                <w:sz w:val="20"/>
                <w:szCs w:val="20"/>
              </w:rPr>
              <w:t>Broj osnovnih škola koja</w:t>
            </w:r>
            <w:r w:rsidR="00447EFE" w:rsidRPr="00C4513D">
              <w:rPr>
                <w:rFonts w:eastAsia="Calibri" w:cs="Times New Roman"/>
                <w:b/>
                <w:sz w:val="20"/>
                <w:szCs w:val="20"/>
              </w:rPr>
              <w:t xml:space="preserve"> </w:t>
            </w:r>
            <w:r w:rsidRPr="00C4513D">
              <w:rPr>
                <w:rFonts w:eastAsia="Calibri" w:cs="Times New Roman"/>
                <w:b/>
                <w:sz w:val="20"/>
                <w:szCs w:val="20"/>
              </w:rPr>
              <w:t>podnose zahtjev za</w:t>
            </w:r>
            <w:r w:rsidR="00447EFE" w:rsidRPr="00C4513D">
              <w:rPr>
                <w:rFonts w:eastAsia="Calibri" w:cs="Times New Roman"/>
                <w:b/>
                <w:sz w:val="20"/>
                <w:szCs w:val="20"/>
              </w:rPr>
              <w:t xml:space="preserve"> </w:t>
            </w:r>
            <w:r w:rsidRPr="00C4513D">
              <w:rPr>
                <w:rFonts w:eastAsia="Calibri" w:cs="Times New Roman"/>
                <w:b/>
                <w:sz w:val="20"/>
                <w:szCs w:val="20"/>
              </w:rPr>
              <w:t>osiguravanjem opreme</w:t>
            </w:r>
          </w:p>
        </w:tc>
        <w:tc>
          <w:tcPr>
            <w:tcW w:w="2127" w:type="dxa"/>
            <w:shd w:val="clear" w:color="auto" w:fill="F2F2F2" w:themeFill="background1" w:themeFillShade="F2"/>
            <w:vAlign w:val="center"/>
          </w:tcPr>
          <w:p w14:paraId="36E19162" w14:textId="1C90FAAD" w:rsidR="00701CCF" w:rsidRPr="00C4513D" w:rsidRDefault="00701CCF" w:rsidP="00447EFE">
            <w:pPr>
              <w:spacing w:line="276" w:lineRule="auto"/>
              <w:jc w:val="center"/>
              <w:rPr>
                <w:rFonts w:cs="Times New Roman"/>
                <w:b/>
                <w:sz w:val="20"/>
                <w:szCs w:val="20"/>
              </w:rPr>
            </w:pPr>
            <w:r w:rsidRPr="00C4513D">
              <w:rPr>
                <w:rFonts w:eastAsia="Calibri" w:cs="Times New Roman"/>
                <w:b/>
                <w:sz w:val="20"/>
                <w:szCs w:val="20"/>
              </w:rPr>
              <w:t>Broj učenika kojima su</w:t>
            </w:r>
            <w:r w:rsidR="00447EFE" w:rsidRPr="00C4513D">
              <w:rPr>
                <w:rFonts w:eastAsia="Calibri" w:cs="Times New Roman"/>
                <w:b/>
                <w:sz w:val="20"/>
                <w:szCs w:val="20"/>
              </w:rPr>
              <w:t xml:space="preserve"> </w:t>
            </w:r>
            <w:r w:rsidRPr="00C4513D">
              <w:rPr>
                <w:rFonts w:eastAsia="Calibri" w:cs="Times New Roman"/>
                <w:b/>
                <w:sz w:val="20"/>
                <w:szCs w:val="20"/>
              </w:rPr>
              <w:t>osigurana didaktička</w:t>
            </w:r>
            <w:r w:rsidR="00447EFE" w:rsidRPr="00C4513D">
              <w:rPr>
                <w:rFonts w:eastAsia="Calibri" w:cs="Times New Roman"/>
                <w:b/>
                <w:sz w:val="20"/>
                <w:szCs w:val="20"/>
              </w:rPr>
              <w:t xml:space="preserve"> </w:t>
            </w:r>
            <w:r w:rsidRPr="00C4513D">
              <w:rPr>
                <w:rFonts w:eastAsia="Calibri" w:cs="Times New Roman"/>
                <w:b/>
                <w:sz w:val="20"/>
                <w:szCs w:val="20"/>
              </w:rPr>
              <w:t>sredstva i oprema</w:t>
            </w:r>
          </w:p>
        </w:tc>
        <w:tc>
          <w:tcPr>
            <w:tcW w:w="1837" w:type="dxa"/>
            <w:shd w:val="clear" w:color="auto" w:fill="F2F2F2" w:themeFill="background1" w:themeFillShade="F2"/>
            <w:vAlign w:val="center"/>
          </w:tcPr>
          <w:p w14:paraId="4F0231A7" w14:textId="0CBE144D" w:rsidR="00701CCF" w:rsidRPr="00C4513D" w:rsidRDefault="00701CCF" w:rsidP="00D36147">
            <w:pPr>
              <w:spacing w:line="276" w:lineRule="auto"/>
              <w:jc w:val="center"/>
              <w:rPr>
                <w:rFonts w:cs="Times New Roman"/>
                <w:b/>
                <w:sz w:val="20"/>
                <w:szCs w:val="20"/>
              </w:rPr>
            </w:pPr>
            <w:r w:rsidRPr="00C4513D">
              <w:rPr>
                <w:rFonts w:eastAsia="Calibri" w:cs="Times New Roman"/>
                <w:b/>
                <w:sz w:val="20"/>
                <w:szCs w:val="20"/>
              </w:rPr>
              <w:t>/</w:t>
            </w:r>
          </w:p>
        </w:tc>
      </w:tr>
      <w:tr w:rsidR="00887FD8" w:rsidRPr="00CE622A" w14:paraId="0A3C5108" w14:textId="77777777" w:rsidTr="00FC64BF">
        <w:tc>
          <w:tcPr>
            <w:tcW w:w="2793" w:type="dxa"/>
            <w:shd w:val="clear" w:color="auto" w:fill="F2F2F2" w:themeFill="background1" w:themeFillShade="F2"/>
          </w:tcPr>
          <w:p w14:paraId="4E07FA63" w14:textId="71499677" w:rsidR="00887FD8" w:rsidRPr="00C4513D" w:rsidRDefault="00887FD8" w:rsidP="0061594B">
            <w:pPr>
              <w:spacing w:line="276" w:lineRule="auto"/>
              <w:rPr>
                <w:rFonts w:cs="Times New Roman"/>
                <w:sz w:val="20"/>
                <w:szCs w:val="20"/>
              </w:rPr>
            </w:pPr>
            <w:r w:rsidRPr="00C4513D">
              <w:rPr>
                <w:rFonts w:cs="Times New Roman"/>
                <w:sz w:val="20"/>
                <w:szCs w:val="20"/>
              </w:rPr>
              <w:t>Planirani ishodi za pokazatelje provedbe u 2024.</w:t>
            </w:r>
          </w:p>
        </w:tc>
        <w:tc>
          <w:tcPr>
            <w:tcW w:w="2305" w:type="dxa"/>
          </w:tcPr>
          <w:p w14:paraId="231D9237" w14:textId="659AED29" w:rsidR="00887FD8" w:rsidRPr="00C4513D" w:rsidRDefault="00887FD8" w:rsidP="00887FD8">
            <w:pPr>
              <w:spacing w:line="276" w:lineRule="auto"/>
              <w:jc w:val="center"/>
              <w:rPr>
                <w:rFonts w:cs="Times New Roman"/>
                <w:sz w:val="20"/>
                <w:szCs w:val="20"/>
              </w:rPr>
            </w:pPr>
            <w:r w:rsidRPr="00C4513D">
              <w:rPr>
                <w:rFonts w:cs="Times New Roman"/>
                <w:sz w:val="20"/>
                <w:szCs w:val="20"/>
              </w:rPr>
              <w:t>10</w:t>
            </w:r>
          </w:p>
        </w:tc>
        <w:tc>
          <w:tcPr>
            <w:tcW w:w="2127" w:type="dxa"/>
          </w:tcPr>
          <w:p w14:paraId="407F1130" w14:textId="03892EAA" w:rsidR="00887FD8" w:rsidRPr="00C4513D" w:rsidRDefault="00887FD8" w:rsidP="00887FD8">
            <w:pPr>
              <w:spacing w:line="276" w:lineRule="auto"/>
              <w:jc w:val="center"/>
              <w:rPr>
                <w:rFonts w:cs="Times New Roman"/>
                <w:sz w:val="20"/>
                <w:szCs w:val="20"/>
              </w:rPr>
            </w:pPr>
            <w:r w:rsidRPr="00C4513D">
              <w:rPr>
                <w:rFonts w:cs="Times New Roman"/>
                <w:sz w:val="20"/>
                <w:szCs w:val="20"/>
              </w:rPr>
              <w:t>300</w:t>
            </w:r>
          </w:p>
        </w:tc>
        <w:tc>
          <w:tcPr>
            <w:tcW w:w="1837" w:type="dxa"/>
          </w:tcPr>
          <w:p w14:paraId="65C323AB" w14:textId="40CFF165" w:rsidR="00887FD8" w:rsidRPr="00C4513D" w:rsidRDefault="00887FD8" w:rsidP="00887FD8">
            <w:pPr>
              <w:spacing w:line="276" w:lineRule="auto"/>
              <w:jc w:val="center"/>
              <w:rPr>
                <w:rFonts w:cs="Times New Roman"/>
                <w:sz w:val="20"/>
                <w:szCs w:val="20"/>
              </w:rPr>
            </w:pPr>
            <w:r w:rsidRPr="00C4513D">
              <w:rPr>
                <w:rFonts w:cs="Times New Roman"/>
                <w:i/>
                <w:sz w:val="20"/>
                <w:szCs w:val="20"/>
              </w:rPr>
              <w:t>/</w:t>
            </w:r>
          </w:p>
        </w:tc>
      </w:tr>
      <w:tr w:rsidR="00887FD8" w:rsidRPr="00CE622A" w14:paraId="5335E3B5" w14:textId="77777777" w:rsidTr="00FC64BF">
        <w:tc>
          <w:tcPr>
            <w:tcW w:w="2793" w:type="dxa"/>
            <w:shd w:val="clear" w:color="auto" w:fill="F2F2F2" w:themeFill="background1" w:themeFillShade="F2"/>
          </w:tcPr>
          <w:p w14:paraId="46FD67B0" w14:textId="2F1E4AE4" w:rsidR="00887FD8" w:rsidRPr="00C4513D" w:rsidRDefault="00887FD8" w:rsidP="0061594B">
            <w:pPr>
              <w:spacing w:line="276" w:lineRule="auto"/>
              <w:rPr>
                <w:rFonts w:cs="Times New Roman"/>
                <w:sz w:val="20"/>
                <w:szCs w:val="20"/>
              </w:rPr>
            </w:pPr>
            <w:r w:rsidRPr="00C4513D">
              <w:rPr>
                <w:rFonts w:cs="Times New Roman"/>
                <w:sz w:val="20"/>
                <w:szCs w:val="20"/>
              </w:rPr>
              <w:t>Ostvareni ishodi za pokazatelje provedbe u 2024</w:t>
            </w:r>
          </w:p>
        </w:tc>
        <w:tc>
          <w:tcPr>
            <w:tcW w:w="2305" w:type="dxa"/>
          </w:tcPr>
          <w:p w14:paraId="027FA53B" w14:textId="7DD281C4" w:rsidR="00887FD8" w:rsidRPr="00C4513D" w:rsidRDefault="00DD2F01" w:rsidP="00887FD8">
            <w:pPr>
              <w:spacing w:line="276" w:lineRule="auto"/>
              <w:jc w:val="center"/>
              <w:rPr>
                <w:rFonts w:cs="Times New Roman"/>
                <w:sz w:val="20"/>
                <w:szCs w:val="20"/>
              </w:rPr>
            </w:pPr>
            <w:r w:rsidRPr="00C4513D">
              <w:rPr>
                <w:rFonts w:cs="Times New Roman"/>
                <w:sz w:val="20"/>
                <w:szCs w:val="20"/>
              </w:rPr>
              <w:t>1</w:t>
            </w:r>
          </w:p>
        </w:tc>
        <w:tc>
          <w:tcPr>
            <w:tcW w:w="2127" w:type="dxa"/>
          </w:tcPr>
          <w:p w14:paraId="75F27730" w14:textId="560F8196" w:rsidR="00887FD8" w:rsidRPr="00C4513D" w:rsidRDefault="00DD2F01" w:rsidP="00887FD8">
            <w:pPr>
              <w:spacing w:line="276" w:lineRule="auto"/>
              <w:jc w:val="center"/>
              <w:rPr>
                <w:rFonts w:cs="Times New Roman"/>
                <w:sz w:val="20"/>
                <w:szCs w:val="20"/>
              </w:rPr>
            </w:pPr>
            <w:r w:rsidRPr="00C4513D">
              <w:rPr>
                <w:rFonts w:cs="Times New Roman"/>
                <w:sz w:val="20"/>
                <w:szCs w:val="20"/>
              </w:rPr>
              <w:t>43</w:t>
            </w:r>
            <w:r w:rsidR="00887FD8" w:rsidRPr="00C4513D">
              <w:rPr>
                <w:rFonts w:cs="Times New Roman"/>
                <w:sz w:val="20"/>
                <w:szCs w:val="20"/>
              </w:rPr>
              <w:t>0</w:t>
            </w:r>
          </w:p>
        </w:tc>
        <w:tc>
          <w:tcPr>
            <w:tcW w:w="1837" w:type="dxa"/>
          </w:tcPr>
          <w:p w14:paraId="71D35377" w14:textId="38B8F76C" w:rsidR="00887FD8" w:rsidRPr="00C4513D" w:rsidRDefault="00887FD8" w:rsidP="00887FD8">
            <w:pPr>
              <w:spacing w:line="276" w:lineRule="auto"/>
              <w:jc w:val="center"/>
              <w:rPr>
                <w:rFonts w:cs="Times New Roman"/>
                <w:sz w:val="20"/>
                <w:szCs w:val="20"/>
              </w:rPr>
            </w:pPr>
            <w:r w:rsidRPr="00C4513D">
              <w:rPr>
                <w:rFonts w:cs="Times New Roman"/>
                <w:i/>
                <w:sz w:val="20"/>
                <w:szCs w:val="20"/>
              </w:rPr>
              <w:t>/</w:t>
            </w:r>
          </w:p>
        </w:tc>
      </w:tr>
      <w:tr w:rsidR="00887FD8" w:rsidRPr="00CE622A" w14:paraId="00F8C404" w14:textId="77777777" w:rsidTr="00B66CD2">
        <w:tc>
          <w:tcPr>
            <w:tcW w:w="2793" w:type="dxa"/>
            <w:shd w:val="clear" w:color="auto" w:fill="F2F2F2" w:themeFill="background1" w:themeFillShade="F2"/>
            <w:vAlign w:val="center"/>
          </w:tcPr>
          <w:p w14:paraId="556D6ABF" w14:textId="77777777" w:rsidR="00887FD8" w:rsidRPr="00C4513D" w:rsidRDefault="00887FD8" w:rsidP="00887FD8">
            <w:pPr>
              <w:spacing w:line="276" w:lineRule="auto"/>
              <w:rPr>
                <w:rFonts w:cs="Times New Roman"/>
                <w:b/>
                <w:sz w:val="20"/>
                <w:szCs w:val="20"/>
              </w:rPr>
            </w:pPr>
            <w:r w:rsidRPr="00C4513D">
              <w:rPr>
                <w:rFonts w:cs="Times New Roman"/>
                <w:b/>
                <w:sz w:val="20"/>
                <w:szCs w:val="20"/>
              </w:rPr>
              <w:t xml:space="preserve">IZVORI FINANCIRANJA </w:t>
            </w:r>
          </w:p>
        </w:tc>
        <w:tc>
          <w:tcPr>
            <w:tcW w:w="2305" w:type="dxa"/>
            <w:vAlign w:val="center"/>
          </w:tcPr>
          <w:p w14:paraId="61A512FA"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Državni proračun (EUR)</w:t>
            </w:r>
          </w:p>
        </w:tc>
        <w:tc>
          <w:tcPr>
            <w:tcW w:w="2127" w:type="dxa"/>
            <w:vAlign w:val="center"/>
          </w:tcPr>
          <w:p w14:paraId="14D5E8C0"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EU financiranje (EUR)</w:t>
            </w:r>
          </w:p>
        </w:tc>
        <w:tc>
          <w:tcPr>
            <w:tcW w:w="1837" w:type="dxa"/>
            <w:vAlign w:val="center"/>
          </w:tcPr>
          <w:p w14:paraId="6D4EBEC0"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Drugi izvori (EUR)</w:t>
            </w:r>
          </w:p>
        </w:tc>
      </w:tr>
      <w:tr w:rsidR="00887FD8" w:rsidRPr="00CE622A" w14:paraId="41625626" w14:textId="77777777" w:rsidTr="00B66CD2">
        <w:tc>
          <w:tcPr>
            <w:tcW w:w="2793" w:type="dxa"/>
            <w:shd w:val="clear" w:color="auto" w:fill="F2F2F2" w:themeFill="background1" w:themeFillShade="F2"/>
            <w:vAlign w:val="center"/>
          </w:tcPr>
          <w:p w14:paraId="62846F18" w14:textId="382BE9D1" w:rsidR="00887FD8" w:rsidRPr="00C4513D" w:rsidRDefault="00887FD8" w:rsidP="0061594B">
            <w:pPr>
              <w:spacing w:line="276" w:lineRule="auto"/>
              <w:rPr>
                <w:rFonts w:cs="Times New Roman"/>
                <w:sz w:val="20"/>
                <w:szCs w:val="20"/>
              </w:rPr>
            </w:pPr>
            <w:r w:rsidRPr="00C4513D">
              <w:rPr>
                <w:rFonts w:cs="Times New Roman"/>
                <w:sz w:val="20"/>
                <w:szCs w:val="20"/>
              </w:rPr>
              <w:t>Izvori financiranja u 202</w:t>
            </w:r>
            <w:r w:rsidR="00974B60" w:rsidRPr="00C4513D">
              <w:rPr>
                <w:rFonts w:cs="Times New Roman"/>
                <w:sz w:val="20"/>
                <w:szCs w:val="20"/>
              </w:rPr>
              <w:t>4</w:t>
            </w:r>
            <w:r w:rsidRPr="00C4513D">
              <w:rPr>
                <w:rFonts w:cs="Times New Roman"/>
                <w:sz w:val="20"/>
                <w:szCs w:val="20"/>
              </w:rPr>
              <w:t>. (proračunska pozicija i predviđeni iznos sredstava)</w:t>
            </w:r>
          </w:p>
        </w:tc>
        <w:tc>
          <w:tcPr>
            <w:tcW w:w="2305" w:type="dxa"/>
            <w:vAlign w:val="center"/>
          </w:tcPr>
          <w:p w14:paraId="59D35916" w14:textId="3380A6B5" w:rsidR="00887FD8" w:rsidRPr="00C4513D" w:rsidRDefault="00887FD8" w:rsidP="00887FD8">
            <w:pPr>
              <w:spacing w:line="276" w:lineRule="auto"/>
              <w:jc w:val="center"/>
              <w:rPr>
                <w:rFonts w:cs="Times New Roman"/>
                <w:sz w:val="20"/>
                <w:szCs w:val="20"/>
              </w:rPr>
            </w:pPr>
            <w:r w:rsidRPr="00C4513D">
              <w:rPr>
                <w:rFonts w:cs="Times New Roman"/>
                <w:sz w:val="20"/>
                <w:szCs w:val="20"/>
              </w:rPr>
              <w:t>A767015 – Provedba programa za uključivanje Roma</w:t>
            </w:r>
          </w:p>
          <w:p w14:paraId="1A03D4A2" w14:textId="2AF8C8DF" w:rsidR="00887FD8" w:rsidRPr="00C4513D" w:rsidRDefault="00887FD8" w:rsidP="00887FD8">
            <w:pPr>
              <w:spacing w:line="276" w:lineRule="auto"/>
              <w:jc w:val="center"/>
              <w:rPr>
                <w:rFonts w:cs="Times New Roman"/>
                <w:sz w:val="20"/>
                <w:szCs w:val="20"/>
              </w:rPr>
            </w:pPr>
          </w:p>
        </w:tc>
        <w:tc>
          <w:tcPr>
            <w:tcW w:w="2127" w:type="dxa"/>
            <w:vAlign w:val="center"/>
          </w:tcPr>
          <w:p w14:paraId="20011230" w14:textId="77777777" w:rsidR="00887FD8" w:rsidRPr="00C4513D" w:rsidRDefault="00887FD8" w:rsidP="00887FD8">
            <w:pPr>
              <w:spacing w:line="276" w:lineRule="auto"/>
              <w:jc w:val="center"/>
              <w:rPr>
                <w:rFonts w:cs="Times New Roman"/>
                <w:sz w:val="20"/>
                <w:szCs w:val="20"/>
              </w:rPr>
            </w:pPr>
            <w:r w:rsidRPr="00C4513D">
              <w:rPr>
                <w:rFonts w:cs="Times New Roman"/>
                <w:sz w:val="20"/>
                <w:szCs w:val="20"/>
              </w:rPr>
              <w:t>0,00</w:t>
            </w:r>
          </w:p>
        </w:tc>
        <w:tc>
          <w:tcPr>
            <w:tcW w:w="1837" w:type="dxa"/>
            <w:vAlign w:val="center"/>
          </w:tcPr>
          <w:p w14:paraId="642382EB" w14:textId="77777777" w:rsidR="00887FD8" w:rsidRPr="00C4513D" w:rsidRDefault="00887FD8" w:rsidP="00887FD8">
            <w:pPr>
              <w:spacing w:line="276" w:lineRule="auto"/>
              <w:jc w:val="center"/>
              <w:rPr>
                <w:rFonts w:cs="Times New Roman"/>
                <w:sz w:val="20"/>
                <w:szCs w:val="20"/>
              </w:rPr>
            </w:pPr>
            <w:r w:rsidRPr="00C4513D">
              <w:rPr>
                <w:rFonts w:cs="Times New Roman"/>
                <w:sz w:val="20"/>
                <w:szCs w:val="20"/>
              </w:rPr>
              <w:t xml:space="preserve">0,00 </w:t>
            </w:r>
          </w:p>
        </w:tc>
      </w:tr>
      <w:tr w:rsidR="00887FD8" w:rsidRPr="00CE622A" w14:paraId="21E3D03B" w14:textId="77777777" w:rsidTr="00B66CD2">
        <w:tc>
          <w:tcPr>
            <w:tcW w:w="2793" w:type="dxa"/>
            <w:vMerge w:val="restart"/>
            <w:shd w:val="clear" w:color="auto" w:fill="F2F2F2" w:themeFill="background1" w:themeFillShade="F2"/>
            <w:vAlign w:val="center"/>
          </w:tcPr>
          <w:p w14:paraId="748FD568" w14:textId="77777777" w:rsidR="00887FD8" w:rsidRPr="00C4513D" w:rsidRDefault="00887FD8" w:rsidP="00887FD8">
            <w:pPr>
              <w:spacing w:line="276" w:lineRule="auto"/>
              <w:rPr>
                <w:rFonts w:cs="Times New Roman"/>
                <w:b/>
                <w:sz w:val="20"/>
                <w:szCs w:val="20"/>
              </w:rPr>
            </w:pPr>
            <w:r w:rsidRPr="00C4513D">
              <w:rPr>
                <w:rFonts w:cs="Times New Roman"/>
                <w:b/>
                <w:sz w:val="20"/>
                <w:szCs w:val="20"/>
              </w:rPr>
              <w:t xml:space="preserve">UKUPNO UTROŠENA SREDSTVA PO IZVORU </w:t>
            </w:r>
          </w:p>
        </w:tc>
        <w:tc>
          <w:tcPr>
            <w:tcW w:w="2305" w:type="dxa"/>
            <w:vAlign w:val="center"/>
          </w:tcPr>
          <w:p w14:paraId="4CFADC4F"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Državni proračun (EUR)</w:t>
            </w:r>
          </w:p>
        </w:tc>
        <w:tc>
          <w:tcPr>
            <w:tcW w:w="2127" w:type="dxa"/>
            <w:vAlign w:val="center"/>
          </w:tcPr>
          <w:p w14:paraId="4EE2A155"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EU financiranje (EUR)</w:t>
            </w:r>
          </w:p>
        </w:tc>
        <w:tc>
          <w:tcPr>
            <w:tcW w:w="1837" w:type="dxa"/>
            <w:vAlign w:val="center"/>
          </w:tcPr>
          <w:p w14:paraId="67542387"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Drugi izvori (EUR)</w:t>
            </w:r>
          </w:p>
        </w:tc>
      </w:tr>
      <w:tr w:rsidR="00887FD8" w:rsidRPr="00CE622A" w14:paraId="196F2558" w14:textId="77777777" w:rsidTr="00B66CD2">
        <w:tc>
          <w:tcPr>
            <w:tcW w:w="2793" w:type="dxa"/>
            <w:vMerge/>
            <w:shd w:val="clear" w:color="auto" w:fill="F2F2F2" w:themeFill="background1" w:themeFillShade="F2"/>
            <w:vAlign w:val="center"/>
          </w:tcPr>
          <w:p w14:paraId="3BB82746" w14:textId="77777777" w:rsidR="00887FD8" w:rsidRPr="00C4513D" w:rsidRDefault="00887FD8" w:rsidP="00887FD8">
            <w:pPr>
              <w:spacing w:line="276" w:lineRule="auto"/>
              <w:rPr>
                <w:rFonts w:cs="Times New Roman"/>
                <w:b/>
                <w:sz w:val="20"/>
                <w:szCs w:val="20"/>
              </w:rPr>
            </w:pPr>
          </w:p>
        </w:tc>
        <w:tc>
          <w:tcPr>
            <w:tcW w:w="2305" w:type="dxa"/>
            <w:vAlign w:val="center"/>
          </w:tcPr>
          <w:p w14:paraId="349E3DA0" w14:textId="6CBD5381" w:rsidR="00887FD8" w:rsidRPr="00C4513D" w:rsidRDefault="00887FD8" w:rsidP="00887FD8">
            <w:pPr>
              <w:spacing w:line="276" w:lineRule="auto"/>
              <w:jc w:val="center"/>
              <w:rPr>
                <w:rFonts w:cs="Times New Roman"/>
                <w:sz w:val="20"/>
                <w:szCs w:val="20"/>
              </w:rPr>
            </w:pPr>
            <w:r w:rsidRPr="00C4513D">
              <w:rPr>
                <w:rFonts w:cs="Times New Roman"/>
                <w:sz w:val="20"/>
                <w:szCs w:val="20"/>
              </w:rPr>
              <w:t>A577137– Posebni programi za provođenje programa nacionalnih manjina</w:t>
            </w:r>
          </w:p>
          <w:p w14:paraId="77D71A45" w14:textId="77F04AA4" w:rsidR="00887FD8" w:rsidRPr="00C4513D" w:rsidRDefault="00DD2F01" w:rsidP="00DD2F01">
            <w:pPr>
              <w:spacing w:line="276" w:lineRule="auto"/>
              <w:jc w:val="center"/>
              <w:rPr>
                <w:rFonts w:cs="Times New Roman"/>
                <w:b/>
                <w:sz w:val="20"/>
                <w:szCs w:val="20"/>
              </w:rPr>
            </w:pPr>
            <w:r w:rsidRPr="00C4513D">
              <w:rPr>
                <w:rFonts w:cs="Times New Roman"/>
                <w:b/>
                <w:sz w:val="20"/>
                <w:szCs w:val="20"/>
              </w:rPr>
              <w:t>4.349,91</w:t>
            </w:r>
            <w:r w:rsidR="00887FD8" w:rsidRPr="00C4513D">
              <w:rPr>
                <w:rFonts w:cs="Times New Roman"/>
                <w:b/>
                <w:sz w:val="20"/>
                <w:szCs w:val="20"/>
              </w:rPr>
              <w:t xml:space="preserve"> </w:t>
            </w:r>
          </w:p>
        </w:tc>
        <w:tc>
          <w:tcPr>
            <w:tcW w:w="2127" w:type="dxa"/>
            <w:vAlign w:val="center"/>
          </w:tcPr>
          <w:p w14:paraId="1217D27D"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0,00</w:t>
            </w:r>
          </w:p>
        </w:tc>
        <w:tc>
          <w:tcPr>
            <w:tcW w:w="1837" w:type="dxa"/>
            <w:vAlign w:val="center"/>
          </w:tcPr>
          <w:p w14:paraId="36F2BDFB" w14:textId="77777777" w:rsidR="00887FD8" w:rsidRPr="00C4513D" w:rsidRDefault="00887FD8" w:rsidP="00887FD8">
            <w:pPr>
              <w:spacing w:line="276" w:lineRule="auto"/>
              <w:jc w:val="center"/>
              <w:rPr>
                <w:rFonts w:cs="Times New Roman"/>
                <w:b/>
                <w:sz w:val="20"/>
                <w:szCs w:val="20"/>
              </w:rPr>
            </w:pPr>
            <w:r w:rsidRPr="00C4513D">
              <w:rPr>
                <w:rFonts w:cs="Times New Roman"/>
                <w:b/>
                <w:sz w:val="20"/>
                <w:szCs w:val="20"/>
              </w:rPr>
              <w:t xml:space="preserve">0,00 </w:t>
            </w:r>
          </w:p>
        </w:tc>
      </w:tr>
      <w:tr w:rsidR="00887FD8" w:rsidRPr="00CE622A" w14:paraId="3D79CA1D" w14:textId="77777777" w:rsidTr="00B66CD2">
        <w:trPr>
          <w:trHeight w:val="318"/>
        </w:trPr>
        <w:tc>
          <w:tcPr>
            <w:tcW w:w="2793" w:type="dxa"/>
            <w:shd w:val="clear" w:color="auto" w:fill="F2F2F2" w:themeFill="background1" w:themeFillShade="F2"/>
            <w:vAlign w:val="center"/>
          </w:tcPr>
          <w:p w14:paraId="57F86EAB" w14:textId="2145A8A0" w:rsidR="00887FD8" w:rsidRPr="00C4513D" w:rsidRDefault="00887FD8" w:rsidP="00887FD8">
            <w:pPr>
              <w:spacing w:line="276" w:lineRule="auto"/>
              <w:rPr>
                <w:rFonts w:cs="Times New Roman"/>
                <w:sz w:val="20"/>
                <w:szCs w:val="20"/>
              </w:rPr>
            </w:pPr>
            <w:r w:rsidRPr="00C4513D">
              <w:rPr>
                <w:rFonts w:cs="Times New Roman"/>
                <w:sz w:val="20"/>
                <w:szCs w:val="20"/>
              </w:rPr>
              <w:t xml:space="preserve">ROK PROVEDBE AKTIVNOSTI </w:t>
            </w:r>
          </w:p>
        </w:tc>
        <w:tc>
          <w:tcPr>
            <w:tcW w:w="6269" w:type="dxa"/>
            <w:gridSpan w:val="3"/>
            <w:vAlign w:val="center"/>
          </w:tcPr>
          <w:p w14:paraId="70BA7DD2" w14:textId="77777777" w:rsidR="00887FD8" w:rsidRPr="00C4513D" w:rsidRDefault="00887FD8" w:rsidP="00887FD8">
            <w:pPr>
              <w:spacing w:line="276" w:lineRule="auto"/>
              <w:rPr>
                <w:rFonts w:cs="Times New Roman"/>
                <w:sz w:val="20"/>
                <w:szCs w:val="20"/>
              </w:rPr>
            </w:pPr>
            <w:r w:rsidRPr="00C4513D">
              <w:rPr>
                <w:rFonts w:cs="Times New Roman"/>
                <w:sz w:val="20"/>
                <w:szCs w:val="20"/>
              </w:rPr>
              <w:t xml:space="preserve">IV. kvartal 2025. </w:t>
            </w:r>
          </w:p>
        </w:tc>
      </w:tr>
    </w:tbl>
    <w:p w14:paraId="333FB313" w14:textId="4733AE4D" w:rsidR="0065755F" w:rsidRDefault="0065755F" w:rsidP="004A3B23">
      <w:pPr>
        <w:spacing w:after="0" w:line="276" w:lineRule="auto"/>
        <w:jc w:val="both"/>
        <w:rPr>
          <w:rFonts w:cs="Times New Roman"/>
          <w:i/>
          <w:iCs/>
        </w:rPr>
      </w:pPr>
    </w:p>
    <w:p w14:paraId="24B29ACA" w14:textId="77777777" w:rsidR="00287FDA" w:rsidRPr="00287FDA" w:rsidRDefault="00287FDA" w:rsidP="004A3B23">
      <w:pPr>
        <w:spacing w:after="0" w:line="276" w:lineRule="auto"/>
        <w:jc w:val="both"/>
        <w:rPr>
          <w:rFonts w:cs="Times New Roman"/>
          <w:i/>
          <w:iCs/>
        </w:rPr>
      </w:pPr>
    </w:p>
    <w:p w14:paraId="712552FE" w14:textId="387001C2" w:rsidR="00C65A9E" w:rsidRPr="00287FDA" w:rsidRDefault="002D20C6" w:rsidP="00D36147">
      <w:pPr>
        <w:spacing w:after="0" w:line="276" w:lineRule="auto"/>
        <w:jc w:val="both"/>
        <w:rPr>
          <w:rFonts w:cs="Times New Roman"/>
          <w:i/>
          <w:iCs/>
        </w:rPr>
      </w:pPr>
      <w:r w:rsidRPr="00287FDA">
        <w:rPr>
          <w:rFonts w:cs="Times New Roman"/>
          <w:i/>
          <w:iCs/>
        </w:rPr>
        <w:t xml:space="preserve">Aktivnost </w:t>
      </w:r>
      <w:r w:rsidR="001A6535" w:rsidRPr="00287FDA">
        <w:rPr>
          <w:rFonts w:cs="Times New Roman"/>
          <w:i/>
          <w:iCs/>
        </w:rPr>
        <w:t>4.</w:t>
      </w:r>
      <w:r w:rsidRPr="00287FDA">
        <w:rPr>
          <w:rFonts w:cs="Times New Roman"/>
          <w:i/>
          <w:iCs/>
        </w:rPr>
        <w:t>3</w:t>
      </w:r>
      <w:r w:rsidR="001A6535" w:rsidRPr="00287FDA">
        <w:rPr>
          <w:rFonts w:cs="Times New Roman"/>
          <w:i/>
          <w:iCs/>
        </w:rPr>
        <w:t>.</w:t>
      </w:r>
      <w:r w:rsidR="00492B9B" w:rsidRPr="00287FDA">
        <w:rPr>
          <w:rFonts w:cs="Times New Roman"/>
          <w:i/>
          <w:iCs/>
        </w:rPr>
        <w:t>7</w:t>
      </w:r>
      <w:r w:rsidR="001A6535" w:rsidRPr="00287FDA">
        <w:rPr>
          <w:rFonts w:cs="Times New Roman"/>
          <w:i/>
          <w:iCs/>
        </w:rPr>
        <w:t>.</w:t>
      </w:r>
      <w:r w:rsidRPr="00287FDA">
        <w:rPr>
          <w:rFonts w:cs="Times New Roman"/>
          <w:i/>
          <w:iCs/>
        </w:rPr>
        <w:t xml:space="preserve"> </w:t>
      </w:r>
      <w:r w:rsidR="001A6535" w:rsidRPr="00287FDA">
        <w:rPr>
          <w:rFonts w:cs="Times New Roman"/>
          <w:i/>
          <w:iCs/>
        </w:rPr>
        <w:t>Stručno usavršavanje romskih suradnika pomagača, učitelja i stručnih suradnika u osnovnim školam</w:t>
      </w:r>
      <w:r w:rsidR="00C65A9E" w:rsidRPr="00287FDA">
        <w:rPr>
          <w:rFonts w:cs="Times New Roman"/>
          <w:i/>
          <w:iCs/>
        </w:rPr>
        <w:t>a</w:t>
      </w:r>
    </w:p>
    <w:p w14:paraId="3C6D3142" w14:textId="665C7219" w:rsidR="001A6535" w:rsidRPr="00287FDA" w:rsidRDefault="00C65A9E" w:rsidP="00D36147">
      <w:pPr>
        <w:spacing w:after="0" w:line="276" w:lineRule="auto"/>
        <w:jc w:val="both"/>
        <w:rPr>
          <w:rFonts w:cs="Times New Roman"/>
          <w:i/>
          <w:iCs/>
        </w:rPr>
      </w:pPr>
      <w:r w:rsidRPr="00287FDA">
        <w:rPr>
          <w:rFonts w:cs="Times New Roman"/>
          <w:i/>
          <w:iCs/>
        </w:rPr>
        <w:t xml:space="preserve">Nositelj provedbe: </w:t>
      </w:r>
      <w:r w:rsidR="001A6535" w:rsidRPr="00287FDA">
        <w:rPr>
          <w:rFonts w:cs="Times New Roman"/>
          <w:i/>
          <w:iCs/>
        </w:rPr>
        <w:t>Agencija za odgoj i obrazovanje</w:t>
      </w:r>
    </w:p>
    <w:p w14:paraId="101F8D72" w14:textId="76AFFFCB" w:rsidR="00B277BF" w:rsidRPr="00287FDA" w:rsidRDefault="00B277BF" w:rsidP="00D36147">
      <w:pPr>
        <w:spacing w:after="0" w:line="276" w:lineRule="auto"/>
        <w:jc w:val="both"/>
        <w:rPr>
          <w:rFonts w:cs="Times New Roman"/>
          <w:i/>
          <w:iCs/>
        </w:rPr>
      </w:pPr>
      <w:r w:rsidRPr="00287FDA">
        <w:rPr>
          <w:rFonts w:cs="Times New Roman"/>
          <w:i/>
          <w:iCs/>
        </w:rPr>
        <w:t xml:space="preserve">Partneri: </w:t>
      </w:r>
      <w:r w:rsidR="00F36CF1" w:rsidRPr="00287FDA">
        <w:rPr>
          <w:rFonts w:cs="Times New Roman"/>
          <w:i/>
          <w:iCs/>
        </w:rPr>
        <w:t>Ministarstvo znanosti, obrazovanja i mladih</w:t>
      </w:r>
    </w:p>
    <w:p w14:paraId="7F3D04B2" w14:textId="77777777" w:rsidR="00E7549B" w:rsidRPr="00287FDA" w:rsidRDefault="00E7549B" w:rsidP="00D36147">
      <w:pPr>
        <w:spacing w:after="0" w:line="276" w:lineRule="auto"/>
        <w:jc w:val="both"/>
        <w:rPr>
          <w:rFonts w:cs="Times New Roman"/>
          <w:i/>
          <w:iCs/>
        </w:rPr>
      </w:pPr>
    </w:p>
    <w:p w14:paraId="4AF3EC09" w14:textId="6C6A46D1" w:rsidR="00955290" w:rsidRPr="0094442D" w:rsidRDefault="00955290" w:rsidP="00287FDA">
      <w:pPr>
        <w:spacing w:after="0" w:line="276" w:lineRule="auto"/>
        <w:ind w:right="135"/>
        <w:jc w:val="both"/>
      </w:pPr>
      <w:r w:rsidRPr="0094442D">
        <w:rPr>
          <w:szCs w:val="24"/>
        </w:rPr>
        <w:t>Učitelji, romski suradnici pomagači i stručni suradnici pedagozi u osnovnim školama putem stručnih usavršavanja s</w:t>
      </w:r>
      <w:r w:rsidR="00BD24D7">
        <w:rPr>
          <w:szCs w:val="24"/>
        </w:rPr>
        <w:t>tječu</w:t>
      </w:r>
      <w:r w:rsidRPr="0094442D">
        <w:rPr>
          <w:szCs w:val="24"/>
        </w:rPr>
        <w:t xml:space="preserve"> znanja i metode kojima će uspješnije upravljati različitostima u </w:t>
      </w:r>
      <w:r w:rsidRPr="0094442D">
        <w:rPr>
          <w:szCs w:val="24"/>
        </w:rPr>
        <w:lastRenderedPageBreak/>
        <w:t>razredu, upozna</w:t>
      </w:r>
      <w:r w:rsidR="00BD24D7">
        <w:rPr>
          <w:szCs w:val="24"/>
        </w:rPr>
        <w:t>ju</w:t>
      </w:r>
      <w:r w:rsidRPr="0094442D">
        <w:rPr>
          <w:szCs w:val="24"/>
        </w:rPr>
        <w:t xml:space="preserve"> se s različitim </w:t>
      </w:r>
      <w:proofErr w:type="spellStart"/>
      <w:r w:rsidRPr="0094442D">
        <w:rPr>
          <w:szCs w:val="24"/>
        </w:rPr>
        <w:t>antidiskriminacijskim</w:t>
      </w:r>
      <w:proofErr w:type="spellEnd"/>
      <w:r w:rsidRPr="0094442D">
        <w:rPr>
          <w:szCs w:val="24"/>
        </w:rPr>
        <w:t xml:space="preserve"> pristupima poučavanja, mo</w:t>
      </w:r>
      <w:r w:rsidR="00BD24D7">
        <w:rPr>
          <w:szCs w:val="24"/>
        </w:rPr>
        <w:t>gu</w:t>
      </w:r>
      <w:r w:rsidRPr="0094442D">
        <w:rPr>
          <w:szCs w:val="24"/>
        </w:rPr>
        <w:t xml:space="preserve"> u okviru školskog kurikuluma planirati aktivnosti za pružanje podrške učenicima koji su u riziku od ranog napuštanja školovanja, ovlada</w:t>
      </w:r>
      <w:r w:rsidR="00BD24D7">
        <w:rPr>
          <w:szCs w:val="24"/>
        </w:rPr>
        <w:t>vaju</w:t>
      </w:r>
      <w:r w:rsidRPr="0094442D">
        <w:rPr>
          <w:szCs w:val="24"/>
        </w:rPr>
        <w:t xml:space="preserve"> strategijama upotrebe inkluzivnih metoda radi prevencije ranog napuštanja školovanja kojima se promiče razvoj i širenje uključivih metoda poučavanja i učenja i podupire učitelje u rješavanju pitanja raznolikosti u nastavi te se podupire sudjelovanje i aktivno uključivanje romskih učenika, zajedno sa svim ostalim učenicima, u svim obrazovnim aktivnostima i procesima, kao i promicanje ravnopravnosti spolova kao teme iz Građanskog odgoja i obrazovanja. </w:t>
      </w:r>
      <w:r w:rsidRPr="0094442D">
        <w:t>Organizirana su i održana dva stručna skupa.</w:t>
      </w:r>
    </w:p>
    <w:p w14:paraId="0AB2E06D" w14:textId="009DCABD" w:rsidR="00955290" w:rsidRPr="0094442D" w:rsidRDefault="00955290" w:rsidP="00287FDA">
      <w:pPr>
        <w:pStyle w:val="NoSpacing"/>
        <w:spacing w:line="276" w:lineRule="auto"/>
        <w:jc w:val="both"/>
        <w:rPr>
          <w:rFonts w:ascii="Times New Roman" w:hAnsi="Times New Roman" w:cs="Times New Roman"/>
          <w:sz w:val="24"/>
          <w:szCs w:val="24"/>
        </w:rPr>
      </w:pPr>
      <w:r w:rsidRPr="0094442D">
        <w:rPr>
          <w:rFonts w:ascii="Times New Roman" w:hAnsi="Times New Roman"/>
          <w:sz w:val="24"/>
          <w:szCs w:val="24"/>
        </w:rPr>
        <w:t xml:space="preserve">1) </w:t>
      </w:r>
      <w:r w:rsidRPr="0094442D">
        <w:rPr>
          <w:rFonts w:ascii="Times New Roman" w:hAnsi="Times New Roman" w:cs="Times New Roman"/>
          <w:sz w:val="24"/>
          <w:szCs w:val="24"/>
        </w:rPr>
        <w:t xml:space="preserve">Stručno usavršavanje romskih suradnika pomagača, učitelja i stručnih suradnika u osnovnim školama; Tema: Materijali Vijeća Europe </w:t>
      </w:r>
      <w:r w:rsidR="009155CD">
        <w:rPr>
          <w:rFonts w:ascii="Times New Roman" w:hAnsi="Times New Roman" w:cs="Times New Roman"/>
          <w:sz w:val="24"/>
          <w:szCs w:val="24"/>
        </w:rPr>
        <w:t>„</w:t>
      </w:r>
      <w:r w:rsidRPr="0094442D">
        <w:rPr>
          <w:rFonts w:ascii="Times New Roman" w:hAnsi="Times New Roman" w:cs="Times New Roman"/>
          <w:sz w:val="24"/>
          <w:szCs w:val="24"/>
        </w:rPr>
        <w:t>Živjeti demokraciju” kao vodič za rad s učenicima osnovnih šk</w:t>
      </w:r>
      <w:r>
        <w:rPr>
          <w:rFonts w:ascii="Times New Roman" w:hAnsi="Times New Roman" w:cs="Times New Roman"/>
          <w:sz w:val="24"/>
          <w:szCs w:val="24"/>
        </w:rPr>
        <w:t>ola, Čakovec, 20. veljače 2024.</w:t>
      </w:r>
      <w:r w:rsidR="003379F1">
        <w:rPr>
          <w:rFonts w:ascii="Times New Roman" w:hAnsi="Times New Roman" w:cs="Times New Roman"/>
          <w:sz w:val="24"/>
          <w:szCs w:val="24"/>
        </w:rPr>
        <w:t xml:space="preserve"> </w:t>
      </w:r>
    </w:p>
    <w:p w14:paraId="0B587032"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Teme stručnog skupa bile su: </w:t>
      </w:r>
    </w:p>
    <w:p w14:paraId="5AD4E349" w14:textId="586EBDAC"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Integracija, planiranje i provedba nacionalnih programa u osnovnim i srednjim školama i izrada i planiranje stručnih usavršavanja na županijskim stručnim vijećima iz </w:t>
      </w:r>
      <w:r w:rsidR="00BD24D7">
        <w:rPr>
          <w:rFonts w:ascii="Times New Roman" w:hAnsi="Times New Roman"/>
          <w:sz w:val="24"/>
          <w:szCs w:val="24"/>
        </w:rPr>
        <w:t xml:space="preserve">Građanskog odgoja i </w:t>
      </w:r>
      <w:proofErr w:type="spellStart"/>
      <w:r w:rsidR="00BD24D7">
        <w:rPr>
          <w:rFonts w:ascii="Times New Roman" w:hAnsi="Times New Roman"/>
          <w:sz w:val="24"/>
          <w:szCs w:val="24"/>
        </w:rPr>
        <w:t>obrazuovanja</w:t>
      </w:r>
      <w:proofErr w:type="spellEnd"/>
      <w:r w:rsidRPr="0094442D">
        <w:rPr>
          <w:rFonts w:ascii="Times New Roman" w:hAnsi="Times New Roman"/>
          <w:sz w:val="24"/>
          <w:szCs w:val="24"/>
        </w:rPr>
        <w:t xml:space="preserve"> u povezanosti s drugim međupredm</w:t>
      </w:r>
      <w:r w:rsidR="00550221">
        <w:rPr>
          <w:rFonts w:ascii="Times New Roman" w:hAnsi="Times New Roman"/>
          <w:sz w:val="24"/>
          <w:szCs w:val="24"/>
        </w:rPr>
        <w:t>e</w:t>
      </w:r>
      <w:r w:rsidRPr="0094442D">
        <w:rPr>
          <w:rFonts w:ascii="Times New Roman" w:hAnsi="Times New Roman"/>
          <w:sz w:val="24"/>
          <w:szCs w:val="24"/>
        </w:rPr>
        <w:t>tnim temama</w:t>
      </w:r>
    </w:p>
    <w:p w14:paraId="34205F68" w14:textId="298B0A1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Materijali Vijeća Europe </w:t>
      </w:r>
      <w:r w:rsidR="00D163C5">
        <w:rPr>
          <w:rFonts w:ascii="Times New Roman" w:hAnsi="Times New Roman"/>
          <w:sz w:val="24"/>
          <w:szCs w:val="24"/>
        </w:rPr>
        <w:t>„</w:t>
      </w:r>
      <w:r w:rsidRPr="0094442D">
        <w:rPr>
          <w:rFonts w:ascii="Times New Roman" w:hAnsi="Times New Roman"/>
          <w:sz w:val="24"/>
          <w:szCs w:val="24"/>
        </w:rPr>
        <w:t>Živjeti demokraciju” za učenike, nastavnike i ravnatelje – mogućnosti primjene u odgojno-obrazovnom procesu</w:t>
      </w:r>
    </w:p>
    <w:p w14:paraId="58F8E43C"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Materijali Vijeća Europe u kontekstu provedbe međupredmetne teme </w:t>
      </w:r>
      <w:bookmarkStart w:id="39" w:name="_Hlk205467020"/>
      <w:r w:rsidRPr="0094442D">
        <w:rPr>
          <w:rFonts w:ascii="Times New Roman" w:hAnsi="Times New Roman"/>
          <w:sz w:val="24"/>
          <w:szCs w:val="24"/>
        </w:rPr>
        <w:t>Građanski odgoj i obrazovanje</w:t>
      </w:r>
      <w:bookmarkEnd w:id="39"/>
      <w:r w:rsidRPr="0094442D">
        <w:rPr>
          <w:rFonts w:ascii="Times New Roman" w:hAnsi="Times New Roman"/>
          <w:sz w:val="24"/>
          <w:szCs w:val="24"/>
        </w:rPr>
        <w:t xml:space="preserve"> – upute o dostupnosti, sadržaju i korištenju Međunarodne baze podataka na hrvatskom jeziku </w:t>
      </w:r>
      <w:hyperlink r:id="rId15" w:history="1">
        <w:r w:rsidRPr="0094442D">
          <w:rPr>
            <w:rStyle w:val="Hyperlink"/>
            <w:rFonts w:ascii="Times New Roman" w:hAnsi="Times New Roman"/>
            <w:sz w:val="24"/>
            <w:szCs w:val="24"/>
          </w:rPr>
          <w:t>www.living-democracy.com/hr</w:t>
        </w:r>
      </w:hyperlink>
      <w:r w:rsidRPr="0094442D">
        <w:rPr>
          <w:rFonts w:ascii="Times New Roman" w:hAnsi="Times New Roman"/>
          <w:sz w:val="24"/>
          <w:szCs w:val="24"/>
        </w:rPr>
        <w:t xml:space="preserve"> i na razini EU dogovorenih kompetencija za demokratsko građanstvo</w:t>
      </w:r>
    </w:p>
    <w:p w14:paraId="5F58A843"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Radionice:</w:t>
      </w:r>
    </w:p>
    <w:p w14:paraId="673C03B4"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Aktivna škola, Set kartica za aktivnosti integrirane u lekcije, Set kartica za aktivnosti u kombinaciji s lekcijama, Komunikacija, Kontroverzna pitanja, Rukovođenje, Učenje, Prehrana, Sudjelovanje,</w:t>
      </w:r>
    </w:p>
    <w:p w14:paraId="046709C7"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Razgovor s djecom o agresivnom ponašanju, Razgovarajmo s djecom o zlostavljanju, Razgovarajmo s djecom o domaćoj zadaći, Razgovor s djecom o njihovu tijelu i spolnosti, Razgovor s mladima o drogama, Razgovor s djecom o profesionalnom usmjeravanju, Razgovor s djecom o korištenju medija, Razgovor s djecom o spolnosti i ljubavi, Razgovor s djecom</w:t>
      </w:r>
      <w:r>
        <w:rPr>
          <w:rFonts w:ascii="Times New Roman" w:hAnsi="Times New Roman"/>
          <w:sz w:val="24"/>
          <w:szCs w:val="24"/>
        </w:rPr>
        <w:t>.</w:t>
      </w:r>
    </w:p>
    <w:p w14:paraId="7FEED4A8"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Predavači i voditelji radionica: viši savjetnik za nacionalne programe u Agenciji za odgoj i obrazovanje, mr. </w:t>
      </w:r>
      <w:proofErr w:type="spellStart"/>
      <w:r w:rsidRPr="0094442D">
        <w:rPr>
          <w:rFonts w:ascii="Times New Roman" w:hAnsi="Times New Roman"/>
          <w:sz w:val="24"/>
          <w:szCs w:val="24"/>
        </w:rPr>
        <w:t>sc</w:t>
      </w:r>
      <w:proofErr w:type="spellEnd"/>
      <w:r w:rsidRPr="0094442D">
        <w:rPr>
          <w:rFonts w:ascii="Times New Roman" w:hAnsi="Times New Roman"/>
          <w:sz w:val="24"/>
          <w:szCs w:val="24"/>
        </w:rPr>
        <w:t xml:space="preserve">. Tomislav </w:t>
      </w:r>
      <w:proofErr w:type="spellStart"/>
      <w:r w:rsidRPr="0094442D">
        <w:rPr>
          <w:rFonts w:ascii="Times New Roman" w:hAnsi="Times New Roman"/>
          <w:sz w:val="24"/>
          <w:szCs w:val="24"/>
        </w:rPr>
        <w:t>Ogrinšak</w:t>
      </w:r>
      <w:proofErr w:type="spellEnd"/>
      <w:r w:rsidRPr="0094442D">
        <w:rPr>
          <w:rFonts w:ascii="Times New Roman" w:hAnsi="Times New Roman"/>
          <w:sz w:val="24"/>
          <w:szCs w:val="24"/>
        </w:rPr>
        <w:t xml:space="preserve">, Mirela </w:t>
      </w:r>
      <w:proofErr w:type="spellStart"/>
      <w:r w:rsidRPr="0094442D">
        <w:rPr>
          <w:rFonts w:ascii="Times New Roman" w:hAnsi="Times New Roman"/>
          <w:sz w:val="24"/>
          <w:szCs w:val="24"/>
        </w:rPr>
        <w:t>Berlančić</w:t>
      </w:r>
      <w:proofErr w:type="spellEnd"/>
      <w:r w:rsidRPr="0094442D">
        <w:rPr>
          <w:rFonts w:ascii="Times New Roman" w:hAnsi="Times New Roman"/>
          <w:sz w:val="24"/>
          <w:szCs w:val="24"/>
        </w:rPr>
        <w:t>, profesor hrvatskog jezika i književnosti, voditeljica Županijskog</w:t>
      </w:r>
      <w:r>
        <w:rPr>
          <w:rFonts w:ascii="Times New Roman" w:hAnsi="Times New Roman"/>
          <w:sz w:val="24"/>
          <w:szCs w:val="24"/>
        </w:rPr>
        <w:t>a</w:t>
      </w:r>
      <w:r w:rsidRPr="0094442D">
        <w:rPr>
          <w:rFonts w:ascii="Times New Roman" w:hAnsi="Times New Roman"/>
          <w:sz w:val="24"/>
          <w:szCs w:val="24"/>
        </w:rPr>
        <w:t xml:space="preserve"> stručnog vijeća </w:t>
      </w:r>
      <w:r w:rsidRPr="0094442D">
        <w:rPr>
          <w:rFonts w:ascii="Times New Roman" w:hAnsi="Times New Roman"/>
          <w:noProof/>
          <w:sz w:val="24"/>
          <w:szCs w:val="24"/>
        </w:rPr>
        <w:t>Osječko-baranjske</w:t>
      </w:r>
      <w:r w:rsidRPr="0094442D">
        <w:rPr>
          <w:rFonts w:ascii="Times New Roman" w:hAnsi="Times New Roman"/>
          <w:sz w:val="24"/>
          <w:szCs w:val="24"/>
        </w:rPr>
        <w:t xml:space="preserve"> županije za predmetno područje </w:t>
      </w:r>
      <w:r w:rsidRPr="0094442D">
        <w:rPr>
          <w:rFonts w:ascii="Times New Roman" w:hAnsi="Times New Roman"/>
          <w:noProof/>
          <w:sz w:val="24"/>
          <w:szCs w:val="24"/>
        </w:rPr>
        <w:t>Građanski odgoj i obrazovanje</w:t>
      </w:r>
      <w:r w:rsidRPr="0094442D">
        <w:rPr>
          <w:rFonts w:ascii="Times New Roman" w:hAnsi="Times New Roman"/>
          <w:sz w:val="24"/>
          <w:szCs w:val="24"/>
        </w:rPr>
        <w:t xml:space="preserve"> u korelaciji s međupredmetnim temama, Osijek</w:t>
      </w:r>
      <w:r>
        <w:rPr>
          <w:rFonts w:ascii="Times New Roman" w:hAnsi="Times New Roman"/>
          <w:sz w:val="24"/>
          <w:szCs w:val="24"/>
        </w:rPr>
        <w:t>.</w:t>
      </w:r>
    </w:p>
    <w:p w14:paraId="0861282C" w14:textId="44A386B4"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Viši savjetnik za nacionalne programe mr. </w:t>
      </w:r>
      <w:proofErr w:type="spellStart"/>
      <w:r w:rsidRPr="0094442D">
        <w:rPr>
          <w:rFonts w:ascii="Times New Roman" w:hAnsi="Times New Roman"/>
          <w:sz w:val="24"/>
          <w:szCs w:val="24"/>
        </w:rPr>
        <w:t>sc</w:t>
      </w:r>
      <w:proofErr w:type="spellEnd"/>
      <w:r w:rsidRPr="0094442D">
        <w:rPr>
          <w:rFonts w:ascii="Times New Roman" w:hAnsi="Times New Roman"/>
          <w:sz w:val="24"/>
          <w:szCs w:val="24"/>
        </w:rPr>
        <w:t xml:space="preserve">. Tomislav </w:t>
      </w:r>
      <w:proofErr w:type="spellStart"/>
      <w:r w:rsidRPr="0094442D">
        <w:rPr>
          <w:rFonts w:ascii="Times New Roman" w:hAnsi="Times New Roman"/>
          <w:sz w:val="24"/>
          <w:szCs w:val="24"/>
        </w:rPr>
        <w:t>Ogrinšak</w:t>
      </w:r>
      <w:proofErr w:type="spellEnd"/>
      <w:r w:rsidRPr="0094442D">
        <w:rPr>
          <w:rFonts w:ascii="Times New Roman" w:hAnsi="Times New Roman"/>
          <w:sz w:val="24"/>
          <w:szCs w:val="24"/>
        </w:rPr>
        <w:t xml:space="preserve"> održao je izlaganje</w:t>
      </w:r>
      <w:r>
        <w:rPr>
          <w:rFonts w:ascii="Times New Roman" w:hAnsi="Times New Roman"/>
          <w:sz w:val="24"/>
          <w:szCs w:val="24"/>
        </w:rPr>
        <w:t>:</w:t>
      </w:r>
      <w:r w:rsidRPr="0094442D">
        <w:rPr>
          <w:rFonts w:ascii="Times New Roman" w:hAnsi="Times New Roman"/>
          <w:sz w:val="24"/>
          <w:szCs w:val="24"/>
        </w:rPr>
        <w:t xml:space="preserve"> Plan provedbe i način organizacije županijskih i državnih smotri iz područja Građanskog odgoja i obrazovanja u povezanosti s drugim međupredmetnim temama; Integracija, planiranje i provedba nacionalnih programa u osnovnim i srednjim školama i izrada i planiranje stručnih usavršavanja na županijskim stručnim vijećima </w:t>
      </w:r>
      <w:r w:rsidRPr="00D1280F">
        <w:rPr>
          <w:rFonts w:ascii="Times New Roman" w:hAnsi="Times New Roman"/>
          <w:sz w:val="24"/>
          <w:szCs w:val="24"/>
        </w:rPr>
        <w:t>iz G</w:t>
      </w:r>
      <w:r w:rsidR="00D1280F" w:rsidRPr="00D1280F">
        <w:rPr>
          <w:rFonts w:ascii="Times New Roman" w:hAnsi="Times New Roman"/>
          <w:sz w:val="24"/>
          <w:szCs w:val="24"/>
        </w:rPr>
        <w:t>rađanskog odgoja i obrazovanja</w:t>
      </w:r>
      <w:r w:rsidRPr="00D1280F">
        <w:rPr>
          <w:rFonts w:ascii="Times New Roman" w:hAnsi="Times New Roman"/>
          <w:sz w:val="24"/>
          <w:szCs w:val="24"/>
        </w:rPr>
        <w:t xml:space="preserve"> u</w:t>
      </w:r>
      <w:r w:rsidRPr="0094442D">
        <w:rPr>
          <w:rFonts w:ascii="Times New Roman" w:hAnsi="Times New Roman"/>
          <w:sz w:val="24"/>
          <w:szCs w:val="24"/>
        </w:rPr>
        <w:t xml:space="preserve"> povezanosti s drugim </w:t>
      </w:r>
      <w:r w:rsidR="00802CE3" w:rsidRPr="0094442D">
        <w:rPr>
          <w:rFonts w:ascii="Times New Roman" w:hAnsi="Times New Roman"/>
          <w:sz w:val="24"/>
          <w:szCs w:val="24"/>
        </w:rPr>
        <w:t>međupredmetnim</w:t>
      </w:r>
      <w:r w:rsidRPr="0094442D">
        <w:rPr>
          <w:rFonts w:ascii="Times New Roman" w:hAnsi="Times New Roman"/>
          <w:sz w:val="24"/>
          <w:szCs w:val="24"/>
        </w:rPr>
        <w:t xml:space="preserve"> temama.</w:t>
      </w:r>
    </w:p>
    <w:p w14:paraId="124ECC45"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 xml:space="preserve">Mirela </w:t>
      </w:r>
      <w:proofErr w:type="spellStart"/>
      <w:r w:rsidRPr="0094442D">
        <w:rPr>
          <w:rFonts w:ascii="Times New Roman" w:hAnsi="Times New Roman"/>
          <w:sz w:val="24"/>
          <w:szCs w:val="24"/>
        </w:rPr>
        <w:t>Berlančić</w:t>
      </w:r>
      <w:proofErr w:type="spellEnd"/>
      <w:r w:rsidRPr="0094442D">
        <w:rPr>
          <w:rFonts w:ascii="Times New Roman" w:hAnsi="Times New Roman"/>
          <w:sz w:val="24"/>
          <w:szCs w:val="24"/>
        </w:rPr>
        <w:t>, prof</w:t>
      </w:r>
      <w:r w:rsidRPr="00D709EA">
        <w:rPr>
          <w:rFonts w:ascii="Times New Roman" w:hAnsi="Times New Roman"/>
          <w:sz w:val="24"/>
          <w:szCs w:val="24"/>
        </w:rPr>
        <w:t xml:space="preserve">., </w:t>
      </w:r>
      <w:r w:rsidRPr="0094442D">
        <w:rPr>
          <w:rFonts w:ascii="Times New Roman" w:hAnsi="Times New Roman"/>
          <w:sz w:val="24"/>
          <w:szCs w:val="24"/>
        </w:rPr>
        <w:t>održala je izlaganje i radionice.</w:t>
      </w:r>
    </w:p>
    <w:p w14:paraId="73FF33F4" w14:textId="2B6F54A4" w:rsidR="00955290" w:rsidRPr="0094442D" w:rsidRDefault="00955290" w:rsidP="00287FDA">
      <w:pPr>
        <w:pStyle w:val="NoSpacing1"/>
        <w:spacing w:line="276" w:lineRule="auto"/>
        <w:jc w:val="both"/>
        <w:rPr>
          <w:rFonts w:ascii="Times New Roman" w:hAnsi="Times New Roman"/>
          <w:bCs/>
          <w:sz w:val="24"/>
          <w:szCs w:val="24"/>
        </w:rPr>
      </w:pPr>
      <w:r w:rsidRPr="0094442D">
        <w:rPr>
          <w:rFonts w:ascii="Times New Roman" w:hAnsi="Times New Roman"/>
          <w:bCs/>
          <w:sz w:val="24"/>
          <w:szCs w:val="24"/>
        </w:rPr>
        <w:t xml:space="preserve">U interaktivnim radionicama predstavljeni su edukativni i metodički materijali iz udžbenika i priručnika Vijeća Europe </w:t>
      </w:r>
      <w:r w:rsidR="00D163C5">
        <w:rPr>
          <w:rFonts w:ascii="Times New Roman" w:hAnsi="Times New Roman"/>
          <w:bCs/>
          <w:sz w:val="24"/>
          <w:szCs w:val="24"/>
        </w:rPr>
        <w:t>„</w:t>
      </w:r>
      <w:r w:rsidRPr="00D163C5">
        <w:rPr>
          <w:rFonts w:ascii="Times New Roman" w:hAnsi="Times New Roman"/>
          <w:bCs/>
          <w:sz w:val="24"/>
          <w:szCs w:val="24"/>
        </w:rPr>
        <w:t>Živjeti demokraciju</w:t>
      </w:r>
      <w:r w:rsidR="00D163C5">
        <w:rPr>
          <w:rFonts w:ascii="Times New Roman" w:hAnsi="Times New Roman"/>
          <w:bCs/>
          <w:i/>
          <w:sz w:val="24"/>
          <w:szCs w:val="24"/>
        </w:rPr>
        <w:t>“</w:t>
      </w:r>
      <w:r w:rsidRPr="0094442D">
        <w:rPr>
          <w:rFonts w:ascii="Times New Roman" w:hAnsi="Times New Roman"/>
          <w:bCs/>
          <w:sz w:val="24"/>
          <w:szCs w:val="24"/>
        </w:rPr>
        <w:t xml:space="preserve"> za učenike, nastavnike i ravnatelje i </w:t>
      </w:r>
      <w:r w:rsidRPr="0094442D">
        <w:rPr>
          <w:rFonts w:ascii="Times New Roman" w:hAnsi="Times New Roman"/>
          <w:bCs/>
          <w:sz w:val="24"/>
          <w:szCs w:val="24"/>
        </w:rPr>
        <w:lastRenderedPageBreak/>
        <w:t xml:space="preserve">participacija učenika u školi. Prema modelu iskustvenog učenja, sudionici </w:t>
      </w:r>
      <w:r w:rsidR="00BD24D7">
        <w:rPr>
          <w:rFonts w:ascii="Times New Roman" w:hAnsi="Times New Roman"/>
          <w:bCs/>
          <w:sz w:val="24"/>
          <w:szCs w:val="24"/>
        </w:rPr>
        <w:t>su proveli</w:t>
      </w:r>
      <w:r w:rsidRPr="0094442D">
        <w:rPr>
          <w:rFonts w:ascii="Times New Roman" w:hAnsi="Times New Roman"/>
          <w:bCs/>
          <w:sz w:val="24"/>
          <w:szCs w:val="24"/>
        </w:rPr>
        <w:t xml:space="preserve"> mnogobrojne vježbe iz područja demokratskog obrazovanja kojima će se unaprijediti stavovi, znanja, vještine i kompetencije u planiranju i provođenju tema </w:t>
      </w:r>
      <w:r w:rsidR="00D163C5">
        <w:rPr>
          <w:rFonts w:ascii="Times New Roman" w:hAnsi="Times New Roman"/>
          <w:bCs/>
          <w:sz w:val="24"/>
          <w:szCs w:val="24"/>
        </w:rPr>
        <w:t>„</w:t>
      </w:r>
      <w:r w:rsidRPr="0094442D">
        <w:rPr>
          <w:rFonts w:ascii="Times New Roman" w:hAnsi="Times New Roman"/>
          <w:bCs/>
          <w:sz w:val="24"/>
          <w:szCs w:val="24"/>
        </w:rPr>
        <w:t>Živjeti demokraciju</w:t>
      </w:r>
      <w:r w:rsidR="00D163C5">
        <w:rPr>
          <w:rFonts w:ascii="Times New Roman" w:hAnsi="Times New Roman"/>
          <w:bCs/>
          <w:sz w:val="24"/>
          <w:szCs w:val="24"/>
        </w:rPr>
        <w:t>“</w:t>
      </w:r>
      <w:r w:rsidRPr="0094442D">
        <w:rPr>
          <w:rFonts w:ascii="Times New Roman" w:hAnsi="Times New Roman"/>
          <w:bCs/>
          <w:sz w:val="24"/>
          <w:szCs w:val="24"/>
        </w:rPr>
        <w:t xml:space="preserve"> za učenike, nastavnike i ravnatelje i participacija učenika u školi.</w:t>
      </w:r>
    </w:p>
    <w:p w14:paraId="2078FD05" w14:textId="77777777" w:rsidR="00955290" w:rsidRPr="0094442D" w:rsidRDefault="00955290" w:rsidP="00287FDA">
      <w:pPr>
        <w:pStyle w:val="NoSpacing1"/>
        <w:spacing w:line="276" w:lineRule="auto"/>
        <w:jc w:val="both"/>
        <w:rPr>
          <w:rFonts w:ascii="Times New Roman" w:hAnsi="Times New Roman"/>
          <w:bCs/>
          <w:sz w:val="24"/>
          <w:szCs w:val="24"/>
        </w:rPr>
      </w:pPr>
      <w:r w:rsidRPr="0094442D">
        <w:rPr>
          <w:rFonts w:ascii="Times New Roman" w:hAnsi="Times New Roman"/>
          <w:bCs/>
          <w:sz w:val="24"/>
          <w:szCs w:val="24"/>
        </w:rPr>
        <w:t>U fokusu rada bilo je razvijanje komunikacije, kritičkog mišljenja i vještina argumentiranja potrebnih za društveno sudjelovanje u procesu oblikovanja cjelovitoga iskustva aktivnoga građanstva. Prema modelu kompetencija za demokratsku kulturu, radionice su se temeljile na vježbama koje razvijaju sposobnost jasne komunikacije u različitim situacijama.</w:t>
      </w:r>
    </w:p>
    <w:p w14:paraId="5C8F7983" w14:textId="77777777" w:rsidR="00955290" w:rsidRPr="0094442D" w:rsidRDefault="00955290" w:rsidP="00287FDA">
      <w:pPr>
        <w:pStyle w:val="NoSpacing1"/>
        <w:spacing w:line="276" w:lineRule="auto"/>
        <w:jc w:val="both"/>
        <w:rPr>
          <w:rFonts w:ascii="Times New Roman" w:hAnsi="Times New Roman"/>
          <w:bCs/>
          <w:sz w:val="24"/>
          <w:szCs w:val="24"/>
        </w:rPr>
      </w:pPr>
      <w:r w:rsidRPr="0094442D">
        <w:rPr>
          <w:rFonts w:ascii="Times New Roman" w:hAnsi="Times New Roman"/>
          <w:bCs/>
          <w:sz w:val="24"/>
          <w:szCs w:val="24"/>
        </w:rPr>
        <w:t>Raspravljalo se o mnogobrojnim životnim i školskim problemima i situacijama koje zahtijevaju demokratsku kulturu i ponašanje te unapređuju interpersonalnu komunikaciju.</w:t>
      </w:r>
    </w:p>
    <w:p w14:paraId="0735887C" w14:textId="77777777" w:rsidR="00955290" w:rsidRPr="0094442D" w:rsidRDefault="00955290" w:rsidP="00287FDA">
      <w:pPr>
        <w:pStyle w:val="NoSpacing1"/>
        <w:spacing w:line="276" w:lineRule="auto"/>
        <w:jc w:val="both"/>
        <w:rPr>
          <w:rFonts w:ascii="Times New Roman" w:hAnsi="Times New Roman"/>
          <w:bCs/>
          <w:sz w:val="24"/>
          <w:szCs w:val="24"/>
        </w:rPr>
      </w:pPr>
      <w:r w:rsidRPr="0094442D">
        <w:rPr>
          <w:rFonts w:ascii="Times New Roman" w:hAnsi="Times New Roman"/>
          <w:bCs/>
          <w:sz w:val="24"/>
          <w:szCs w:val="24"/>
        </w:rPr>
        <w:t>Ovim je omogućeno stjecanje prijeko potrebnih znanja, vještin</w:t>
      </w:r>
      <w:r>
        <w:rPr>
          <w:rFonts w:ascii="Times New Roman" w:hAnsi="Times New Roman"/>
          <w:bCs/>
          <w:sz w:val="24"/>
          <w:szCs w:val="24"/>
        </w:rPr>
        <w:t>a</w:t>
      </w:r>
      <w:r w:rsidRPr="0094442D">
        <w:rPr>
          <w:rFonts w:ascii="Times New Roman" w:hAnsi="Times New Roman"/>
          <w:bCs/>
          <w:sz w:val="24"/>
          <w:szCs w:val="24"/>
        </w:rPr>
        <w:t xml:space="preserve"> i kompetencij</w:t>
      </w:r>
      <w:r>
        <w:rPr>
          <w:rFonts w:ascii="Times New Roman" w:hAnsi="Times New Roman"/>
          <w:bCs/>
          <w:sz w:val="24"/>
          <w:szCs w:val="24"/>
        </w:rPr>
        <w:t>a</w:t>
      </w:r>
      <w:r w:rsidRPr="0094442D">
        <w:rPr>
          <w:rFonts w:ascii="Times New Roman" w:hAnsi="Times New Roman"/>
          <w:bCs/>
          <w:sz w:val="24"/>
          <w:szCs w:val="24"/>
        </w:rPr>
        <w:t xml:space="preserve"> za stvaranje školske kulture u kojoj se može slobodno i otvoreno razgovarati o osjetljivim pitanjima bez straha od kritike (priručnik </w:t>
      </w:r>
      <w:r w:rsidRPr="0094442D">
        <w:rPr>
          <w:rFonts w:ascii="Times New Roman" w:hAnsi="Times New Roman"/>
          <w:bCs/>
          <w:i/>
          <w:sz w:val="24"/>
          <w:szCs w:val="24"/>
        </w:rPr>
        <w:t>Kontroverzna pitanja</w:t>
      </w:r>
      <w:r w:rsidRPr="0094442D">
        <w:rPr>
          <w:rFonts w:ascii="Times New Roman" w:hAnsi="Times New Roman"/>
          <w:bCs/>
          <w:sz w:val="24"/>
          <w:szCs w:val="24"/>
        </w:rPr>
        <w:t xml:space="preserve">). </w:t>
      </w:r>
    </w:p>
    <w:p w14:paraId="2BC1B41F" w14:textId="77777777" w:rsidR="00955290" w:rsidRPr="0094442D" w:rsidRDefault="00955290" w:rsidP="00287FDA">
      <w:pPr>
        <w:pStyle w:val="NoSpacing1"/>
        <w:spacing w:line="276" w:lineRule="auto"/>
        <w:jc w:val="both"/>
        <w:rPr>
          <w:rFonts w:ascii="Times New Roman" w:hAnsi="Times New Roman"/>
          <w:bCs/>
          <w:sz w:val="24"/>
          <w:szCs w:val="24"/>
        </w:rPr>
      </w:pPr>
      <w:r w:rsidRPr="0094442D">
        <w:rPr>
          <w:rFonts w:ascii="Times New Roman" w:hAnsi="Times New Roman"/>
          <w:bCs/>
          <w:sz w:val="24"/>
          <w:szCs w:val="24"/>
        </w:rPr>
        <w:t xml:space="preserve">Pomoću radionica sudionicima je omogućeno da kod učenika razviju samopouzdanje, kritičko i analitičko mišljenje, poticanje slobodnog izražavanja i poštivanja različitosti. Također, postiže se u razumijevanje svijeta, aktualnih događaja i medijskih materijala. Sudionici stručnog skupa upoznali su se s konceptom aktivne škole koja je važan čimbenik u ostvarivanju dugoročnog zdravlja, a naglasak je bio na dva ključna područja – tjelesna aktivnost i prehrana. Odrađene su vježbe </w:t>
      </w:r>
      <w:r w:rsidRPr="0094442D">
        <w:rPr>
          <w:rFonts w:ascii="Times New Roman" w:hAnsi="Times New Roman"/>
          <w:bCs/>
          <w:i/>
          <w:sz w:val="24"/>
          <w:szCs w:val="24"/>
        </w:rPr>
        <w:t>Aktivna književnost, Veseli sat, Brze ruke, Zrcalo, Pogodi moje zanimanje, Mobilni radni listovi (karuselska aktivnost), Hodaj i govori, Veseli kviz.</w:t>
      </w:r>
      <w:r w:rsidRPr="0094442D">
        <w:rPr>
          <w:rFonts w:ascii="Times New Roman" w:hAnsi="Times New Roman"/>
          <w:bCs/>
          <w:sz w:val="24"/>
          <w:szCs w:val="24"/>
        </w:rPr>
        <w:t xml:space="preserve"> Spoznaje stečene na radionicama pokazuju da koncept iskustvenog učenja najdjelotvorniji način rada te se time obogaćuje i osuvremenjuje odgojno-obrazovni proces za demokratsko građanstvo i ljudska prava. Tijekom radionica pokazale su se i mogućnosti nadogradnje ideja i preoblikovanje materijala za rješavanje zadataka i aktivno učenje u kontekstu građanskog odgoja i obrazovanja u povezanosti s međupredmetnim temama, dakle kako </w:t>
      </w:r>
      <w:r w:rsidRPr="0094442D">
        <w:rPr>
          <w:rFonts w:ascii="Times New Roman" w:hAnsi="Times New Roman"/>
          <w:bCs/>
          <w:i/>
          <w:sz w:val="24"/>
          <w:szCs w:val="24"/>
        </w:rPr>
        <w:t>Živjeti demokraciju</w:t>
      </w:r>
      <w:r w:rsidRPr="0094442D">
        <w:rPr>
          <w:rFonts w:ascii="Times New Roman" w:hAnsi="Times New Roman"/>
          <w:bCs/>
          <w:sz w:val="24"/>
          <w:szCs w:val="24"/>
        </w:rPr>
        <w:t>, odnosno kako stvoriti školsku kulturu u kojoj vladaju prihvaćenost, otvorenost, uključivost, poštivanje prava i demokracija.</w:t>
      </w:r>
    </w:p>
    <w:p w14:paraId="4127D025"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Tijekom i nakon svakog izlaganja i radionice sudionici stručnog skupa imali su mogućnost postavljati pitanja predavačima.</w:t>
      </w:r>
    </w:p>
    <w:p w14:paraId="2F68EED7" w14:textId="77777777" w:rsidR="00955290" w:rsidRPr="0094442D" w:rsidRDefault="00955290" w:rsidP="00287FDA">
      <w:pPr>
        <w:pStyle w:val="NoSpacing2"/>
        <w:spacing w:line="276" w:lineRule="auto"/>
        <w:jc w:val="both"/>
        <w:rPr>
          <w:rFonts w:ascii="Times New Roman" w:hAnsi="Times New Roman"/>
          <w:sz w:val="24"/>
          <w:szCs w:val="24"/>
        </w:rPr>
      </w:pPr>
    </w:p>
    <w:p w14:paraId="679F67F3" w14:textId="6391C4AF" w:rsidR="00955290" w:rsidRPr="0094442D" w:rsidRDefault="00955290" w:rsidP="00287FDA">
      <w:pPr>
        <w:pStyle w:val="NoSpacing2"/>
        <w:spacing w:line="276" w:lineRule="auto"/>
        <w:jc w:val="both"/>
        <w:rPr>
          <w:rFonts w:ascii="Times New Roman" w:hAnsi="Times New Roman"/>
          <w:sz w:val="24"/>
          <w:szCs w:val="24"/>
        </w:rPr>
      </w:pPr>
      <w:r w:rsidRPr="0094442D">
        <w:rPr>
          <w:rFonts w:ascii="Times New Roman" w:hAnsi="Times New Roman"/>
          <w:sz w:val="24"/>
          <w:szCs w:val="24"/>
        </w:rPr>
        <w:t>2) Stručno usavršavanje romskih suradnika pomagača, učitelja i stručnih suradnika u osnovnim školama; Tema: Strategija suradničkog učenja i motiviranje učenika za učenje; 30. kolovoza 2024.</w:t>
      </w:r>
      <w:r>
        <w:rPr>
          <w:rFonts w:ascii="Times New Roman" w:hAnsi="Times New Roman"/>
          <w:sz w:val="24"/>
          <w:szCs w:val="24"/>
        </w:rPr>
        <w:t>,</w:t>
      </w:r>
      <w:r w:rsidRPr="0094442D">
        <w:rPr>
          <w:rFonts w:ascii="Times New Roman" w:hAnsi="Times New Roman"/>
          <w:sz w:val="24"/>
          <w:szCs w:val="24"/>
        </w:rPr>
        <w:t xml:space="preserve"> Čakovec</w:t>
      </w:r>
      <w:r>
        <w:rPr>
          <w:rFonts w:ascii="Times New Roman" w:hAnsi="Times New Roman"/>
          <w:sz w:val="24"/>
          <w:szCs w:val="24"/>
        </w:rPr>
        <w:t>.</w:t>
      </w:r>
    </w:p>
    <w:p w14:paraId="6963B7CE" w14:textId="77777777" w:rsidR="00955290" w:rsidRPr="0094442D" w:rsidRDefault="00955290" w:rsidP="00D163C5">
      <w:pPr>
        <w:pStyle w:val="NoSpacing2"/>
        <w:spacing w:line="276" w:lineRule="auto"/>
        <w:jc w:val="both"/>
        <w:rPr>
          <w:rFonts w:ascii="Times New Roman" w:hAnsi="Times New Roman"/>
          <w:sz w:val="24"/>
          <w:szCs w:val="24"/>
        </w:rPr>
      </w:pPr>
      <w:r w:rsidRPr="0094442D">
        <w:rPr>
          <w:rFonts w:ascii="Times New Roman" w:hAnsi="Times New Roman"/>
          <w:bCs/>
          <w:sz w:val="24"/>
          <w:szCs w:val="24"/>
        </w:rPr>
        <w:t xml:space="preserve">Cilj stručnog skupa: upoznati sudionike s </w:t>
      </w:r>
      <w:r w:rsidRPr="0094442D">
        <w:rPr>
          <w:rFonts w:ascii="Times New Roman" w:hAnsi="Times New Roman"/>
          <w:sz w:val="24"/>
          <w:szCs w:val="24"/>
        </w:rPr>
        <w:t>metodama rada suradničkog učenja radi postizanja veće motivacije za učenje kod učenika i s literaturom za korištenje metode suradničkog učenja</w:t>
      </w:r>
      <w:r>
        <w:rPr>
          <w:rFonts w:ascii="Times New Roman" w:hAnsi="Times New Roman"/>
          <w:sz w:val="24"/>
          <w:szCs w:val="24"/>
        </w:rPr>
        <w:t>.</w:t>
      </w:r>
    </w:p>
    <w:p w14:paraId="318F5492" w14:textId="4AAF8CE7" w:rsidR="00955290" w:rsidRPr="0094442D" w:rsidRDefault="00955290" w:rsidP="00287FDA">
      <w:pPr>
        <w:pStyle w:val="NoSpacing"/>
        <w:spacing w:line="276" w:lineRule="auto"/>
        <w:jc w:val="both"/>
        <w:rPr>
          <w:rFonts w:ascii="Times New Roman" w:hAnsi="Times New Roman" w:cs="Times New Roman"/>
          <w:sz w:val="24"/>
          <w:szCs w:val="24"/>
        </w:rPr>
      </w:pPr>
      <w:r w:rsidRPr="0094442D">
        <w:rPr>
          <w:rFonts w:ascii="Times New Roman" w:hAnsi="Times New Roman" w:cs="Times New Roman"/>
          <w:sz w:val="24"/>
          <w:szCs w:val="24"/>
        </w:rPr>
        <w:t xml:space="preserve">Predavači i voditelji radionica: </w:t>
      </w:r>
      <w:r>
        <w:rPr>
          <w:rFonts w:ascii="Times New Roman" w:hAnsi="Times New Roman" w:cs="Times New Roman"/>
          <w:sz w:val="24"/>
          <w:szCs w:val="24"/>
        </w:rPr>
        <w:t>i</w:t>
      </w:r>
      <w:r w:rsidRPr="0094442D">
        <w:rPr>
          <w:rFonts w:ascii="Times New Roman" w:hAnsi="Times New Roman" w:cs="Times New Roman"/>
          <w:sz w:val="24"/>
          <w:szCs w:val="24"/>
        </w:rPr>
        <w:t xml:space="preserve">zv. prof. dr. </w:t>
      </w:r>
      <w:proofErr w:type="spellStart"/>
      <w:r w:rsidRPr="0094442D">
        <w:rPr>
          <w:rFonts w:ascii="Times New Roman" w:hAnsi="Times New Roman" w:cs="Times New Roman"/>
          <w:sz w:val="24"/>
          <w:szCs w:val="24"/>
        </w:rPr>
        <w:t>sc</w:t>
      </w:r>
      <w:proofErr w:type="spellEnd"/>
      <w:r w:rsidRPr="0094442D">
        <w:rPr>
          <w:rFonts w:ascii="Times New Roman" w:hAnsi="Times New Roman" w:cs="Times New Roman"/>
          <w:sz w:val="24"/>
          <w:szCs w:val="24"/>
        </w:rPr>
        <w:t xml:space="preserve">. Goran </w:t>
      </w:r>
      <w:proofErr w:type="spellStart"/>
      <w:r w:rsidRPr="0094442D">
        <w:rPr>
          <w:rFonts w:ascii="Times New Roman" w:hAnsi="Times New Roman" w:cs="Times New Roman"/>
          <w:sz w:val="24"/>
          <w:szCs w:val="24"/>
        </w:rPr>
        <w:t>Lapat</w:t>
      </w:r>
      <w:proofErr w:type="spellEnd"/>
      <w:r w:rsidRPr="0094442D">
        <w:rPr>
          <w:rFonts w:ascii="Times New Roman" w:hAnsi="Times New Roman" w:cs="Times New Roman"/>
          <w:sz w:val="24"/>
          <w:szCs w:val="24"/>
        </w:rPr>
        <w:t xml:space="preserve">, Zdenka Novak, </w:t>
      </w:r>
      <w:proofErr w:type="spellStart"/>
      <w:r w:rsidRPr="0094442D">
        <w:rPr>
          <w:rFonts w:ascii="Times New Roman" w:hAnsi="Times New Roman" w:cs="Times New Roman"/>
          <w:sz w:val="24"/>
          <w:szCs w:val="24"/>
          <w:lang w:eastAsia="hr-HR"/>
        </w:rPr>
        <w:t>mag</w:t>
      </w:r>
      <w:proofErr w:type="spellEnd"/>
      <w:r w:rsidRPr="0094442D">
        <w:rPr>
          <w:rFonts w:ascii="Times New Roman" w:hAnsi="Times New Roman" w:cs="Times New Roman"/>
          <w:sz w:val="24"/>
          <w:szCs w:val="24"/>
          <w:lang w:eastAsia="hr-HR"/>
        </w:rPr>
        <w:t>. prim</w:t>
      </w:r>
      <w:r>
        <w:rPr>
          <w:rFonts w:ascii="Times New Roman" w:hAnsi="Times New Roman" w:cs="Times New Roman"/>
          <w:sz w:val="24"/>
          <w:szCs w:val="24"/>
          <w:lang w:eastAsia="hr-HR"/>
        </w:rPr>
        <w:t>.</w:t>
      </w:r>
      <w:r w:rsidRPr="0094442D">
        <w:rPr>
          <w:rFonts w:ascii="Times New Roman" w:hAnsi="Times New Roman" w:cs="Times New Roman"/>
          <w:sz w:val="24"/>
          <w:szCs w:val="24"/>
          <w:lang w:eastAsia="hr-HR"/>
        </w:rPr>
        <w:t xml:space="preserve"> </w:t>
      </w:r>
      <w:proofErr w:type="spellStart"/>
      <w:r w:rsidRPr="0094442D">
        <w:rPr>
          <w:rFonts w:ascii="Times New Roman" w:hAnsi="Times New Roman" w:cs="Times New Roman"/>
          <w:sz w:val="24"/>
          <w:szCs w:val="24"/>
          <w:lang w:eastAsia="hr-HR"/>
        </w:rPr>
        <w:t>educ</w:t>
      </w:r>
      <w:proofErr w:type="spellEnd"/>
      <w:r w:rsidRPr="0094442D">
        <w:rPr>
          <w:rFonts w:ascii="Times New Roman" w:hAnsi="Times New Roman" w:cs="Times New Roman"/>
          <w:sz w:val="24"/>
          <w:szCs w:val="24"/>
          <w:lang w:eastAsia="hr-HR"/>
        </w:rPr>
        <w:t>. izvrstan savjetnik</w:t>
      </w:r>
      <w:r w:rsidRPr="0094442D">
        <w:rPr>
          <w:rFonts w:ascii="Times New Roman" w:hAnsi="Times New Roman" w:cs="Times New Roman"/>
          <w:sz w:val="24"/>
          <w:szCs w:val="24"/>
        </w:rPr>
        <w:t xml:space="preserve">, III. </w:t>
      </w:r>
      <w:r w:rsidR="003379F1">
        <w:rPr>
          <w:rFonts w:ascii="Times New Roman" w:hAnsi="Times New Roman" w:cs="Times New Roman"/>
          <w:sz w:val="24"/>
          <w:szCs w:val="24"/>
        </w:rPr>
        <w:t>Osnovna škola</w:t>
      </w:r>
      <w:r w:rsidR="003379F1" w:rsidRPr="0094442D">
        <w:rPr>
          <w:rFonts w:ascii="Times New Roman" w:hAnsi="Times New Roman" w:cs="Times New Roman"/>
          <w:sz w:val="24"/>
          <w:szCs w:val="24"/>
        </w:rPr>
        <w:t xml:space="preserve"> </w:t>
      </w:r>
      <w:r w:rsidRPr="0094442D">
        <w:rPr>
          <w:rFonts w:ascii="Times New Roman" w:hAnsi="Times New Roman" w:cs="Times New Roman"/>
          <w:sz w:val="24"/>
          <w:szCs w:val="24"/>
        </w:rPr>
        <w:t>Čakovec i</w:t>
      </w:r>
      <w:r w:rsidRPr="0094442D">
        <w:rPr>
          <w:rFonts w:ascii="Times New Roman" w:hAnsi="Times New Roman" w:cs="Times New Roman"/>
          <w:b/>
          <w:sz w:val="24"/>
          <w:szCs w:val="24"/>
        </w:rPr>
        <w:t xml:space="preserve"> </w:t>
      </w:r>
      <w:r w:rsidRPr="0094442D">
        <w:rPr>
          <w:rFonts w:ascii="Times New Roman" w:hAnsi="Times New Roman" w:cs="Times New Roman"/>
          <w:sz w:val="24"/>
          <w:szCs w:val="24"/>
        </w:rPr>
        <w:t xml:space="preserve">viši savjetnik za nacionalne programe u Agenciji za odgoj i obrazovanje mr. </w:t>
      </w:r>
      <w:proofErr w:type="spellStart"/>
      <w:r w:rsidRPr="0094442D">
        <w:rPr>
          <w:rFonts w:ascii="Times New Roman" w:hAnsi="Times New Roman" w:cs="Times New Roman"/>
          <w:sz w:val="24"/>
          <w:szCs w:val="24"/>
        </w:rPr>
        <w:t>sc</w:t>
      </w:r>
      <w:proofErr w:type="spellEnd"/>
      <w:r w:rsidRPr="0094442D">
        <w:rPr>
          <w:rFonts w:ascii="Times New Roman" w:hAnsi="Times New Roman" w:cs="Times New Roman"/>
          <w:sz w:val="24"/>
          <w:szCs w:val="24"/>
        </w:rPr>
        <w:t xml:space="preserve">. Tomislav </w:t>
      </w:r>
      <w:proofErr w:type="spellStart"/>
      <w:r w:rsidRPr="0094442D">
        <w:rPr>
          <w:rFonts w:ascii="Times New Roman" w:hAnsi="Times New Roman" w:cs="Times New Roman"/>
          <w:sz w:val="24"/>
          <w:szCs w:val="24"/>
        </w:rPr>
        <w:t>Ogrinšak</w:t>
      </w:r>
      <w:proofErr w:type="spellEnd"/>
      <w:r>
        <w:rPr>
          <w:rFonts w:ascii="Times New Roman" w:hAnsi="Times New Roman" w:cs="Times New Roman"/>
          <w:sz w:val="24"/>
          <w:szCs w:val="24"/>
        </w:rPr>
        <w:t>.</w:t>
      </w:r>
    </w:p>
    <w:p w14:paraId="62AC2CBE" w14:textId="12BFF101" w:rsidR="00955290" w:rsidRPr="0094442D" w:rsidRDefault="00955290" w:rsidP="00287FDA">
      <w:pPr>
        <w:pStyle w:val="NoSpacing2"/>
        <w:spacing w:line="276" w:lineRule="auto"/>
        <w:jc w:val="both"/>
        <w:rPr>
          <w:rFonts w:ascii="Times New Roman" w:hAnsi="Times New Roman"/>
          <w:sz w:val="24"/>
          <w:szCs w:val="24"/>
        </w:rPr>
      </w:pPr>
      <w:r w:rsidRPr="0094442D">
        <w:rPr>
          <w:rFonts w:ascii="Times New Roman" w:hAnsi="Times New Roman"/>
          <w:sz w:val="24"/>
          <w:szCs w:val="24"/>
        </w:rPr>
        <w:t xml:space="preserve">Viši savjetnik za nacionalne programe mr. </w:t>
      </w:r>
      <w:proofErr w:type="spellStart"/>
      <w:r w:rsidRPr="0094442D">
        <w:rPr>
          <w:rFonts w:ascii="Times New Roman" w:hAnsi="Times New Roman"/>
          <w:sz w:val="24"/>
          <w:szCs w:val="24"/>
        </w:rPr>
        <w:t>sc</w:t>
      </w:r>
      <w:proofErr w:type="spellEnd"/>
      <w:r w:rsidRPr="0094442D">
        <w:rPr>
          <w:rFonts w:ascii="Times New Roman" w:hAnsi="Times New Roman"/>
          <w:sz w:val="24"/>
          <w:szCs w:val="24"/>
        </w:rPr>
        <w:t xml:space="preserve">. Tomislav </w:t>
      </w:r>
      <w:proofErr w:type="spellStart"/>
      <w:r w:rsidRPr="0094442D">
        <w:rPr>
          <w:rFonts w:ascii="Times New Roman" w:hAnsi="Times New Roman"/>
          <w:sz w:val="24"/>
          <w:szCs w:val="24"/>
        </w:rPr>
        <w:t>Ogrinšak</w:t>
      </w:r>
      <w:proofErr w:type="spellEnd"/>
      <w:r w:rsidRPr="0094442D">
        <w:rPr>
          <w:rFonts w:ascii="Times New Roman" w:hAnsi="Times New Roman"/>
          <w:sz w:val="24"/>
          <w:szCs w:val="24"/>
        </w:rPr>
        <w:t xml:space="preserve"> održao je izlaganje pod naslovom: </w:t>
      </w:r>
      <w:r w:rsidRPr="0094442D">
        <w:rPr>
          <w:rFonts w:ascii="Times New Roman" w:eastAsia="Times New Roman" w:hAnsi="Times New Roman"/>
          <w:sz w:val="24"/>
          <w:szCs w:val="24"/>
          <w:lang w:eastAsia="hr-HR"/>
        </w:rPr>
        <w:t>Stručna usavršavanja iz Građanskog odgoja i</w:t>
      </w:r>
      <w:r w:rsidR="00D1280F">
        <w:rPr>
          <w:rFonts w:ascii="Times New Roman" w:eastAsia="Times New Roman" w:hAnsi="Times New Roman"/>
          <w:sz w:val="24"/>
          <w:szCs w:val="24"/>
          <w:lang w:eastAsia="hr-HR"/>
        </w:rPr>
        <w:t xml:space="preserve"> obrazovanja i materijali te</w:t>
      </w:r>
      <w:r w:rsidRPr="0094442D">
        <w:rPr>
          <w:rFonts w:ascii="Times New Roman" w:eastAsia="Times New Roman" w:hAnsi="Times New Roman"/>
          <w:sz w:val="24"/>
          <w:szCs w:val="24"/>
          <w:lang w:eastAsia="hr-HR"/>
        </w:rPr>
        <w:t xml:space="preserve"> nacionalni programi</w:t>
      </w:r>
      <w:r w:rsidRPr="0094442D">
        <w:rPr>
          <w:rFonts w:ascii="Times New Roman" w:hAnsi="Times New Roman"/>
          <w:sz w:val="24"/>
          <w:szCs w:val="24"/>
        </w:rPr>
        <w:t>.</w:t>
      </w:r>
    </w:p>
    <w:p w14:paraId="023D6EB6" w14:textId="77777777" w:rsidR="00955290" w:rsidRPr="0094442D" w:rsidRDefault="00955290" w:rsidP="00287FDA">
      <w:pPr>
        <w:pStyle w:val="NoSpacing"/>
        <w:spacing w:line="276" w:lineRule="auto"/>
        <w:jc w:val="both"/>
        <w:rPr>
          <w:rFonts w:ascii="Times New Roman" w:hAnsi="Times New Roman" w:cs="Times New Roman"/>
          <w:sz w:val="24"/>
          <w:szCs w:val="24"/>
        </w:rPr>
      </w:pPr>
      <w:r w:rsidRPr="0094442D">
        <w:rPr>
          <w:rFonts w:ascii="Times New Roman" w:hAnsi="Times New Roman" w:cs="Times New Roman"/>
          <w:sz w:val="24"/>
          <w:szCs w:val="24"/>
        </w:rPr>
        <w:t xml:space="preserve">Izv. prof. dr. </w:t>
      </w:r>
      <w:proofErr w:type="spellStart"/>
      <w:r w:rsidRPr="0094442D">
        <w:rPr>
          <w:rFonts w:ascii="Times New Roman" w:hAnsi="Times New Roman" w:cs="Times New Roman"/>
          <w:sz w:val="24"/>
          <w:szCs w:val="24"/>
        </w:rPr>
        <w:t>sc</w:t>
      </w:r>
      <w:proofErr w:type="spellEnd"/>
      <w:r w:rsidRPr="0094442D">
        <w:rPr>
          <w:rFonts w:ascii="Times New Roman" w:hAnsi="Times New Roman" w:cs="Times New Roman"/>
          <w:sz w:val="24"/>
          <w:szCs w:val="24"/>
        </w:rPr>
        <w:t xml:space="preserve">. Goran </w:t>
      </w:r>
      <w:proofErr w:type="spellStart"/>
      <w:r w:rsidRPr="0094442D">
        <w:rPr>
          <w:rFonts w:ascii="Times New Roman" w:hAnsi="Times New Roman" w:cs="Times New Roman"/>
          <w:sz w:val="24"/>
          <w:szCs w:val="24"/>
        </w:rPr>
        <w:t>Lapat</w:t>
      </w:r>
      <w:proofErr w:type="spellEnd"/>
      <w:r w:rsidRPr="0094442D">
        <w:rPr>
          <w:rFonts w:ascii="Times New Roman" w:hAnsi="Times New Roman" w:cs="Times New Roman"/>
          <w:sz w:val="24"/>
          <w:szCs w:val="24"/>
        </w:rPr>
        <w:t xml:space="preserve">, održao je izlaganje i radionice: </w:t>
      </w:r>
    </w:p>
    <w:p w14:paraId="09CCEEFF" w14:textId="77777777" w:rsidR="00955290" w:rsidRPr="0094442D" w:rsidRDefault="00955290" w:rsidP="00287FDA">
      <w:pPr>
        <w:pStyle w:val="NoSpacing2"/>
        <w:spacing w:line="276" w:lineRule="auto"/>
        <w:rPr>
          <w:rFonts w:ascii="Times New Roman" w:eastAsia="Times New Roman" w:hAnsi="Times New Roman"/>
          <w:sz w:val="24"/>
          <w:szCs w:val="24"/>
          <w:lang w:eastAsia="hr-HR"/>
        </w:rPr>
      </w:pPr>
      <w:r w:rsidRPr="0094442D">
        <w:rPr>
          <w:rFonts w:ascii="Times New Roman" w:eastAsia="Times New Roman" w:hAnsi="Times New Roman"/>
          <w:sz w:val="24"/>
          <w:szCs w:val="24"/>
          <w:lang w:eastAsia="hr-HR"/>
        </w:rPr>
        <w:t>Učionica – prostor za jednakost u različitosti i</w:t>
      </w:r>
    </w:p>
    <w:p w14:paraId="15F96CEE" w14:textId="77777777" w:rsidR="00955290" w:rsidRPr="0094442D" w:rsidRDefault="00955290" w:rsidP="00287FDA">
      <w:pPr>
        <w:pStyle w:val="NoSpacing2"/>
        <w:spacing w:line="276" w:lineRule="auto"/>
        <w:rPr>
          <w:rFonts w:ascii="Times New Roman" w:hAnsi="Times New Roman"/>
          <w:bCs/>
          <w:sz w:val="24"/>
          <w:szCs w:val="24"/>
          <w:lang w:eastAsia="hr-HR"/>
        </w:rPr>
      </w:pPr>
      <w:r w:rsidRPr="0094442D">
        <w:rPr>
          <w:rFonts w:ascii="Times New Roman" w:hAnsi="Times New Roman"/>
          <w:bCs/>
          <w:sz w:val="24"/>
          <w:szCs w:val="24"/>
          <w:lang w:eastAsia="hr-HR"/>
        </w:rPr>
        <w:t>Metode za razvoj kritičkog mišljenja</w:t>
      </w:r>
    </w:p>
    <w:p w14:paraId="1CD4AB17" w14:textId="77777777" w:rsidR="00955290" w:rsidRPr="0094442D" w:rsidRDefault="00955290" w:rsidP="00D163C5">
      <w:pPr>
        <w:pStyle w:val="NoSpacing2"/>
        <w:spacing w:line="276" w:lineRule="auto"/>
        <w:jc w:val="both"/>
        <w:rPr>
          <w:rFonts w:ascii="Times New Roman" w:hAnsi="Times New Roman"/>
          <w:sz w:val="24"/>
          <w:szCs w:val="24"/>
        </w:rPr>
      </w:pPr>
      <w:r w:rsidRPr="0094442D">
        <w:rPr>
          <w:rFonts w:ascii="Times New Roman" w:hAnsi="Times New Roman"/>
          <w:sz w:val="24"/>
          <w:szCs w:val="24"/>
        </w:rPr>
        <w:lastRenderedPageBreak/>
        <w:t xml:space="preserve">Zdenka Novak, izvrsna savjetnica održala je izlaganje i radionicu: Kako koristiti u nastavi priručnik </w:t>
      </w:r>
      <w:r w:rsidRPr="00957968">
        <w:rPr>
          <w:rFonts w:ascii="Times New Roman" w:hAnsi="Times New Roman"/>
          <w:i/>
          <w:sz w:val="24"/>
          <w:szCs w:val="24"/>
        </w:rPr>
        <w:t>Pravedni medvjedići uče o pravednosti</w:t>
      </w:r>
      <w:r w:rsidRPr="0094442D">
        <w:rPr>
          <w:rFonts w:ascii="Times New Roman" w:hAnsi="Times New Roman"/>
          <w:sz w:val="24"/>
          <w:szCs w:val="24"/>
        </w:rPr>
        <w:t>.</w:t>
      </w:r>
    </w:p>
    <w:p w14:paraId="25B44445" w14:textId="77777777" w:rsidR="00955290" w:rsidRPr="0094442D" w:rsidRDefault="00955290" w:rsidP="00287FDA">
      <w:pPr>
        <w:pStyle w:val="NoSpacing1"/>
        <w:spacing w:line="276" w:lineRule="auto"/>
        <w:jc w:val="both"/>
        <w:rPr>
          <w:rFonts w:ascii="Times New Roman" w:hAnsi="Times New Roman"/>
          <w:sz w:val="24"/>
          <w:szCs w:val="24"/>
        </w:rPr>
      </w:pPr>
      <w:r w:rsidRPr="0094442D">
        <w:rPr>
          <w:rFonts w:ascii="Times New Roman" w:hAnsi="Times New Roman"/>
          <w:sz w:val="24"/>
          <w:szCs w:val="24"/>
        </w:rPr>
        <w:t>Tijekom i nakon svakog izlaganja i radionice sudionici stručnog skupa imali su mogućnost postavljati pitanja predavačima.</w:t>
      </w:r>
    </w:p>
    <w:p w14:paraId="0FABE206" w14:textId="77777777" w:rsidR="00955290" w:rsidRPr="0094442D" w:rsidRDefault="00955290" w:rsidP="00287FDA">
      <w:pPr>
        <w:spacing w:after="0" w:line="276" w:lineRule="auto"/>
        <w:rPr>
          <w:rFonts w:cs="Times New Roman"/>
          <w:bCs/>
          <w:szCs w:val="24"/>
        </w:rPr>
      </w:pPr>
      <w:r w:rsidRPr="0094442D">
        <w:rPr>
          <w:rFonts w:cs="Times New Roman"/>
          <w:szCs w:val="24"/>
        </w:rPr>
        <w:t xml:space="preserve">Izv. prof. dr. </w:t>
      </w:r>
      <w:proofErr w:type="spellStart"/>
      <w:r w:rsidRPr="0094442D">
        <w:rPr>
          <w:rFonts w:cs="Times New Roman"/>
          <w:szCs w:val="24"/>
        </w:rPr>
        <w:t>sc</w:t>
      </w:r>
      <w:proofErr w:type="spellEnd"/>
      <w:r w:rsidRPr="0094442D">
        <w:rPr>
          <w:rFonts w:cs="Times New Roman"/>
          <w:szCs w:val="24"/>
        </w:rPr>
        <w:t xml:space="preserve">. Goran </w:t>
      </w:r>
      <w:proofErr w:type="spellStart"/>
      <w:r w:rsidRPr="0094442D">
        <w:rPr>
          <w:rFonts w:cs="Times New Roman"/>
          <w:szCs w:val="24"/>
        </w:rPr>
        <w:t>Lapat</w:t>
      </w:r>
      <w:proofErr w:type="spellEnd"/>
      <w:r>
        <w:rPr>
          <w:rFonts w:cs="Times New Roman"/>
          <w:bCs/>
          <w:szCs w:val="24"/>
        </w:rPr>
        <w:t xml:space="preserve">: </w:t>
      </w:r>
      <w:r w:rsidRPr="0094442D">
        <w:rPr>
          <w:rFonts w:cs="Times New Roman"/>
          <w:bCs/>
          <w:szCs w:val="24"/>
        </w:rPr>
        <w:t>SAŽECI IZLAGANJA</w:t>
      </w:r>
      <w:r>
        <w:rPr>
          <w:rFonts w:cs="Times New Roman"/>
          <w:bCs/>
          <w:szCs w:val="24"/>
        </w:rPr>
        <w:t xml:space="preserve"> </w:t>
      </w:r>
      <w:r w:rsidRPr="0094442D">
        <w:rPr>
          <w:rFonts w:cs="Times New Roman"/>
          <w:bCs/>
          <w:szCs w:val="24"/>
        </w:rPr>
        <w:t>/</w:t>
      </w:r>
      <w:r>
        <w:rPr>
          <w:rFonts w:cs="Times New Roman"/>
          <w:bCs/>
          <w:szCs w:val="24"/>
        </w:rPr>
        <w:t xml:space="preserve"> </w:t>
      </w:r>
      <w:r w:rsidRPr="0094442D">
        <w:rPr>
          <w:rFonts w:cs="Times New Roman"/>
          <w:bCs/>
          <w:szCs w:val="24"/>
        </w:rPr>
        <w:t>RA</w:t>
      </w:r>
      <w:r>
        <w:rPr>
          <w:rFonts w:cs="Times New Roman"/>
          <w:bCs/>
          <w:szCs w:val="24"/>
        </w:rPr>
        <w:t>D</w:t>
      </w:r>
      <w:r w:rsidRPr="0094442D">
        <w:rPr>
          <w:rFonts w:cs="Times New Roman"/>
          <w:bCs/>
          <w:szCs w:val="24"/>
        </w:rPr>
        <w:t>IONICA</w:t>
      </w:r>
    </w:p>
    <w:p w14:paraId="61552950" w14:textId="77777777" w:rsidR="00D163C5" w:rsidRDefault="00D163C5" w:rsidP="00287FDA">
      <w:pPr>
        <w:spacing w:after="0" w:line="276" w:lineRule="auto"/>
        <w:rPr>
          <w:rFonts w:cs="Times New Roman"/>
          <w:bCs/>
          <w:szCs w:val="24"/>
        </w:rPr>
      </w:pPr>
    </w:p>
    <w:p w14:paraId="500ABEEE" w14:textId="38AD0993" w:rsidR="00955290" w:rsidRPr="0094442D" w:rsidRDefault="00955290" w:rsidP="00287FDA">
      <w:pPr>
        <w:spacing w:after="0" w:line="276" w:lineRule="auto"/>
        <w:rPr>
          <w:rFonts w:cs="Times New Roman"/>
          <w:bCs/>
          <w:szCs w:val="24"/>
        </w:rPr>
      </w:pPr>
      <w:r w:rsidRPr="0094442D">
        <w:rPr>
          <w:rFonts w:cs="Times New Roman"/>
          <w:bCs/>
          <w:szCs w:val="24"/>
        </w:rPr>
        <w:t xml:space="preserve">1. radionica/predavanje: </w:t>
      </w:r>
      <w:r w:rsidRPr="0094442D">
        <w:rPr>
          <w:rFonts w:cs="Times New Roman"/>
          <w:szCs w:val="24"/>
        </w:rPr>
        <w:t>Učionica kao prostor jednakosti i različitosti</w:t>
      </w:r>
      <w:r w:rsidRPr="0094442D">
        <w:rPr>
          <w:szCs w:val="24"/>
        </w:rPr>
        <w:t xml:space="preserve"> </w:t>
      </w:r>
    </w:p>
    <w:p w14:paraId="474BA23D" w14:textId="77777777" w:rsidR="00955290" w:rsidRPr="0094442D" w:rsidRDefault="00955290" w:rsidP="00287FDA">
      <w:pPr>
        <w:pStyle w:val="NoSpacing2"/>
        <w:spacing w:line="276" w:lineRule="auto"/>
        <w:jc w:val="both"/>
        <w:rPr>
          <w:rFonts w:ascii="Times New Roman" w:hAnsi="Times New Roman"/>
          <w:sz w:val="24"/>
          <w:szCs w:val="24"/>
        </w:rPr>
      </w:pPr>
      <w:r w:rsidRPr="0094442D">
        <w:rPr>
          <w:rFonts w:ascii="Times New Roman" w:hAnsi="Times New Roman"/>
          <w:sz w:val="24"/>
          <w:szCs w:val="24"/>
        </w:rPr>
        <w:t>Učionica kao prostor jednakosti i različitosti srž</w:t>
      </w:r>
      <w:r>
        <w:rPr>
          <w:rFonts w:ascii="Times New Roman" w:hAnsi="Times New Roman"/>
          <w:sz w:val="24"/>
          <w:szCs w:val="24"/>
        </w:rPr>
        <w:t xml:space="preserve"> je</w:t>
      </w:r>
      <w:r w:rsidRPr="0094442D">
        <w:rPr>
          <w:rFonts w:ascii="Times New Roman" w:hAnsi="Times New Roman"/>
          <w:sz w:val="24"/>
          <w:szCs w:val="24"/>
        </w:rPr>
        <w:t xml:space="preserve"> suvremenog obrazovanja, naglašavajući važnost inkluzivnog pristupa koji omogućava svim učenicima da se razvijaju u poticajnom i stimulativnom okruženju. Ova vrsta učionice omogućava svim učenicima, bez obzira na njihove individualne sposobnosti, kulturne pozadine ili specifične potrebe, jednake šanse za učenje i razvoj. Inkluzivno obrazovanje ne samo da potiče akademske vještine, već i socijalne interakcije koje su ključne za razvoj emocionalne inteligencije. Kultura poštovanja </w:t>
      </w:r>
      <w:r>
        <w:rPr>
          <w:rFonts w:ascii="Times New Roman" w:hAnsi="Times New Roman"/>
          <w:sz w:val="24"/>
          <w:szCs w:val="24"/>
        </w:rPr>
        <w:t>ima</w:t>
      </w:r>
      <w:r w:rsidRPr="0094442D">
        <w:rPr>
          <w:rFonts w:ascii="Times New Roman" w:hAnsi="Times New Roman"/>
          <w:sz w:val="24"/>
          <w:szCs w:val="24"/>
        </w:rPr>
        <w:t xml:space="preserve"> ključnu ulogu u stvaranju pozitivne atmosfere unutar učionice. Poticanje tolerancije i međusobnog poštovanja pomaže učenicima da razviju osjećaj zajedništva i sigurnosti, što je od suštinske važnosti za njihovo psihološko blagostanje. U učionicama gdje se poštuje raznolikost, učenici se osjećaju prihvaćenima, a to im omogućava da slobodnije izraze svoje misli i osjećaje. Jedan od važnih aspekata učionica koje promoviraju različitost je raznolikost sadržaja koje te učionice nude. Kroz učenje o različitim kulturama, tradicijama i perspektivama, učenici upoznaju širu sliku svijeta, što im omogućava da razviju empatiju i razumijevanje prema drugima i drugačijima. Obrazovni sadržaji koji uključuju raznolikost dovode do dubljeg razumijevanja složenosti ljudskog iskustva i potiču kritičko razmišljanje. Aktivnosti koje potiču suradnju i timski rad također igraju značajnu ulogu. Kada učenici rade zajedno na projektima ili zadacima, kroz interakciju razvijaju komunikacijske vještine. Ovaj vid interakcije ne samo da poboljšava njihov akademski uspjeh, već ih također priprema za život u sve više povezanom, ali raznolikom društvu. Osnaživanje pojedinaca još jedan je ključni element učionica koje promo</w:t>
      </w:r>
      <w:r>
        <w:rPr>
          <w:rFonts w:ascii="Times New Roman" w:hAnsi="Times New Roman"/>
          <w:sz w:val="24"/>
          <w:szCs w:val="24"/>
        </w:rPr>
        <w:t>viraju jednakost i različitost.</w:t>
      </w:r>
    </w:p>
    <w:p w14:paraId="3B9BE45D" w14:textId="77777777" w:rsidR="00955290" w:rsidRPr="0094442D" w:rsidRDefault="00955290" w:rsidP="00287FDA">
      <w:pPr>
        <w:pStyle w:val="NoSpacing2"/>
        <w:spacing w:line="276" w:lineRule="auto"/>
        <w:jc w:val="both"/>
        <w:rPr>
          <w:rFonts w:ascii="Times New Roman" w:hAnsi="Times New Roman"/>
          <w:sz w:val="24"/>
          <w:szCs w:val="24"/>
        </w:rPr>
      </w:pPr>
      <w:r w:rsidRPr="0094442D">
        <w:rPr>
          <w:rFonts w:ascii="Times New Roman" w:hAnsi="Times New Roman"/>
          <w:sz w:val="24"/>
          <w:szCs w:val="24"/>
        </w:rPr>
        <w:t>Na kraju, učionica kao prostor jednakosti u različitosti ne predstavlja samo obrazovni okvir, već i prostrano mjesto za razvoj pojedinca i zajednice. Razvijajući kulturu poštovanja, suradnje, i razumijevanja, takve učionice doprinose izgradnji zajednice u kojoj se slavi različitost, ali i jednakost. Ovakvo okruženje omogućava svim učenicima da ne samo da uspijevaju akademski, već i postanu svjesni, empatični i aktivni građani.</w:t>
      </w:r>
    </w:p>
    <w:p w14:paraId="265226F3" w14:textId="77777777" w:rsidR="00D163C5" w:rsidRDefault="00D163C5" w:rsidP="00287FDA">
      <w:pPr>
        <w:spacing w:after="0" w:line="276" w:lineRule="auto"/>
        <w:rPr>
          <w:rFonts w:cs="Times New Roman"/>
          <w:bCs/>
          <w:szCs w:val="24"/>
        </w:rPr>
      </w:pPr>
    </w:p>
    <w:p w14:paraId="66949455" w14:textId="46AE4321" w:rsidR="00955290" w:rsidRPr="0094442D" w:rsidRDefault="00955290" w:rsidP="00287FDA">
      <w:pPr>
        <w:spacing w:after="0" w:line="276" w:lineRule="auto"/>
        <w:rPr>
          <w:rFonts w:cs="Times New Roman"/>
          <w:bCs/>
          <w:szCs w:val="24"/>
        </w:rPr>
      </w:pPr>
      <w:r w:rsidRPr="0094442D">
        <w:rPr>
          <w:rFonts w:cs="Times New Roman"/>
          <w:bCs/>
          <w:szCs w:val="24"/>
        </w:rPr>
        <w:t>2. radionica</w:t>
      </w:r>
      <w:r>
        <w:rPr>
          <w:rFonts w:cs="Times New Roman"/>
          <w:bCs/>
          <w:szCs w:val="24"/>
        </w:rPr>
        <w:t xml:space="preserve"> </w:t>
      </w:r>
      <w:r w:rsidRPr="0094442D">
        <w:rPr>
          <w:rFonts w:cs="Times New Roman"/>
          <w:bCs/>
          <w:szCs w:val="24"/>
        </w:rPr>
        <w:t>/</w:t>
      </w:r>
      <w:r>
        <w:rPr>
          <w:rFonts w:cs="Times New Roman"/>
          <w:bCs/>
          <w:szCs w:val="24"/>
        </w:rPr>
        <w:t xml:space="preserve"> </w:t>
      </w:r>
      <w:r w:rsidRPr="0094442D">
        <w:rPr>
          <w:rFonts w:cs="Times New Roman"/>
          <w:bCs/>
          <w:szCs w:val="24"/>
        </w:rPr>
        <w:t xml:space="preserve">predavanje: </w:t>
      </w:r>
      <w:r w:rsidRPr="0094442D">
        <w:rPr>
          <w:rFonts w:cs="Times New Roman"/>
          <w:szCs w:val="24"/>
        </w:rPr>
        <w:t>Razvijanje kritičkog mišljenja</w:t>
      </w:r>
    </w:p>
    <w:p w14:paraId="6D0B64D5" w14:textId="77777777" w:rsidR="00955290" w:rsidRPr="00582979" w:rsidRDefault="00955290" w:rsidP="00287FDA">
      <w:pPr>
        <w:pStyle w:val="NoSpacing2"/>
        <w:spacing w:line="276" w:lineRule="auto"/>
        <w:jc w:val="both"/>
        <w:rPr>
          <w:rFonts w:ascii="Times New Roman" w:hAnsi="Times New Roman"/>
          <w:sz w:val="24"/>
          <w:szCs w:val="24"/>
        </w:rPr>
      </w:pPr>
      <w:r w:rsidRPr="0094442D">
        <w:rPr>
          <w:rFonts w:ascii="Times New Roman" w:hAnsi="Times New Roman"/>
          <w:sz w:val="24"/>
          <w:szCs w:val="24"/>
        </w:rPr>
        <w:t xml:space="preserve">Razvijanje kritičkog mišljenja kod učenika u primarnom obrazovanju predstavlja osnovni aspekt modernog obrazovanja i ključno je za njihovu sposobnost da razumiju složenost svijeta koji ih okružuje, donose valjanje odluke i efikasno rješavaju probleme s kojima se susreću. Kroz različite strategije i pristupe, učitelji mogu poticati kritičko razmišljanje koje će učenicima pomoći da postanu ne samo uspješni učenici, već i odgovorni i aktivni građani. Jedna od najefikasnijih metoda je postavljanje otvorenih pitanja koja zahtijevaju od učenika da razmišljaju, analiziraju i argumentiraju svoje stavove. Tako učenici sadržaj dublje razumiju. Svakodnevne situacije i razgovori o njima potiču učenike na istraživanje i iznošenje osobnih iskustava. Organiziranje grupnih diskusija je izuzetno korisno, jer učenici u malim grupama imaju priliku da razmjene ideje i argumente. Ove interakcije razvijaju njihove socijalne vještine </w:t>
      </w:r>
      <w:r w:rsidRPr="0094442D">
        <w:rPr>
          <w:rFonts w:ascii="Times New Roman" w:hAnsi="Times New Roman"/>
          <w:sz w:val="24"/>
          <w:szCs w:val="24"/>
        </w:rPr>
        <w:lastRenderedPageBreak/>
        <w:t xml:space="preserve">i omogućavaju im da nauče kako slušati i uvažiti mišljenja iz druge perspektive, što je od suštinske važnosti u današnjem društvu. Analiza različitih izvora informacija je ključna vještina u svijetu preplavljenim različitim informacijama o istom sadržaju. Učitelji mogu poticati učenike da istražuju kako prepoznati pouzdane informacije i kako razlikovati činjenice od mišljenja. Uključivanje vježbi i aktivnosti koje se fokusiraju na kritičko ispitivanje izvora, poput analiziranja vijesti ili istraživačkih članaka, doprinosi razvoju informacijske pismenosti. Istraživački projekti su još jedan način poticanja kritičkog mišljenja. Kada učenici istražuju teme koje su im zanimljive i relevantne, moraju prikupiti, analizirati i prezentirati informacije. Ovaj proces im omogućava da samostalno razvijaju kritičke vještine dok uče kako formulirati i opravdati svoje zaključke. Uključivanje aktivnosti rješavanja problema također igra ključnu ulogu u razvoju kritičkog mišljenja. Kroz praktične zadatke i realne situacije, učenici imaju priliku razmatrati različite pristupe i rješenja. Scenariji iz svakodnevnog života mogu biti polazišna točka kako bi učenici razvili strategije za rješavanje izazova, što im može pomoći da postanu snalažljiviji i sposobniji da se suoče u raznim novim situacijama. Povezivanje nastavnih sadržaja i tema sa stvarnim svijetom omogućava učenicima da vide značaj onoga što uče i kako to može utjecati na njihov svakodnevni život. Ova povezanost čini učenje relevantnijim i zanimljivijim, što ih potiče na aktivno razmišljanje i primjenu stečenog znanja. Na kraju, važno je naglasiti </w:t>
      </w:r>
      <w:r>
        <w:rPr>
          <w:rFonts w:ascii="Times New Roman" w:hAnsi="Times New Roman"/>
          <w:sz w:val="24"/>
          <w:szCs w:val="24"/>
        </w:rPr>
        <w:t>da</w:t>
      </w:r>
      <w:r w:rsidRPr="0094442D">
        <w:rPr>
          <w:rFonts w:ascii="Times New Roman" w:hAnsi="Times New Roman"/>
          <w:sz w:val="24"/>
          <w:szCs w:val="24"/>
        </w:rPr>
        <w:t xml:space="preserve"> je učenje iz grešaka ključno za razvoj kritičkog mišljenja. Učitelji bi trebali poticati učenike da vide neuspjehe kao prilike za učenje, govoreći im kako je nastala situacija također dio učenja</w:t>
      </w:r>
      <w:r w:rsidRPr="00582979">
        <w:rPr>
          <w:rFonts w:ascii="Times New Roman" w:hAnsi="Times New Roman"/>
          <w:sz w:val="24"/>
          <w:szCs w:val="24"/>
        </w:rPr>
        <w:t xml:space="preserve">. </w:t>
      </w:r>
    </w:p>
    <w:p w14:paraId="58BEEAA2" w14:textId="77777777" w:rsidR="00091FBD" w:rsidRDefault="00091FBD" w:rsidP="00A86FA4">
      <w:pPr>
        <w:pStyle w:val="NoSpacing2"/>
        <w:spacing w:line="276" w:lineRule="auto"/>
        <w:jc w:val="both"/>
        <w:rPr>
          <w:rFonts w:ascii="Times New Roman" w:hAnsi="Times New Roman"/>
          <w:sz w:val="24"/>
          <w:szCs w:val="24"/>
        </w:rPr>
      </w:pPr>
    </w:p>
    <w:p w14:paraId="442276A8" w14:textId="55CA9B91" w:rsidR="00955290" w:rsidRPr="00582979" w:rsidRDefault="00955290" w:rsidP="00A86FA4">
      <w:pPr>
        <w:pStyle w:val="NoSpacing2"/>
        <w:spacing w:line="276" w:lineRule="auto"/>
        <w:jc w:val="both"/>
        <w:rPr>
          <w:rFonts w:ascii="Times New Roman" w:eastAsia="+mn-ea" w:hAnsi="Times New Roman"/>
          <w:kern w:val="24"/>
          <w:sz w:val="24"/>
          <w:szCs w:val="24"/>
          <w:lang w:eastAsia="hr-HR"/>
        </w:rPr>
      </w:pPr>
      <w:r w:rsidRPr="00582979">
        <w:rPr>
          <w:rFonts w:ascii="Times New Roman" w:hAnsi="Times New Roman"/>
          <w:sz w:val="24"/>
          <w:szCs w:val="24"/>
        </w:rPr>
        <w:t xml:space="preserve">Zdenka Novak, izvrsna savjetnica održala je izlaganje i radionicu: Kako koristiti u nastavi priručnik </w:t>
      </w:r>
      <w:r w:rsidRPr="00957968">
        <w:rPr>
          <w:rFonts w:ascii="Times New Roman" w:hAnsi="Times New Roman"/>
          <w:i/>
          <w:sz w:val="24"/>
          <w:szCs w:val="24"/>
        </w:rPr>
        <w:t>Pravedni medvjedići uče o pravednosti</w:t>
      </w:r>
      <w:r w:rsidRPr="00582979">
        <w:rPr>
          <w:rFonts w:ascii="Times New Roman" w:hAnsi="Times New Roman"/>
          <w:sz w:val="24"/>
          <w:szCs w:val="24"/>
        </w:rPr>
        <w:t>.</w:t>
      </w:r>
      <w:r w:rsidR="00582979" w:rsidRPr="00582979">
        <w:rPr>
          <w:rFonts w:ascii="Times New Roman" w:hAnsi="Times New Roman"/>
          <w:sz w:val="24"/>
          <w:szCs w:val="24"/>
        </w:rPr>
        <w:t xml:space="preserve"> </w:t>
      </w:r>
      <w:r w:rsidRPr="00582979">
        <w:rPr>
          <w:rFonts w:ascii="Times New Roman" w:hAnsi="Times New Roman"/>
          <w:bCs/>
          <w:sz w:val="24"/>
          <w:szCs w:val="24"/>
        </w:rPr>
        <w:t xml:space="preserve">Nazočne je uputila da je </w:t>
      </w:r>
      <w:r w:rsidRPr="00582979">
        <w:rPr>
          <w:rFonts w:ascii="Times New Roman" w:eastAsia="+mn-ea" w:hAnsi="Times New Roman"/>
          <w:kern w:val="24"/>
          <w:sz w:val="24"/>
          <w:szCs w:val="24"/>
          <w:lang w:eastAsia="hr-HR"/>
        </w:rPr>
        <w:t>Kurikulumu o pravdi i pravednosti napravljen da bi pomogao učenicima razumjeti i primjenjivati osnovna načela u proučavanju pitanja pravednosti i pravde tako da sami mogu odrediti što bi bilo pravedno u određenoj situaciji. Primjenom radioničkog oblika rada u paru i skupini i radom na konkretnim primjerima odnosa likova i situacija iz slikovnice, sudionici su upoznali načine kako mogu samostalno primijeniti rješavanje problemskih situacija s učenicima.</w:t>
      </w:r>
    </w:p>
    <w:p w14:paraId="792EEC6F" w14:textId="2F3C2457" w:rsidR="00955290" w:rsidRPr="00582979" w:rsidRDefault="00955290" w:rsidP="00287FDA">
      <w:pPr>
        <w:spacing w:after="0" w:line="276" w:lineRule="auto"/>
        <w:jc w:val="both"/>
        <w:rPr>
          <w:rFonts w:eastAsia="+mn-ea" w:cs="Times New Roman"/>
          <w:kern w:val="24"/>
          <w:szCs w:val="24"/>
          <w:lang w:eastAsia="hr-HR"/>
        </w:rPr>
      </w:pPr>
      <w:r w:rsidRPr="00582979">
        <w:rPr>
          <w:rFonts w:eastAsia="+mn-ea" w:cs="Times New Roman"/>
          <w:kern w:val="24"/>
          <w:szCs w:val="24"/>
          <w:lang w:eastAsia="hr-HR"/>
        </w:rPr>
        <w:t>Na primjerima iz svakodnevnog života učenika sudionici su uvježbavali razlikovati distributivnu, korektivnu i proceduralnu pravdu te isto</w:t>
      </w:r>
      <w:r w:rsidRPr="0094442D">
        <w:rPr>
          <w:rFonts w:eastAsia="+mn-ea" w:cs="Times New Roman"/>
          <w:kern w:val="24"/>
          <w:szCs w:val="24"/>
          <w:lang w:eastAsia="hr-HR"/>
        </w:rPr>
        <w:t xml:space="preserve"> povezivali s vlastitim iskustvom. Sudionici su svojim aktivnim uključivanjem stvorili dinamično i ugodno radno ozračje. Nazočne je pozvala na aktivno uključenje na edukacije u sklopu Županijskog stručnog vijeća za Građanski odgoj i obrazovanje u korelaciji s drugim međupredmetnim temama za osnovne </w:t>
      </w:r>
      <w:r w:rsidRPr="00582979">
        <w:rPr>
          <w:rFonts w:eastAsia="+mn-ea" w:cs="Times New Roman"/>
          <w:kern w:val="24"/>
          <w:szCs w:val="24"/>
          <w:lang w:eastAsia="hr-HR"/>
        </w:rPr>
        <w:t>škole Međimurske županije.</w:t>
      </w:r>
    </w:p>
    <w:p w14:paraId="2B4F6DBC" w14:textId="72995506" w:rsidR="00177831" w:rsidRPr="00582979" w:rsidRDefault="00177831" w:rsidP="00D36147">
      <w:pPr>
        <w:pStyle w:val="NoSpacing2"/>
        <w:spacing w:line="276" w:lineRule="auto"/>
        <w:rPr>
          <w:rFonts w:ascii="Times New Roman" w:hAnsi="Times New Roman"/>
          <w:sz w:val="18"/>
          <w:szCs w:val="18"/>
        </w:rPr>
      </w:pPr>
    </w:p>
    <w:tbl>
      <w:tblPr>
        <w:tblStyle w:val="TableGrid"/>
        <w:tblW w:w="5000" w:type="pct"/>
        <w:tblLook w:val="04A0" w:firstRow="1" w:lastRow="0" w:firstColumn="1" w:lastColumn="0" w:noHBand="0" w:noVBand="1"/>
      </w:tblPr>
      <w:tblGrid>
        <w:gridCol w:w="2405"/>
        <w:gridCol w:w="2835"/>
        <w:gridCol w:w="2410"/>
        <w:gridCol w:w="1412"/>
      </w:tblGrid>
      <w:tr w:rsidR="00CE622A" w:rsidRPr="00CE622A" w14:paraId="4C14459D" w14:textId="77777777" w:rsidTr="002A04BF">
        <w:trPr>
          <w:trHeight w:val="667"/>
        </w:trPr>
        <w:tc>
          <w:tcPr>
            <w:tcW w:w="1327" w:type="pct"/>
            <w:shd w:val="clear" w:color="auto" w:fill="F2F2F2" w:themeFill="background1" w:themeFillShade="F2"/>
            <w:vAlign w:val="center"/>
          </w:tcPr>
          <w:p w14:paraId="36791FEE" w14:textId="32884795" w:rsidR="00EF0F3D" w:rsidRPr="00FC64BF" w:rsidRDefault="007E61F3" w:rsidP="00D36147">
            <w:pPr>
              <w:spacing w:line="276" w:lineRule="auto"/>
              <w:rPr>
                <w:rFonts w:cs="Times New Roman"/>
                <w:b/>
                <w:sz w:val="20"/>
                <w:szCs w:val="18"/>
              </w:rPr>
            </w:pPr>
            <w:bookmarkStart w:id="40" w:name="_Hlk164163796"/>
            <w:r w:rsidRPr="00FC64BF">
              <w:rPr>
                <w:rFonts w:cs="Times New Roman"/>
                <w:b/>
                <w:sz w:val="20"/>
                <w:szCs w:val="18"/>
              </w:rPr>
              <w:t>Pokazatelji provedbe i pokazatelji uspješnosti provedbe</w:t>
            </w:r>
          </w:p>
        </w:tc>
        <w:tc>
          <w:tcPr>
            <w:tcW w:w="1564" w:type="pct"/>
            <w:shd w:val="clear" w:color="auto" w:fill="F2F2F2" w:themeFill="background1" w:themeFillShade="F2"/>
            <w:vAlign w:val="center"/>
          </w:tcPr>
          <w:p w14:paraId="5FCAB4A4" w14:textId="77777777" w:rsidR="00EF0F3D" w:rsidRPr="00FC64BF" w:rsidRDefault="00EF0F3D" w:rsidP="00D36147">
            <w:pPr>
              <w:spacing w:line="276" w:lineRule="auto"/>
              <w:jc w:val="center"/>
              <w:rPr>
                <w:rFonts w:eastAsia="Calibri" w:cs="Times New Roman"/>
                <w:b/>
                <w:strike/>
                <w:sz w:val="20"/>
                <w:szCs w:val="18"/>
              </w:rPr>
            </w:pPr>
            <w:r w:rsidRPr="00FC64BF">
              <w:rPr>
                <w:rFonts w:eastAsia="Calibri" w:cs="Times New Roman"/>
                <w:b/>
                <w:sz w:val="20"/>
                <w:szCs w:val="18"/>
              </w:rPr>
              <w:t>Broj događanja</w:t>
            </w:r>
          </w:p>
        </w:tc>
        <w:tc>
          <w:tcPr>
            <w:tcW w:w="1330" w:type="pct"/>
            <w:shd w:val="clear" w:color="auto" w:fill="F2F2F2" w:themeFill="background1" w:themeFillShade="F2"/>
            <w:vAlign w:val="center"/>
          </w:tcPr>
          <w:p w14:paraId="7E80E6D8"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Broj sudionika</w:t>
            </w:r>
          </w:p>
        </w:tc>
        <w:tc>
          <w:tcPr>
            <w:tcW w:w="779" w:type="pct"/>
            <w:shd w:val="clear" w:color="auto" w:fill="F2F2F2" w:themeFill="background1" w:themeFillShade="F2"/>
            <w:vAlign w:val="center"/>
          </w:tcPr>
          <w:p w14:paraId="3224E28F" w14:textId="77777777" w:rsidR="00EF0F3D" w:rsidRPr="00FC64BF" w:rsidRDefault="00EF0F3D" w:rsidP="00D36147">
            <w:pPr>
              <w:spacing w:line="276" w:lineRule="auto"/>
              <w:jc w:val="center"/>
              <w:rPr>
                <w:rFonts w:cs="Times New Roman"/>
                <w:b/>
                <w:sz w:val="20"/>
                <w:szCs w:val="18"/>
              </w:rPr>
            </w:pPr>
            <w:r w:rsidRPr="00FC64BF">
              <w:rPr>
                <w:rFonts w:eastAsia="Calibri" w:cs="Times New Roman"/>
                <w:b/>
                <w:sz w:val="20"/>
                <w:szCs w:val="18"/>
              </w:rPr>
              <w:t>/</w:t>
            </w:r>
          </w:p>
        </w:tc>
      </w:tr>
      <w:tr w:rsidR="00CE622A" w:rsidRPr="00CE622A" w14:paraId="2F249044" w14:textId="77777777" w:rsidTr="002A04BF">
        <w:tc>
          <w:tcPr>
            <w:tcW w:w="1327" w:type="pct"/>
            <w:shd w:val="clear" w:color="auto" w:fill="F2F2F2" w:themeFill="background1" w:themeFillShade="F2"/>
            <w:vAlign w:val="center"/>
          </w:tcPr>
          <w:p w14:paraId="40BF84AE" w14:textId="68B47D74" w:rsidR="00EF0F3D" w:rsidRPr="00FC64BF" w:rsidRDefault="00EF0F3D" w:rsidP="0061594B">
            <w:pPr>
              <w:spacing w:line="276" w:lineRule="auto"/>
              <w:rPr>
                <w:rFonts w:cs="Times New Roman"/>
                <w:sz w:val="20"/>
                <w:szCs w:val="18"/>
              </w:rPr>
            </w:pPr>
            <w:r w:rsidRPr="00FC64BF">
              <w:rPr>
                <w:rFonts w:cs="Times New Roman"/>
                <w:sz w:val="20"/>
                <w:szCs w:val="18"/>
              </w:rPr>
              <w:t>Planirani ishodi za pokazatelje provedbe u 202</w:t>
            </w:r>
            <w:r w:rsidR="00400B84" w:rsidRPr="00FC64BF">
              <w:rPr>
                <w:rFonts w:cs="Times New Roman"/>
                <w:sz w:val="20"/>
                <w:szCs w:val="18"/>
              </w:rPr>
              <w:t>4</w:t>
            </w:r>
            <w:r w:rsidRPr="00FC64BF">
              <w:rPr>
                <w:rFonts w:cs="Times New Roman"/>
                <w:sz w:val="20"/>
                <w:szCs w:val="18"/>
              </w:rPr>
              <w:t xml:space="preserve">. </w:t>
            </w:r>
          </w:p>
        </w:tc>
        <w:tc>
          <w:tcPr>
            <w:tcW w:w="1564" w:type="pct"/>
            <w:vAlign w:val="center"/>
          </w:tcPr>
          <w:p w14:paraId="0E51EF97" w14:textId="77777777" w:rsidR="00EF0F3D" w:rsidRPr="00FC64BF" w:rsidRDefault="00EF0F3D" w:rsidP="00D36147">
            <w:pPr>
              <w:spacing w:line="276" w:lineRule="auto"/>
              <w:jc w:val="center"/>
              <w:rPr>
                <w:rFonts w:cs="Times New Roman"/>
                <w:sz w:val="20"/>
                <w:szCs w:val="18"/>
              </w:rPr>
            </w:pPr>
            <w:r w:rsidRPr="00FC64BF">
              <w:rPr>
                <w:rFonts w:cs="Times New Roman"/>
                <w:sz w:val="20"/>
                <w:szCs w:val="18"/>
              </w:rPr>
              <w:t>2 stručna skupa</w:t>
            </w:r>
          </w:p>
        </w:tc>
        <w:tc>
          <w:tcPr>
            <w:tcW w:w="1330" w:type="pct"/>
            <w:vAlign w:val="center"/>
          </w:tcPr>
          <w:p w14:paraId="7861284D" w14:textId="77777777" w:rsidR="00EF0F3D" w:rsidRPr="00FC64BF" w:rsidRDefault="00EF0F3D" w:rsidP="00D36147">
            <w:pPr>
              <w:spacing w:line="276" w:lineRule="auto"/>
              <w:jc w:val="center"/>
              <w:rPr>
                <w:rFonts w:cs="Times New Roman"/>
                <w:sz w:val="20"/>
                <w:szCs w:val="18"/>
              </w:rPr>
            </w:pPr>
            <w:r w:rsidRPr="00FC64BF">
              <w:rPr>
                <w:rFonts w:cs="Times New Roman"/>
                <w:sz w:val="20"/>
                <w:szCs w:val="18"/>
              </w:rPr>
              <w:t>40 sudionika po stručnom skupu</w:t>
            </w:r>
          </w:p>
        </w:tc>
        <w:tc>
          <w:tcPr>
            <w:tcW w:w="779" w:type="pct"/>
            <w:vAlign w:val="center"/>
          </w:tcPr>
          <w:p w14:paraId="425417DF" w14:textId="77777777" w:rsidR="00EF0F3D" w:rsidRPr="00FC64BF" w:rsidRDefault="00EF0F3D" w:rsidP="00D36147">
            <w:pPr>
              <w:spacing w:line="276" w:lineRule="auto"/>
              <w:jc w:val="center"/>
              <w:rPr>
                <w:rFonts w:cs="Times New Roman"/>
                <w:sz w:val="20"/>
                <w:szCs w:val="18"/>
              </w:rPr>
            </w:pPr>
            <w:r w:rsidRPr="00FC64BF">
              <w:rPr>
                <w:rFonts w:cs="Times New Roman"/>
                <w:sz w:val="20"/>
                <w:szCs w:val="18"/>
              </w:rPr>
              <w:t>/</w:t>
            </w:r>
          </w:p>
        </w:tc>
      </w:tr>
      <w:tr w:rsidR="00CE622A" w:rsidRPr="00CE622A" w14:paraId="14BDAD4A" w14:textId="77777777" w:rsidTr="002A04BF">
        <w:tc>
          <w:tcPr>
            <w:tcW w:w="1327" w:type="pct"/>
            <w:shd w:val="clear" w:color="auto" w:fill="F2F2F2" w:themeFill="background1" w:themeFillShade="F2"/>
            <w:vAlign w:val="center"/>
          </w:tcPr>
          <w:p w14:paraId="28BF5AC5" w14:textId="22C49071" w:rsidR="00EF0F3D" w:rsidRPr="00FC64BF" w:rsidRDefault="00EF0F3D" w:rsidP="0061594B">
            <w:pPr>
              <w:spacing w:line="276" w:lineRule="auto"/>
              <w:rPr>
                <w:rFonts w:cs="Times New Roman"/>
                <w:sz w:val="20"/>
                <w:szCs w:val="18"/>
              </w:rPr>
            </w:pPr>
            <w:r w:rsidRPr="00FC64BF">
              <w:rPr>
                <w:rFonts w:cs="Times New Roman"/>
                <w:sz w:val="20"/>
                <w:szCs w:val="18"/>
              </w:rPr>
              <w:t>Ostvareni ishodi za pokazatelje provedbe u 202</w:t>
            </w:r>
            <w:r w:rsidR="00400B84" w:rsidRPr="00FC64BF">
              <w:rPr>
                <w:rFonts w:cs="Times New Roman"/>
                <w:sz w:val="20"/>
                <w:szCs w:val="18"/>
              </w:rPr>
              <w:t>4</w:t>
            </w:r>
            <w:r w:rsidR="00091FBD">
              <w:rPr>
                <w:rFonts w:cs="Times New Roman"/>
                <w:sz w:val="20"/>
                <w:szCs w:val="18"/>
              </w:rPr>
              <w:t>.</w:t>
            </w:r>
          </w:p>
        </w:tc>
        <w:tc>
          <w:tcPr>
            <w:tcW w:w="1564" w:type="pct"/>
            <w:vAlign w:val="center"/>
          </w:tcPr>
          <w:p w14:paraId="5009F7C8" w14:textId="2BEBA503" w:rsidR="00EF0F3D" w:rsidRPr="00FC64BF" w:rsidRDefault="0016100B" w:rsidP="00D36147">
            <w:pPr>
              <w:spacing w:line="276" w:lineRule="auto"/>
              <w:jc w:val="center"/>
              <w:rPr>
                <w:rFonts w:cs="Times New Roman"/>
                <w:sz w:val="20"/>
                <w:szCs w:val="18"/>
              </w:rPr>
            </w:pPr>
            <w:r w:rsidRPr="00FC64BF">
              <w:rPr>
                <w:rFonts w:cs="Times New Roman"/>
                <w:sz w:val="20"/>
                <w:szCs w:val="18"/>
              </w:rPr>
              <w:t>2</w:t>
            </w:r>
            <w:r w:rsidR="00EF0F3D" w:rsidRPr="00FC64BF">
              <w:rPr>
                <w:rFonts w:cs="Times New Roman"/>
                <w:sz w:val="20"/>
                <w:szCs w:val="18"/>
              </w:rPr>
              <w:t xml:space="preserve"> stručn</w:t>
            </w:r>
            <w:r w:rsidRPr="00FC64BF">
              <w:rPr>
                <w:rFonts w:cs="Times New Roman"/>
                <w:sz w:val="20"/>
                <w:szCs w:val="18"/>
              </w:rPr>
              <w:t>a</w:t>
            </w:r>
            <w:r w:rsidR="00EF0F3D" w:rsidRPr="00FC64BF">
              <w:rPr>
                <w:rFonts w:cs="Times New Roman"/>
                <w:sz w:val="20"/>
                <w:szCs w:val="18"/>
              </w:rPr>
              <w:t xml:space="preserve"> </w:t>
            </w:r>
            <w:r w:rsidRPr="00FC64BF">
              <w:rPr>
                <w:rFonts w:cs="Times New Roman"/>
                <w:sz w:val="20"/>
                <w:szCs w:val="18"/>
              </w:rPr>
              <w:t>skupa</w:t>
            </w:r>
          </w:p>
        </w:tc>
        <w:tc>
          <w:tcPr>
            <w:tcW w:w="1330" w:type="pct"/>
            <w:vAlign w:val="center"/>
          </w:tcPr>
          <w:p w14:paraId="297380AF" w14:textId="7E724736" w:rsidR="0016100B" w:rsidRPr="00FC64BF" w:rsidRDefault="00400B84" w:rsidP="000A4DFE">
            <w:pPr>
              <w:spacing w:line="276" w:lineRule="auto"/>
              <w:jc w:val="center"/>
              <w:rPr>
                <w:rFonts w:cs="Times New Roman"/>
                <w:sz w:val="20"/>
                <w:szCs w:val="18"/>
              </w:rPr>
            </w:pPr>
            <w:r w:rsidRPr="00FC64BF">
              <w:rPr>
                <w:rFonts w:cs="Times New Roman"/>
                <w:sz w:val="20"/>
                <w:szCs w:val="18"/>
              </w:rPr>
              <w:t>43</w:t>
            </w:r>
            <w:r w:rsidR="00CF1294" w:rsidRPr="00FC64BF">
              <w:rPr>
                <w:rFonts w:cs="Times New Roman"/>
                <w:sz w:val="20"/>
                <w:szCs w:val="18"/>
              </w:rPr>
              <w:t xml:space="preserve"> sudionika ukupno</w:t>
            </w:r>
            <w:r w:rsidR="0016100B" w:rsidRPr="00FC64BF">
              <w:rPr>
                <w:rFonts w:cs="Times New Roman"/>
                <w:sz w:val="20"/>
                <w:szCs w:val="18"/>
              </w:rPr>
              <w:t xml:space="preserve"> </w:t>
            </w:r>
          </w:p>
        </w:tc>
        <w:tc>
          <w:tcPr>
            <w:tcW w:w="779" w:type="pct"/>
            <w:vAlign w:val="center"/>
          </w:tcPr>
          <w:p w14:paraId="4F1C88EC" w14:textId="77777777" w:rsidR="00EF0F3D" w:rsidRPr="00FC64BF" w:rsidRDefault="00EF0F3D" w:rsidP="00D36147">
            <w:pPr>
              <w:spacing w:line="276" w:lineRule="auto"/>
              <w:jc w:val="center"/>
              <w:rPr>
                <w:rFonts w:cs="Times New Roman"/>
                <w:sz w:val="20"/>
                <w:szCs w:val="18"/>
              </w:rPr>
            </w:pPr>
          </w:p>
        </w:tc>
      </w:tr>
      <w:tr w:rsidR="00CE622A" w:rsidRPr="00CE622A" w14:paraId="5C1C77F9" w14:textId="77777777" w:rsidTr="002A04BF">
        <w:tc>
          <w:tcPr>
            <w:tcW w:w="1327" w:type="pct"/>
            <w:shd w:val="clear" w:color="auto" w:fill="F2F2F2" w:themeFill="background1" w:themeFillShade="F2"/>
            <w:vAlign w:val="center"/>
          </w:tcPr>
          <w:p w14:paraId="4BADA468" w14:textId="77777777" w:rsidR="00EF0F3D" w:rsidRPr="00FC64BF" w:rsidRDefault="00EF0F3D" w:rsidP="004A3B23">
            <w:pPr>
              <w:spacing w:line="276" w:lineRule="auto"/>
              <w:rPr>
                <w:rFonts w:cs="Times New Roman"/>
                <w:b/>
                <w:sz w:val="20"/>
                <w:szCs w:val="18"/>
              </w:rPr>
            </w:pPr>
            <w:r w:rsidRPr="00FC64BF">
              <w:rPr>
                <w:rFonts w:cs="Times New Roman"/>
                <w:b/>
                <w:sz w:val="20"/>
                <w:szCs w:val="18"/>
              </w:rPr>
              <w:t xml:space="preserve">IZVORI FINANCIRANJA </w:t>
            </w:r>
          </w:p>
        </w:tc>
        <w:tc>
          <w:tcPr>
            <w:tcW w:w="1564" w:type="pct"/>
            <w:vAlign w:val="center"/>
          </w:tcPr>
          <w:p w14:paraId="5F891048"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Državni proračun (EUR)</w:t>
            </w:r>
          </w:p>
        </w:tc>
        <w:tc>
          <w:tcPr>
            <w:tcW w:w="1330" w:type="pct"/>
            <w:vAlign w:val="center"/>
          </w:tcPr>
          <w:p w14:paraId="28428694"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EU financiranje (EUR)</w:t>
            </w:r>
          </w:p>
        </w:tc>
        <w:tc>
          <w:tcPr>
            <w:tcW w:w="779" w:type="pct"/>
            <w:vAlign w:val="center"/>
          </w:tcPr>
          <w:p w14:paraId="1B31AF3D"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CE622A" w14:paraId="50645AE3" w14:textId="77777777" w:rsidTr="002A04BF">
        <w:tc>
          <w:tcPr>
            <w:tcW w:w="1327" w:type="pct"/>
            <w:shd w:val="clear" w:color="auto" w:fill="F2F2F2" w:themeFill="background1" w:themeFillShade="F2"/>
            <w:vAlign w:val="center"/>
          </w:tcPr>
          <w:p w14:paraId="4B3369DE" w14:textId="2F670F63" w:rsidR="00EF0F3D" w:rsidRPr="00FC64BF" w:rsidRDefault="00EF0F3D" w:rsidP="0061594B">
            <w:pPr>
              <w:spacing w:line="276" w:lineRule="auto"/>
              <w:rPr>
                <w:rFonts w:cs="Times New Roman"/>
                <w:sz w:val="20"/>
                <w:szCs w:val="18"/>
              </w:rPr>
            </w:pPr>
            <w:r w:rsidRPr="00FC64BF">
              <w:rPr>
                <w:rFonts w:cs="Times New Roman"/>
                <w:sz w:val="20"/>
                <w:szCs w:val="18"/>
              </w:rPr>
              <w:lastRenderedPageBreak/>
              <w:t>Izvori financiranja u 202</w:t>
            </w:r>
            <w:r w:rsidR="009D781B" w:rsidRPr="00FC64BF">
              <w:rPr>
                <w:rFonts w:cs="Times New Roman"/>
                <w:sz w:val="20"/>
                <w:szCs w:val="18"/>
              </w:rPr>
              <w:t>4</w:t>
            </w:r>
            <w:r w:rsidRPr="00FC64BF">
              <w:rPr>
                <w:rFonts w:cs="Times New Roman"/>
                <w:sz w:val="20"/>
                <w:szCs w:val="18"/>
              </w:rPr>
              <w:t>. (proračunska pozicija i predviđeni iznos sredstava)</w:t>
            </w:r>
          </w:p>
        </w:tc>
        <w:tc>
          <w:tcPr>
            <w:tcW w:w="1564" w:type="pct"/>
            <w:vAlign w:val="center"/>
          </w:tcPr>
          <w:p w14:paraId="36DEE741" w14:textId="1718B88D" w:rsidR="00EF0F3D" w:rsidRPr="00FC64BF" w:rsidRDefault="00EF0F3D" w:rsidP="00D36147">
            <w:pPr>
              <w:spacing w:line="276" w:lineRule="auto"/>
              <w:jc w:val="center"/>
              <w:rPr>
                <w:rFonts w:cs="Times New Roman"/>
                <w:sz w:val="20"/>
                <w:szCs w:val="18"/>
              </w:rPr>
            </w:pPr>
            <w:r w:rsidRPr="00FC64BF">
              <w:rPr>
                <w:rFonts w:cs="Times New Roman"/>
                <w:sz w:val="20"/>
                <w:szCs w:val="18"/>
              </w:rPr>
              <w:t>A767022 - Stručno</w:t>
            </w:r>
            <w:r w:rsidR="00447EFE" w:rsidRPr="00FC64BF">
              <w:rPr>
                <w:rFonts w:cs="Times New Roman"/>
                <w:sz w:val="20"/>
                <w:szCs w:val="18"/>
              </w:rPr>
              <w:t xml:space="preserve"> </w:t>
            </w:r>
            <w:r w:rsidRPr="00FC64BF">
              <w:rPr>
                <w:rFonts w:cs="Times New Roman"/>
                <w:sz w:val="20"/>
                <w:szCs w:val="18"/>
              </w:rPr>
              <w:t>usavršavanje odgojno</w:t>
            </w:r>
            <w:r w:rsidR="00CB4BE3" w:rsidRPr="00FC64BF">
              <w:rPr>
                <w:rFonts w:cs="Times New Roman"/>
                <w:sz w:val="20"/>
                <w:szCs w:val="18"/>
              </w:rPr>
              <w:t>-</w:t>
            </w:r>
            <w:r w:rsidRPr="00FC64BF">
              <w:rPr>
                <w:rFonts w:cs="Times New Roman"/>
                <w:sz w:val="20"/>
                <w:szCs w:val="18"/>
              </w:rPr>
              <w:t>obrazovnih djelatnika u</w:t>
            </w:r>
            <w:r w:rsidR="00447EFE" w:rsidRPr="00FC64BF">
              <w:rPr>
                <w:rFonts w:cs="Times New Roman"/>
                <w:sz w:val="20"/>
                <w:szCs w:val="18"/>
              </w:rPr>
              <w:t xml:space="preserve"> </w:t>
            </w:r>
            <w:r w:rsidRPr="00FC64BF">
              <w:rPr>
                <w:rFonts w:cs="Times New Roman"/>
                <w:sz w:val="20"/>
                <w:szCs w:val="18"/>
              </w:rPr>
              <w:t>sustavu osnovnog i</w:t>
            </w:r>
            <w:r w:rsidR="00447EFE" w:rsidRPr="00FC64BF">
              <w:rPr>
                <w:rFonts w:cs="Times New Roman"/>
                <w:sz w:val="20"/>
                <w:szCs w:val="18"/>
              </w:rPr>
              <w:t xml:space="preserve"> </w:t>
            </w:r>
            <w:r w:rsidRPr="00FC64BF">
              <w:rPr>
                <w:rFonts w:cs="Times New Roman"/>
                <w:sz w:val="20"/>
                <w:szCs w:val="18"/>
              </w:rPr>
              <w:t>srednjeg školstva</w:t>
            </w:r>
          </w:p>
          <w:p w14:paraId="205A7DA9" w14:textId="021FAE08" w:rsidR="00EF0F3D" w:rsidRPr="00FC64BF" w:rsidRDefault="00EF0F3D" w:rsidP="00D36147">
            <w:pPr>
              <w:spacing w:line="276" w:lineRule="auto"/>
              <w:jc w:val="center"/>
              <w:rPr>
                <w:rFonts w:cs="Times New Roman"/>
                <w:sz w:val="20"/>
                <w:szCs w:val="18"/>
              </w:rPr>
            </w:pPr>
            <w:r w:rsidRPr="00FC64BF">
              <w:rPr>
                <w:rFonts w:cs="Times New Roman"/>
                <w:sz w:val="20"/>
                <w:szCs w:val="18"/>
              </w:rPr>
              <w:t>500,00</w:t>
            </w:r>
          </w:p>
        </w:tc>
        <w:tc>
          <w:tcPr>
            <w:tcW w:w="1330" w:type="pct"/>
            <w:vAlign w:val="center"/>
          </w:tcPr>
          <w:p w14:paraId="4A937617" w14:textId="77777777" w:rsidR="00EF0F3D" w:rsidRPr="00FC64BF" w:rsidRDefault="00EF0F3D" w:rsidP="00D36147">
            <w:pPr>
              <w:spacing w:line="276" w:lineRule="auto"/>
              <w:jc w:val="center"/>
              <w:rPr>
                <w:rFonts w:cs="Times New Roman"/>
                <w:sz w:val="20"/>
                <w:szCs w:val="18"/>
              </w:rPr>
            </w:pPr>
            <w:r w:rsidRPr="00FC64BF">
              <w:rPr>
                <w:rFonts w:cs="Times New Roman"/>
                <w:sz w:val="20"/>
                <w:szCs w:val="18"/>
              </w:rPr>
              <w:t>0,00</w:t>
            </w:r>
          </w:p>
        </w:tc>
        <w:tc>
          <w:tcPr>
            <w:tcW w:w="779" w:type="pct"/>
            <w:vAlign w:val="center"/>
          </w:tcPr>
          <w:p w14:paraId="162624F4" w14:textId="77777777" w:rsidR="00EF0F3D" w:rsidRPr="00FC64BF" w:rsidRDefault="00EF0F3D" w:rsidP="00D36147">
            <w:pPr>
              <w:spacing w:line="276" w:lineRule="auto"/>
              <w:jc w:val="center"/>
              <w:rPr>
                <w:rFonts w:cs="Times New Roman"/>
                <w:sz w:val="20"/>
                <w:szCs w:val="18"/>
              </w:rPr>
            </w:pPr>
            <w:r w:rsidRPr="00FC64BF">
              <w:rPr>
                <w:rFonts w:cs="Times New Roman"/>
                <w:sz w:val="20"/>
                <w:szCs w:val="18"/>
              </w:rPr>
              <w:t xml:space="preserve">0,00 </w:t>
            </w:r>
          </w:p>
        </w:tc>
      </w:tr>
      <w:tr w:rsidR="00CE622A" w:rsidRPr="00CE622A" w14:paraId="74233C50" w14:textId="77777777" w:rsidTr="002A04BF">
        <w:tc>
          <w:tcPr>
            <w:tcW w:w="1327" w:type="pct"/>
            <w:vMerge w:val="restart"/>
            <w:shd w:val="clear" w:color="auto" w:fill="F2F2F2" w:themeFill="background1" w:themeFillShade="F2"/>
            <w:vAlign w:val="center"/>
          </w:tcPr>
          <w:p w14:paraId="34FFA3C9" w14:textId="77777777" w:rsidR="00EF0F3D" w:rsidRPr="00FC64BF" w:rsidRDefault="00EF0F3D" w:rsidP="004A3B23">
            <w:pPr>
              <w:spacing w:line="276" w:lineRule="auto"/>
              <w:rPr>
                <w:rFonts w:cs="Times New Roman"/>
                <w:b/>
                <w:sz w:val="20"/>
                <w:szCs w:val="18"/>
              </w:rPr>
            </w:pPr>
            <w:r w:rsidRPr="00FC64BF">
              <w:rPr>
                <w:rFonts w:cs="Times New Roman"/>
                <w:b/>
                <w:sz w:val="20"/>
                <w:szCs w:val="18"/>
              </w:rPr>
              <w:t xml:space="preserve">UKUPNO UTROŠENA SREDSTVA PO IZVORU </w:t>
            </w:r>
          </w:p>
        </w:tc>
        <w:tc>
          <w:tcPr>
            <w:tcW w:w="1564" w:type="pct"/>
            <w:vAlign w:val="center"/>
          </w:tcPr>
          <w:p w14:paraId="4E3B3062"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Državni proračun (EUR)</w:t>
            </w:r>
          </w:p>
        </w:tc>
        <w:tc>
          <w:tcPr>
            <w:tcW w:w="1330" w:type="pct"/>
            <w:vAlign w:val="center"/>
          </w:tcPr>
          <w:p w14:paraId="4FBBFBB0"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EU financiranje (EUR)</w:t>
            </w:r>
          </w:p>
        </w:tc>
        <w:tc>
          <w:tcPr>
            <w:tcW w:w="779" w:type="pct"/>
            <w:vAlign w:val="center"/>
          </w:tcPr>
          <w:p w14:paraId="79B371D7" w14:textId="77777777" w:rsidR="00EF0F3D" w:rsidRPr="00FC64BF" w:rsidRDefault="00EF0F3D" w:rsidP="00D36147">
            <w:pPr>
              <w:spacing w:line="276" w:lineRule="auto"/>
              <w:jc w:val="center"/>
              <w:rPr>
                <w:rFonts w:cs="Times New Roman"/>
                <w:b/>
                <w:sz w:val="20"/>
                <w:szCs w:val="18"/>
              </w:rPr>
            </w:pPr>
            <w:r w:rsidRPr="00FC64BF">
              <w:rPr>
                <w:rFonts w:cs="Times New Roman"/>
                <w:b/>
                <w:sz w:val="20"/>
                <w:szCs w:val="18"/>
              </w:rPr>
              <w:t>Drugi izvori (EUR)</w:t>
            </w:r>
          </w:p>
        </w:tc>
      </w:tr>
      <w:tr w:rsidR="00CE622A" w:rsidRPr="00CE622A" w14:paraId="0D98EDF2" w14:textId="77777777" w:rsidTr="002A04BF">
        <w:tc>
          <w:tcPr>
            <w:tcW w:w="1327" w:type="pct"/>
            <w:vMerge/>
            <w:shd w:val="clear" w:color="auto" w:fill="F2F2F2" w:themeFill="background1" w:themeFillShade="F2"/>
            <w:vAlign w:val="center"/>
          </w:tcPr>
          <w:p w14:paraId="06CDC8F8" w14:textId="77777777" w:rsidR="00EF0F3D" w:rsidRPr="00FC64BF" w:rsidRDefault="00EF0F3D" w:rsidP="00D36147">
            <w:pPr>
              <w:spacing w:line="276" w:lineRule="auto"/>
              <w:rPr>
                <w:rFonts w:cs="Times New Roman"/>
                <w:b/>
                <w:sz w:val="20"/>
                <w:szCs w:val="18"/>
              </w:rPr>
            </w:pPr>
          </w:p>
        </w:tc>
        <w:tc>
          <w:tcPr>
            <w:tcW w:w="1564" w:type="pct"/>
            <w:vAlign w:val="center"/>
          </w:tcPr>
          <w:p w14:paraId="43CD3CE8" w14:textId="1C806ECB" w:rsidR="00EF0F3D" w:rsidRPr="00FC64BF" w:rsidRDefault="00EF0F3D" w:rsidP="00D36147">
            <w:pPr>
              <w:spacing w:line="276" w:lineRule="auto"/>
              <w:jc w:val="center"/>
              <w:rPr>
                <w:rFonts w:cs="Times New Roman"/>
                <w:sz w:val="20"/>
                <w:szCs w:val="18"/>
              </w:rPr>
            </w:pPr>
            <w:r w:rsidRPr="00FC64BF">
              <w:rPr>
                <w:rFonts w:cs="Times New Roman"/>
                <w:sz w:val="20"/>
                <w:szCs w:val="18"/>
              </w:rPr>
              <w:t>A767022</w:t>
            </w:r>
            <w:r w:rsidR="009D781B">
              <w:rPr>
                <w:rFonts w:cs="Times New Roman"/>
                <w:sz w:val="20"/>
                <w:szCs w:val="18"/>
              </w:rPr>
              <w:t>, izvor 11</w:t>
            </w:r>
            <w:r w:rsidRPr="00FC64BF">
              <w:rPr>
                <w:rFonts w:cs="Times New Roman"/>
                <w:sz w:val="20"/>
                <w:szCs w:val="18"/>
              </w:rPr>
              <w:t xml:space="preserve"> - Stručno</w:t>
            </w:r>
            <w:r w:rsidR="00447EFE" w:rsidRPr="00FC64BF">
              <w:rPr>
                <w:rFonts w:cs="Times New Roman"/>
                <w:sz w:val="20"/>
                <w:szCs w:val="18"/>
              </w:rPr>
              <w:t xml:space="preserve"> </w:t>
            </w:r>
            <w:r w:rsidRPr="00FC64BF">
              <w:rPr>
                <w:rFonts w:cs="Times New Roman"/>
                <w:sz w:val="20"/>
                <w:szCs w:val="18"/>
              </w:rPr>
              <w:t>usavršavanje odgojno</w:t>
            </w:r>
            <w:r w:rsidR="00CB4BE3" w:rsidRPr="00FC64BF">
              <w:rPr>
                <w:rFonts w:cs="Times New Roman"/>
                <w:sz w:val="20"/>
                <w:szCs w:val="18"/>
              </w:rPr>
              <w:t>-</w:t>
            </w:r>
            <w:r w:rsidRPr="00FC64BF">
              <w:rPr>
                <w:rFonts w:cs="Times New Roman"/>
                <w:sz w:val="20"/>
                <w:szCs w:val="18"/>
              </w:rPr>
              <w:t>obrazovnih djelatnika u</w:t>
            </w:r>
            <w:r w:rsidR="00447EFE" w:rsidRPr="00FC64BF">
              <w:rPr>
                <w:rFonts w:cs="Times New Roman"/>
                <w:sz w:val="20"/>
                <w:szCs w:val="18"/>
              </w:rPr>
              <w:t xml:space="preserve"> </w:t>
            </w:r>
            <w:r w:rsidRPr="00FC64BF">
              <w:rPr>
                <w:rFonts w:cs="Times New Roman"/>
                <w:sz w:val="20"/>
                <w:szCs w:val="18"/>
              </w:rPr>
              <w:t>sustavu osnovnog i</w:t>
            </w:r>
            <w:r w:rsidR="00447EFE" w:rsidRPr="00FC64BF">
              <w:rPr>
                <w:rFonts w:cs="Times New Roman"/>
                <w:sz w:val="20"/>
                <w:szCs w:val="18"/>
              </w:rPr>
              <w:t xml:space="preserve"> </w:t>
            </w:r>
            <w:r w:rsidRPr="00FC64BF">
              <w:rPr>
                <w:rFonts w:cs="Times New Roman"/>
                <w:sz w:val="20"/>
                <w:szCs w:val="18"/>
              </w:rPr>
              <w:t>srednjeg školstva</w:t>
            </w:r>
          </w:p>
          <w:p w14:paraId="1FA387F8" w14:textId="2F95C45E" w:rsidR="00EF0F3D" w:rsidRPr="00FC64BF" w:rsidRDefault="00400B84" w:rsidP="000A4DFE">
            <w:pPr>
              <w:spacing w:line="276" w:lineRule="auto"/>
              <w:jc w:val="center"/>
              <w:rPr>
                <w:rFonts w:cs="Times New Roman"/>
                <w:b/>
                <w:sz w:val="20"/>
                <w:szCs w:val="18"/>
              </w:rPr>
            </w:pPr>
            <w:r w:rsidRPr="00FC64BF">
              <w:rPr>
                <w:rFonts w:cs="Times New Roman"/>
                <w:b/>
                <w:sz w:val="20"/>
                <w:szCs w:val="18"/>
              </w:rPr>
              <w:t>638,78</w:t>
            </w:r>
          </w:p>
        </w:tc>
        <w:tc>
          <w:tcPr>
            <w:tcW w:w="1330" w:type="pct"/>
            <w:vAlign w:val="center"/>
          </w:tcPr>
          <w:p w14:paraId="5FA3FF92" w14:textId="71090B6E" w:rsidR="00EF0F3D" w:rsidRPr="00FC64BF" w:rsidRDefault="004F3989" w:rsidP="00D36147">
            <w:pPr>
              <w:spacing w:line="276" w:lineRule="auto"/>
              <w:jc w:val="center"/>
              <w:rPr>
                <w:rFonts w:cs="Times New Roman"/>
                <w:bCs/>
                <w:sz w:val="20"/>
                <w:szCs w:val="18"/>
              </w:rPr>
            </w:pPr>
            <w:r w:rsidRPr="00FC64BF">
              <w:rPr>
                <w:rFonts w:cs="Times New Roman"/>
                <w:bCs/>
                <w:sz w:val="20"/>
                <w:szCs w:val="18"/>
              </w:rPr>
              <w:t>0,00</w:t>
            </w:r>
          </w:p>
        </w:tc>
        <w:tc>
          <w:tcPr>
            <w:tcW w:w="779" w:type="pct"/>
            <w:vAlign w:val="center"/>
          </w:tcPr>
          <w:p w14:paraId="31907302" w14:textId="77777777" w:rsidR="00EF0F3D" w:rsidRPr="00FC64BF" w:rsidRDefault="00EF0F3D" w:rsidP="00D36147">
            <w:pPr>
              <w:spacing w:line="276" w:lineRule="auto"/>
              <w:jc w:val="center"/>
              <w:rPr>
                <w:rFonts w:cs="Times New Roman"/>
                <w:bCs/>
                <w:sz w:val="20"/>
                <w:szCs w:val="18"/>
              </w:rPr>
            </w:pPr>
            <w:r w:rsidRPr="00FC64BF">
              <w:rPr>
                <w:rFonts w:cs="Times New Roman"/>
                <w:bCs/>
                <w:sz w:val="20"/>
                <w:szCs w:val="18"/>
              </w:rPr>
              <w:t xml:space="preserve">0,00 </w:t>
            </w:r>
          </w:p>
        </w:tc>
      </w:tr>
      <w:tr w:rsidR="00CE622A" w:rsidRPr="00CE622A" w14:paraId="3EC3B872" w14:textId="77777777" w:rsidTr="00030B65">
        <w:tc>
          <w:tcPr>
            <w:tcW w:w="1327" w:type="pct"/>
            <w:shd w:val="clear" w:color="auto" w:fill="F2F2F2" w:themeFill="background1" w:themeFillShade="F2"/>
            <w:vAlign w:val="center"/>
          </w:tcPr>
          <w:p w14:paraId="3EED04B4" w14:textId="031AE637" w:rsidR="00EF0F3D" w:rsidRPr="00FC64BF" w:rsidRDefault="00EF0F3D" w:rsidP="004A3B23">
            <w:pPr>
              <w:spacing w:line="276" w:lineRule="auto"/>
              <w:rPr>
                <w:rFonts w:cs="Times New Roman"/>
                <w:sz w:val="20"/>
                <w:szCs w:val="18"/>
              </w:rPr>
            </w:pPr>
            <w:r w:rsidRPr="00FC64BF">
              <w:rPr>
                <w:rFonts w:cs="Times New Roman"/>
                <w:sz w:val="20"/>
                <w:szCs w:val="18"/>
              </w:rPr>
              <w:t xml:space="preserve">ROK PROVEDBE </w:t>
            </w:r>
            <w:r w:rsidR="009D5A15" w:rsidRPr="00FC64BF">
              <w:rPr>
                <w:rFonts w:cs="Times New Roman"/>
                <w:sz w:val="20"/>
                <w:szCs w:val="18"/>
              </w:rPr>
              <w:t>A</w:t>
            </w:r>
            <w:r w:rsidRPr="00FC64BF">
              <w:rPr>
                <w:rFonts w:cs="Times New Roman"/>
                <w:sz w:val="20"/>
                <w:szCs w:val="18"/>
              </w:rPr>
              <w:t>KTIVNOSTI</w:t>
            </w:r>
          </w:p>
        </w:tc>
        <w:tc>
          <w:tcPr>
            <w:tcW w:w="3673" w:type="pct"/>
            <w:gridSpan w:val="3"/>
            <w:vAlign w:val="center"/>
          </w:tcPr>
          <w:p w14:paraId="25DA322D" w14:textId="77777777" w:rsidR="00EF0F3D" w:rsidRPr="00FC64BF" w:rsidRDefault="00EF0F3D" w:rsidP="00D36147">
            <w:pPr>
              <w:spacing w:line="276" w:lineRule="auto"/>
              <w:rPr>
                <w:rFonts w:cs="Times New Roman"/>
                <w:sz w:val="20"/>
                <w:szCs w:val="18"/>
              </w:rPr>
            </w:pPr>
            <w:r w:rsidRPr="00FC64BF">
              <w:rPr>
                <w:rFonts w:cs="Times New Roman"/>
                <w:sz w:val="20"/>
                <w:szCs w:val="18"/>
              </w:rPr>
              <w:t xml:space="preserve">IV. kvartal 2025. </w:t>
            </w:r>
          </w:p>
        </w:tc>
      </w:tr>
      <w:bookmarkEnd w:id="40"/>
    </w:tbl>
    <w:p w14:paraId="210D9300" w14:textId="77777777" w:rsidR="00E63507" w:rsidRDefault="00E63507" w:rsidP="00D36147">
      <w:pPr>
        <w:spacing w:after="0" w:line="276" w:lineRule="auto"/>
        <w:jc w:val="both"/>
        <w:rPr>
          <w:rFonts w:cs="Times New Roman"/>
          <w:i/>
        </w:rPr>
      </w:pPr>
    </w:p>
    <w:p w14:paraId="5B102B25" w14:textId="77777777" w:rsidR="003379F1" w:rsidRPr="00582979" w:rsidRDefault="003379F1" w:rsidP="00D36147">
      <w:pPr>
        <w:spacing w:after="0" w:line="276" w:lineRule="auto"/>
        <w:jc w:val="both"/>
        <w:rPr>
          <w:rFonts w:cs="Times New Roman"/>
          <w:i/>
        </w:rPr>
      </w:pPr>
    </w:p>
    <w:p w14:paraId="7FE73B28" w14:textId="19B9AA93" w:rsidR="003B4009" w:rsidRPr="00FC64BF" w:rsidRDefault="006207AE" w:rsidP="00D36147">
      <w:pPr>
        <w:spacing w:after="0" w:line="276" w:lineRule="auto"/>
        <w:jc w:val="both"/>
        <w:rPr>
          <w:rFonts w:cs="Times New Roman"/>
          <w:bCs/>
          <w:i/>
        </w:rPr>
      </w:pPr>
      <w:r w:rsidRPr="00FC64BF">
        <w:rPr>
          <w:rFonts w:cs="Times New Roman"/>
          <w:i/>
        </w:rPr>
        <w:t xml:space="preserve">Aktivnost </w:t>
      </w:r>
      <w:r w:rsidRPr="00FC64BF">
        <w:rPr>
          <w:rFonts w:cs="Times New Roman"/>
          <w:bCs/>
          <w:i/>
        </w:rPr>
        <w:t>4.3.8. Izdavanje suglasnosti školama za ustroj nastave za provedbu nastavnog predmeta Jezik i kultura romske nacionalne manjine (model C) i zapošljavanje učitelja i nastavnika u nastavi na jeziku i pismu nacionalnih manjina</w:t>
      </w:r>
    </w:p>
    <w:p w14:paraId="42564AC2" w14:textId="1F9B24F7" w:rsidR="006207AE" w:rsidRPr="00FC64BF" w:rsidRDefault="006207AE" w:rsidP="00D36147">
      <w:pPr>
        <w:spacing w:after="0" w:line="276" w:lineRule="auto"/>
        <w:jc w:val="both"/>
        <w:rPr>
          <w:rFonts w:cs="Times New Roman"/>
          <w:bCs/>
          <w:i/>
          <w:iCs/>
        </w:rPr>
      </w:pPr>
      <w:r w:rsidRPr="00FC64BF">
        <w:rPr>
          <w:rFonts w:cs="Times New Roman"/>
          <w:bCs/>
          <w:i/>
          <w:iCs/>
        </w:rPr>
        <w:t xml:space="preserve">Nositelj provedbe: </w:t>
      </w:r>
      <w:r w:rsidR="00F36CF1">
        <w:rPr>
          <w:rFonts w:cs="Times New Roman"/>
          <w:bCs/>
          <w:i/>
          <w:iCs/>
        </w:rPr>
        <w:t>Ministarstvo znanosti, obrazovanja i mladih</w:t>
      </w:r>
      <w:r w:rsidRPr="00FC64BF">
        <w:rPr>
          <w:rFonts w:cs="Times New Roman"/>
          <w:bCs/>
          <w:i/>
          <w:iCs/>
        </w:rPr>
        <w:t xml:space="preserve"> </w:t>
      </w:r>
    </w:p>
    <w:p w14:paraId="1F3AF743" w14:textId="690ED34B" w:rsidR="00A9087D" w:rsidRPr="00582979" w:rsidRDefault="006207AE" w:rsidP="00582979">
      <w:pPr>
        <w:spacing w:after="0" w:line="276" w:lineRule="auto"/>
        <w:jc w:val="both"/>
        <w:rPr>
          <w:rFonts w:cs="Times New Roman"/>
          <w:szCs w:val="24"/>
        </w:rPr>
      </w:pPr>
      <w:r w:rsidRPr="00FC64BF">
        <w:rPr>
          <w:rFonts w:cs="Times New Roman"/>
          <w:bCs/>
          <w:i/>
          <w:iCs/>
        </w:rPr>
        <w:t xml:space="preserve">Partneri: </w:t>
      </w:r>
      <w:r w:rsidR="00026107">
        <w:rPr>
          <w:rFonts w:cs="Times New Roman"/>
          <w:bCs/>
          <w:i/>
          <w:iCs/>
        </w:rPr>
        <w:t>JLP(R)S</w:t>
      </w:r>
      <w:r w:rsidR="00923690" w:rsidRPr="00FC64BF">
        <w:rPr>
          <w:rFonts w:cs="Times New Roman"/>
          <w:bCs/>
          <w:i/>
          <w:iCs/>
        </w:rPr>
        <w:t>, Upravni odjeli za obrazovanje u županijama, Gradski ured za obrazovanje Grada Zagreba, odgojno</w:t>
      </w:r>
      <w:r w:rsidR="00245643" w:rsidRPr="00FC64BF">
        <w:rPr>
          <w:rFonts w:cs="Times New Roman"/>
          <w:bCs/>
          <w:i/>
          <w:iCs/>
        </w:rPr>
        <w:t>-</w:t>
      </w:r>
      <w:r w:rsidR="00923690" w:rsidRPr="00FC64BF">
        <w:rPr>
          <w:rFonts w:cs="Times New Roman"/>
          <w:bCs/>
          <w:i/>
          <w:iCs/>
        </w:rPr>
        <w:t>obrazovne ustanove</w:t>
      </w:r>
      <w:r w:rsidR="00923690" w:rsidRPr="00582979">
        <w:rPr>
          <w:rFonts w:cs="Times New Roman"/>
          <w:bCs/>
          <w:i/>
          <w:iCs/>
        </w:rPr>
        <w:cr/>
      </w:r>
    </w:p>
    <w:p w14:paraId="207506C7" w14:textId="5886C05B" w:rsidR="00366D41" w:rsidRPr="00366D41" w:rsidRDefault="00366D41" w:rsidP="00C20057">
      <w:pPr>
        <w:shd w:val="clear" w:color="auto" w:fill="FFFFFF"/>
        <w:spacing w:line="233" w:lineRule="atLeast"/>
        <w:jc w:val="both"/>
        <w:rPr>
          <w:rFonts w:eastAsia="Times New Roman" w:cs="Times New Roman"/>
          <w:szCs w:val="24"/>
          <w:lang w:eastAsia="hr-HR"/>
        </w:rPr>
      </w:pPr>
      <w:r w:rsidRPr="00366D41">
        <w:rPr>
          <w:rFonts w:eastAsia="Times New Roman" w:cs="Times New Roman"/>
          <w:szCs w:val="24"/>
          <w:lang w:eastAsia="hr-HR"/>
        </w:rPr>
        <w:t>U travnju 2020. godine Ministarstvo znanosti i obrazovanja donijelo je kurikulum za nastavni predmet</w:t>
      </w:r>
      <w:r w:rsidR="00C20057">
        <w:rPr>
          <w:rFonts w:eastAsia="Times New Roman" w:cs="Times New Roman"/>
          <w:szCs w:val="24"/>
          <w:lang w:eastAsia="hr-HR"/>
        </w:rPr>
        <w:t xml:space="preserve"> </w:t>
      </w:r>
      <w:r w:rsidRPr="00366D41">
        <w:rPr>
          <w:rFonts w:eastAsia="Times New Roman" w:cs="Times New Roman"/>
          <w:i/>
          <w:iCs/>
          <w:szCs w:val="24"/>
          <w:lang w:eastAsia="hr-HR"/>
        </w:rPr>
        <w:t>Jezik i kultura romske nacionalne manjine</w:t>
      </w:r>
      <w:r w:rsidR="00C20057">
        <w:rPr>
          <w:rFonts w:eastAsia="Times New Roman" w:cs="Times New Roman"/>
          <w:i/>
          <w:iCs/>
          <w:szCs w:val="24"/>
          <w:lang w:eastAsia="hr-HR"/>
        </w:rPr>
        <w:t xml:space="preserve"> </w:t>
      </w:r>
      <w:r w:rsidRPr="00366D41">
        <w:rPr>
          <w:rFonts w:eastAsia="Times New Roman" w:cs="Times New Roman"/>
          <w:szCs w:val="24"/>
          <w:lang w:eastAsia="hr-HR"/>
        </w:rPr>
        <w:t>(model C). Time je po prvi put omogućeno sustavno učenje materinskog jezika za pripadnike romske nacionalne manjine u osnovnoškolskom obrazovanju, čime je učinjen značajan iskorak u očuvanju jezika, tradicije i kulture romske zajednice.</w:t>
      </w:r>
    </w:p>
    <w:p w14:paraId="4491D03E" w14:textId="77777777" w:rsidR="00366D41" w:rsidRPr="00366D41" w:rsidRDefault="00366D41" w:rsidP="00C20057">
      <w:pPr>
        <w:shd w:val="clear" w:color="auto" w:fill="FFFFFF"/>
        <w:spacing w:line="233" w:lineRule="atLeast"/>
        <w:jc w:val="both"/>
        <w:rPr>
          <w:rFonts w:eastAsia="Times New Roman" w:cs="Times New Roman"/>
          <w:szCs w:val="24"/>
          <w:lang w:eastAsia="hr-HR"/>
        </w:rPr>
      </w:pPr>
      <w:r w:rsidRPr="00366D41">
        <w:rPr>
          <w:rFonts w:eastAsia="Times New Roman" w:cs="Times New Roman"/>
          <w:szCs w:val="24"/>
          <w:lang w:eastAsia="hr-HR"/>
        </w:rPr>
        <w:t>Aktivnost obuhvaća izdavanje suglasnosti školama za ustroj nastave i zapošljavanje učitelja/nastavnika za provedbu kurikuluma. Cilj je pratiti provedbu i poticati uključivanje što većeg broja učenika u ovaj predmet.</w:t>
      </w:r>
    </w:p>
    <w:p w14:paraId="28EEAD19" w14:textId="77777777" w:rsidR="00366D41" w:rsidRPr="00366D41" w:rsidRDefault="00366D41" w:rsidP="00C20057">
      <w:pPr>
        <w:shd w:val="clear" w:color="auto" w:fill="FFFFFF"/>
        <w:spacing w:line="233" w:lineRule="atLeast"/>
        <w:jc w:val="both"/>
        <w:rPr>
          <w:rFonts w:eastAsia="Times New Roman" w:cs="Times New Roman"/>
          <w:szCs w:val="24"/>
          <w:lang w:eastAsia="hr-HR"/>
        </w:rPr>
      </w:pPr>
      <w:r w:rsidRPr="00366D41">
        <w:rPr>
          <w:rFonts w:eastAsia="Times New Roman" w:cs="Times New Roman"/>
          <w:szCs w:val="24"/>
          <w:lang w:eastAsia="hr-HR"/>
        </w:rPr>
        <w:t>U 2024. godini Ministarstvo znanosti, obrazovanja i mladih nije zaprimilo zahtjeve škola za ustroj nastave niti za zapošljavanje djelatnika za ovaj predmet.</w:t>
      </w:r>
    </w:p>
    <w:p w14:paraId="169B9261" w14:textId="77777777" w:rsidR="0065755F" w:rsidRPr="00FC64BF" w:rsidRDefault="0065755F"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2469"/>
        <w:gridCol w:w="2472"/>
        <w:gridCol w:w="2198"/>
        <w:gridCol w:w="1923"/>
      </w:tblGrid>
      <w:tr w:rsidR="005834DC" w:rsidRPr="005834DC" w14:paraId="7B78CBBF" w14:textId="77777777" w:rsidTr="00B66CD2">
        <w:trPr>
          <w:trHeight w:val="606"/>
        </w:trPr>
        <w:tc>
          <w:tcPr>
            <w:tcW w:w="1362" w:type="pct"/>
            <w:shd w:val="clear" w:color="auto" w:fill="F2F2F2" w:themeFill="background1" w:themeFillShade="F2"/>
            <w:vAlign w:val="center"/>
          </w:tcPr>
          <w:p w14:paraId="71D61456" w14:textId="5C76BF11" w:rsidR="00B277BF" w:rsidRPr="00FC64BF" w:rsidRDefault="007E61F3" w:rsidP="00D36147">
            <w:pPr>
              <w:spacing w:line="276" w:lineRule="auto"/>
              <w:rPr>
                <w:rFonts w:cs="Times New Roman"/>
                <w:b/>
                <w:sz w:val="20"/>
                <w:szCs w:val="20"/>
              </w:rPr>
            </w:pPr>
            <w:r w:rsidRPr="00FC64BF">
              <w:rPr>
                <w:rFonts w:cs="Times New Roman"/>
                <w:b/>
                <w:sz w:val="20"/>
                <w:szCs w:val="20"/>
              </w:rPr>
              <w:t>Pokazatelji provedbe i pokazatelji uspješnosti provedbe</w:t>
            </w:r>
          </w:p>
        </w:tc>
        <w:tc>
          <w:tcPr>
            <w:tcW w:w="1364" w:type="pct"/>
            <w:shd w:val="clear" w:color="auto" w:fill="F2F2F2" w:themeFill="background1" w:themeFillShade="F2"/>
            <w:vAlign w:val="center"/>
          </w:tcPr>
          <w:p w14:paraId="3CD72DBD" w14:textId="6477DC6C" w:rsidR="00B277BF" w:rsidRPr="00FC64BF" w:rsidRDefault="000C5D71" w:rsidP="00447EFE">
            <w:pPr>
              <w:spacing w:line="276" w:lineRule="auto"/>
              <w:jc w:val="center"/>
              <w:rPr>
                <w:rFonts w:eastAsia="Calibri" w:cs="Times New Roman"/>
                <w:b/>
                <w:strike/>
                <w:sz w:val="20"/>
                <w:szCs w:val="20"/>
              </w:rPr>
            </w:pPr>
            <w:r w:rsidRPr="00FC64BF">
              <w:rPr>
                <w:rFonts w:eastAsia="Calibri" w:cs="Times New Roman"/>
                <w:b/>
                <w:sz w:val="20"/>
                <w:szCs w:val="20"/>
              </w:rPr>
              <w:t>Broj</w:t>
            </w:r>
            <w:r w:rsidR="00447EFE" w:rsidRPr="00FC64BF">
              <w:rPr>
                <w:rFonts w:eastAsia="Calibri" w:cs="Times New Roman"/>
                <w:b/>
                <w:sz w:val="20"/>
                <w:szCs w:val="20"/>
              </w:rPr>
              <w:t xml:space="preserve"> </w:t>
            </w:r>
            <w:r w:rsidRPr="00FC64BF">
              <w:rPr>
                <w:rFonts w:eastAsia="Calibri" w:cs="Times New Roman"/>
                <w:b/>
                <w:sz w:val="20"/>
                <w:szCs w:val="20"/>
              </w:rPr>
              <w:t>izdanih suglasnosti</w:t>
            </w:r>
          </w:p>
        </w:tc>
        <w:tc>
          <w:tcPr>
            <w:tcW w:w="1213" w:type="pct"/>
            <w:shd w:val="clear" w:color="auto" w:fill="F2F2F2" w:themeFill="background1" w:themeFillShade="F2"/>
            <w:vAlign w:val="center"/>
          </w:tcPr>
          <w:p w14:paraId="2602874D" w14:textId="49D5506A" w:rsidR="00B277BF" w:rsidRPr="00FC64BF" w:rsidRDefault="000C5D71" w:rsidP="00447EFE">
            <w:pPr>
              <w:spacing w:line="276" w:lineRule="auto"/>
              <w:jc w:val="center"/>
              <w:rPr>
                <w:rFonts w:cs="Times New Roman"/>
                <w:b/>
                <w:sz w:val="20"/>
                <w:szCs w:val="20"/>
              </w:rPr>
            </w:pPr>
            <w:r w:rsidRPr="00FC64BF">
              <w:rPr>
                <w:rFonts w:cs="Times New Roman"/>
                <w:b/>
                <w:sz w:val="20"/>
                <w:szCs w:val="20"/>
              </w:rPr>
              <w:t>Broj</w:t>
            </w:r>
            <w:r w:rsidR="00447EFE" w:rsidRPr="00FC64BF">
              <w:rPr>
                <w:rFonts w:cs="Times New Roman"/>
                <w:b/>
                <w:sz w:val="20"/>
                <w:szCs w:val="20"/>
              </w:rPr>
              <w:t xml:space="preserve"> </w:t>
            </w:r>
            <w:r w:rsidRPr="00FC64BF">
              <w:rPr>
                <w:rFonts w:cs="Times New Roman"/>
                <w:b/>
                <w:sz w:val="20"/>
                <w:szCs w:val="20"/>
              </w:rPr>
              <w:t>učenika koji pohađaju</w:t>
            </w:r>
            <w:r w:rsidR="00447EFE" w:rsidRPr="00FC64BF">
              <w:rPr>
                <w:rFonts w:cs="Times New Roman"/>
                <w:b/>
                <w:sz w:val="20"/>
                <w:szCs w:val="20"/>
              </w:rPr>
              <w:t xml:space="preserve"> </w:t>
            </w:r>
            <w:r w:rsidRPr="00FC64BF">
              <w:rPr>
                <w:rFonts w:cs="Times New Roman"/>
                <w:b/>
                <w:sz w:val="20"/>
                <w:szCs w:val="20"/>
              </w:rPr>
              <w:t>model C</w:t>
            </w:r>
          </w:p>
        </w:tc>
        <w:tc>
          <w:tcPr>
            <w:tcW w:w="1061" w:type="pct"/>
            <w:shd w:val="clear" w:color="auto" w:fill="F2F2F2" w:themeFill="background1" w:themeFillShade="F2"/>
            <w:vAlign w:val="center"/>
          </w:tcPr>
          <w:p w14:paraId="4A0D4E11" w14:textId="77777777" w:rsidR="00B277BF" w:rsidRPr="00FC64BF" w:rsidRDefault="00B277BF" w:rsidP="00D36147">
            <w:pPr>
              <w:spacing w:line="276" w:lineRule="auto"/>
              <w:jc w:val="center"/>
              <w:rPr>
                <w:rFonts w:cs="Times New Roman"/>
                <w:b/>
                <w:sz w:val="20"/>
                <w:szCs w:val="20"/>
              </w:rPr>
            </w:pPr>
            <w:r w:rsidRPr="00FC64BF">
              <w:rPr>
                <w:rFonts w:eastAsia="Calibri" w:cs="Times New Roman"/>
                <w:b/>
                <w:sz w:val="20"/>
                <w:szCs w:val="20"/>
              </w:rPr>
              <w:t>/</w:t>
            </w:r>
          </w:p>
        </w:tc>
      </w:tr>
      <w:tr w:rsidR="005834DC" w:rsidRPr="005834DC" w14:paraId="08CFD724" w14:textId="77777777" w:rsidTr="0062352A">
        <w:tc>
          <w:tcPr>
            <w:tcW w:w="1362" w:type="pct"/>
            <w:shd w:val="clear" w:color="auto" w:fill="F2F2F2" w:themeFill="background1" w:themeFillShade="F2"/>
          </w:tcPr>
          <w:p w14:paraId="642D5BF7" w14:textId="0ACB3D35" w:rsidR="005834DC" w:rsidRPr="003379F1" w:rsidRDefault="005834DC" w:rsidP="0061594B">
            <w:pPr>
              <w:spacing w:line="276" w:lineRule="auto"/>
              <w:rPr>
                <w:rFonts w:cs="Times New Roman"/>
                <w:sz w:val="20"/>
                <w:szCs w:val="20"/>
              </w:rPr>
            </w:pPr>
            <w:r w:rsidRPr="00A86FA4">
              <w:rPr>
                <w:rFonts w:cs="Times New Roman"/>
                <w:sz w:val="20"/>
                <w:szCs w:val="20"/>
              </w:rPr>
              <w:t>Planirani ishodi za pokazatelje provedbe u 2024.</w:t>
            </w:r>
          </w:p>
        </w:tc>
        <w:tc>
          <w:tcPr>
            <w:tcW w:w="1364" w:type="pct"/>
          </w:tcPr>
          <w:p w14:paraId="3B2DFD0E" w14:textId="0A09B70C" w:rsidR="005834DC" w:rsidRPr="00802CE3" w:rsidRDefault="005834DC" w:rsidP="005834DC">
            <w:pPr>
              <w:spacing w:line="276" w:lineRule="auto"/>
              <w:jc w:val="center"/>
              <w:rPr>
                <w:rFonts w:cs="Times New Roman"/>
                <w:sz w:val="20"/>
                <w:szCs w:val="20"/>
              </w:rPr>
            </w:pPr>
            <w:r w:rsidRPr="00A86FA4">
              <w:rPr>
                <w:rFonts w:cs="Times New Roman"/>
                <w:sz w:val="20"/>
                <w:szCs w:val="20"/>
              </w:rPr>
              <w:t>3</w:t>
            </w:r>
          </w:p>
        </w:tc>
        <w:tc>
          <w:tcPr>
            <w:tcW w:w="1213" w:type="pct"/>
          </w:tcPr>
          <w:p w14:paraId="6E51D242" w14:textId="31BFF61E" w:rsidR="005834DC" w:rsidRPr="00802CE3" w:rsidRDefault="005834DC" w:rsidP="005834DC">
            <w:pPr>
              <w:spacing w:line="276" w:lineRule="auto"/>
              <w:jc w:val="center"/>
              <w:rPr>
                <w:rFonts w:cs="Times New Roman"/>
                <w:sz w:val="20"/>
                <w:szCs w:val="20"/>
              </w:rPr>
            </w:pPr>
            <w:r w:rsidRPr="00A86FA4">
              <w:rPr>
                <w:rFonts w:cs="Times New Roman"/>
                <w:sz w:val="20"/>
                <w:szCs w:val="20"/>
              </w:rPr>
              <w:t>150</w:t>
            </w:r>
          </w:p>
        </w:tc>
        <w:tc>
          <w:tcPr>
            <w:tcW w:w="1061" w:type="pct"/>
          </w:tcPr>
          <w:p w14:paraId="53FC1574" w14:textId="2C519D90" w:rsidR="005834DC" w:rsidRPr="00802CE3" w:rsidRDefault="005834DC" w:rsidP="005834DC">
            <w:pPr>
              <w:spacing w:line="276" w:lineRule="auto"/>
              <w:jc w:val="center"/>
              <w:rPr>
                <w:rFonts w:cs="Times New Roman"/>
                <w:sz w:val="20"/>
                <w:szCs w:val="20"/>
              </w:rPr>
            </w:pPr>
            <w:r w:rsidRPr="00A86FA4">
              <w:rPr>
                <w:rFonts w:cs="Times New Roman"/>
                <w:sz w:val="20"/>
                <w:szCs w:val="20"/>
              </w:rPr>
              <w:t>/</w:t>
            </w:r>
          </w:p>
        </w:tc>
      </w:tr>
      <w:tr w:rsidR="005834DC" w:rsidRPr="005834DC" w14:paraId="0A857AAD" w14:textId="77777777" w:rsidTr="0062352A">
        <w:tc>
          <w:tcPr>
            <w:tcW w:w="1362" w:type="pct"/>
            <w:shd w:val="clear" w:color="auto" w:fill="F2F2F2" w:themeFill="background1" w:themeFillShade="F2"/>
          </w:tcPr>
          <w:p w14:paraId="287D24F2" w14:textId="31F7D17A" w:rsidR="005834DC" w:rsidRPr="003379F1" w:rsidRDefault="005834DC" w:rsidP="0061594B">
            <w:pPr>
              <w:spacing w:line="276" w:lineRule="auto"/>
              <w:rPr>
                <w:rFonts w:cs="Times New Roman"/>
                <w:sz w:val="20"/>
                <w:szCs w:val="20"/>
              </w:rPr>
            </w:pPr>
            <w:r w:rsidRPr="00A86FA4">
              <w:rPr>
                <w:rFonts w:cs="Times New Roman"/>
                <w:sz w:val="20"/>
                <w:szCs w:val="20"/>
              </w:rPr>
              <w:t xml:space="preserve">Ostvareni ishodi za pokazatelje provedbe u 2024. </w:t>
            </w:r>
          </w:p>
        </w:tc>
        <w:tc>
          <w:tcPr>
            <w:tcW w:w="1364" w:type="pct"/>
          </w:tcPr>
          <w:p w14:paraId="63FF1979" w14:textId="417E9501" w:rsidR="005834DC" w:rsidRPr="00802CE3" w:rsidRDefault="005834DC" w:rsidP="005834DC">
            <w:pPr>
              <w:spacing w:line="276" w:lineRule="auto"/>
              <w:jc w:val="center"/>
              <w:rPr>
                <w:rFonts w:cs="Times New Roman"/>
                <w:sz w:val="20"/>
                <w:szCs w:val="20"/>
              </w:rPr>
            </w:pPr>
            <w:r w:rsidRPr="00A86FA4">
              <w:rPr>
                <w:rFonts w:cs="Times New Roman"/>
                <w:sz w:val="20"/>
                <w:szCs w:val="20"/>
              </w:rPr>
              <w:t>0</w:t>
            </w:r>
          </w:p>
        </w:tc>
        <w:tc>
          <w:tcPr>
            <w:tcW w:w="1213" w:type="pct"/>
          </w:tcPr>
          <w:p w14:paraId="0716A7D2" w14:textId="77777777" w:rsidR="005834DC" w:rsidRPr="00A86FA4" w:rsidRDefault="005834DC" w:rsidP="005834DC">
            <w:pPr>
              <w:jc w:val="center"/>
              <w:rPr>
                <w:rFonts w:cs="Times New Roman"/>
                <w:sz w:val="20"/>
                <w:szCs w:val="20"/>
              </w:rPr>
            </w:pPr>
            <w:r w:rsidRPr="00A86FA4">
              <w:rPr>
                <w:rFonts w:cs="Times New Roman"/>
                <w:sz w:val="20"/>
                <w:szCs w:val="20"/>
              </w:rPr>
              <w:t>(kraj šk. god. 2023./2024.)</w:t>
            </w:r>
          </w:p>
          <w:p w14:paraId="4C8134B0" w14:textId="3027312A" w:rsidR="005834DC" w:rsidRPr="00802CE3" w:rsidRDefault="005834DC" w:rsidP="005834DC">
            <w:pPr>
              <w:spacing w:line="276" w:lineRule="auto"/>
              <w:jc w:val="center"/>
              <w:rPr>
                <w:rFonts w:cs="Times New Roman"/>
                <w:sz w:val="20"/>
                <w:szCs w:val="20"/>
              </w:rPr>
            </w:pPr>
            <w:r w:rsidRPr="00A86FA4">
              <w:rPr>
                <w:rFonts w:cs="Times New Roman"/>
                <w:b/>
                <w:sz w:val="20"/>
                <w:szCs w:val="20"/>
              </w:rPr>
              <w:t>94</w:t>
            </w:r>
          </w:p>
        </w:tc>
        <w:tc>
          <w:tcPr>
            <w:tcW w:w="1061" w:type="pct"/>
          </w:tcPr>
          <w:p w14:paraId="13CF15D6" w14:textId="6A95DE04" w:rsidR="005834DC" w:rsidRPr="00802CE3" w:rsidRDefault="005834DC" w:rsidP="005834DC">
            <w:pPr>
              <w:spacing w:line="276" w:lineRule="auto"/>
              <w:jc w:val="center"/>
              <w:rPr>
                <w:rFonts w:cs="Times New Roman"/>
                <w:sz w:val="20"/>
                <w:szCs w:val="20"/>
              </w:rPr>
            </w:pPr>
            <w:r w:rsidRPr="00A86FA4">
              <w:rPr>
                <w:rFonts w:cs="Times New Roman"/>
                <w:sz w:val="20"/>
                <w:szCs w:val="20"/>
              </w:rPr>
              <w:t>/</w:t>
            </w:r>
          </w:p>
        </w:tc>
      </w:tr>
      <w:tr w:rsidR="005834DC" w:rsidRPr="005834DC" w14:paraId="790A104E" w14:textId="77777777" w:rsidTr="00B66CD2">
        <w:tc>
          <w:tcPr>
            <w:tcW w:w="1362" w:type="pct"/>
            <w:shd w:val="clear" w:color="auto" w:fill="F2F2F2" w:themeFill="background1" w:themeFillShade="F2"/>
            <w:vAlign w:val="center"/>
          </w:tcPr>
          <w:p w14:paraId="3DC000B6" w14:textId="77777777" w:rsidR="005834DC" w:rsidRPr="00FC64BF" w:rsidRDefault="005834DC" w:rsidP="005834DC">
            <w:pPr>
              <w:spacing w:line="276" w:lineRule="auto"/>
              <w:rPr>
                <w:rFonts w:cs="Times New Roman"/>
                <w:b/>
                <w:sz w:val="20"/>
                <w:szCs w:val="20"/>
              </w:rPr>
            </w:pPr>
            <w:r w:rsidRPr="00FC64BF">
              <w:rPr>
                <w:rFonts w:cs="Times New Roman"/>
                <w:b/>
                <w:sz w:val="20"/>
                <w:szCs w:val="20"/>
              </w:rPr>
              <w:t xml:space="preserve">IZVORI FINANCIRANJA </w:t>
            </w:r>
          </w:p>
        </w:tc>
        <w:tc>
          <w:tcPr>
            <w:tcW w:w="1364" w:type="pct"/>
            <w:vAlign w:val="center"/>
          </w:tcPr>
          <w:p w14:paraId="09E812FF" w14:textId="77777777" w:rsidR="005834DC" w:rsidRPr="00802CE3" w:rsidRDefault="005834DC" w:rsidP="005834DC">
            <w:pPr>
              <w:spacing w:line="276" w:lineRule="auto"/>
              <w:jc w:val="center"/>
              <w:rPr>
                <w:rFonts w:cs="Times New Roman"/>
                <w:b/>
                <w:sz w:val="20"/>
                <w:szCs w:val="20"/>
              </w:rPr>
            </w:pPr>
            <w:r w:rsidRPr="00802CE3">
              <w:rPr>
                <w:rFonts w:cs="Times New Roman"/>
                <w:b/>
                <w:sz w:val="20"/>
                <w:szCs w:val="20"/>
              </w:rPr>
              <w:t>Državni proračun (EUR)</w:t>
            </w:r>
          </w:p>
        </w:tc>
        <w:tc>
          <w:tcPr>
            <w:tcW w:w="1213" w:type="pct"/>
            <w:vAlign w:val="center"/>
          </w:tcPr>
          <w:p w14:paraId="272D820D" w14:textId="77777777" w:rsidR="005834DC" w:rsidRPr="00550221" w:rsidRDefault="005834DC" w:rsidP="005834DC">
            <w:pPr>
              <w:spacing w:line="276" w:lineRule="auto"/>
              <w:jc w:val="center"/>
              <w:rPr>
                <w:rFonts w:cs="Times New Roman"/>
                <w:b/>
                <w:sz w:val="20"/>
                <w:szCs w:val="20"/>
              </w:rPr>
            </w:pPr>
            <w:r w:rsidRPr="00550221">
              <w:rPr>
                <w:rFonts w:cs="Times New Roman"/>
                <w:b/>
                <w:sz w:val="20"/>
                <w:szCs w:val="20"/>
              </w:rPr>
              <w:t>EU financiranje (EUR)</w:t>
            </w:r>
          </w:p>
        </w:tc>
        <w:tc>
          <w:tcPr>
            <w:tcW w:w="1061" w:type="pct"/>
            <w:vAlign w:val="center"/>
          </w:tcPr>
          <w:p w14:paraId="17E2F628" w14:textId="77777777" w:rsidR="005834DC" w:rsidRPr="00550221" w:rsidRDefault="005834DC" w:rsidP="005834DC">
            <w:pPr>
              <w:spacing w:line="276" w:lineRule="auto"/>
              <w:jc w:val="center"/>
              <w:rPr>
                <w:rFonts w:cs="Times New Roman"/>
                <w:b/>
                <w:sz w:val="20"/>
                <w:szCs w:val="20"/>
              </w:rPr>
            </w:pPr>
            <w:r w:rsidRPr="00550221">
              <w:rPr>
                <w:rFonts w:cs="Times New Roman"/>
                <w:b/>
                <w:sz w:val="20"/>
                <w:szCs w:val="20"/>
              </w:rPr>
              <w:t>Drugi izvori (EUR)</w:t>
            </w:r>
          </w:p>
        </w:tc>
      </w:tr>
      <w:tr w:rsidR="005834DC" w:rsidRPr="005834DC" w14:paraId="00CE98DC" w14:textId="77777777" w:rsidTr="00B66CD2">
        <w:tc>
          <w:tcPr>
            <w:tcW w:w="1362" w:type="pct"/>
            <w:shd w:val="clear" w:color="auto" w:fill="F2F2F2" w:themeFill="background1" w:themeFillShade="F2"/>
            <w:vAlign w:val="center"/>
          </w:tcPr>
          <w:p w14:paraId="12206DE2" w14:textId="0B2C0A25" w:rsidR="005834DC" w:rsidRPr="00FC64BF" w:rsidRDefault="005834DC" w:rsidP="0061594B">
            <w:pPr>
              <w:spacing w:line="276" w:lineRule="auto"/>
              <w:rPr>
                <w:rFonts w:cs="Times New Roman"/>
                <w:sz w:val="20"/>
                <w:szCs w:val="20"/>
              </w:rPr>
            </w:pPr>
            <w:r w:rsidRPr="00FC64BF">
              <w:rPr>
                <w:rFonts w:cs="Times New Roman"/>
                <w:sz w:val="20"/>
                <w:szCs w:val="20"/>
              </w:rPr>
              <w:t>Izvori financiranja u 202</w:t>
            </w:r>
            <w:r>
              <w:rPr>
                <w:rFonts w:cs="Times New Roman"/>
                <w:sz w:val="20"/>
                <w:szCs w:val="20"/>
              </w:rPr>
              <w:t>4</w:t>
            </w:r>
            <w:r w:rsidRPr="00FC64BF">
              <w:rPr>
                <w:rFonts w:cs="Times New Roman"/>
                <w:sz w:val="20"/>
                <w:szCs w:val="20"/>
              </w:rPr>
              <w:t>. (proračunska pozicija i predviđeni iznos sredstava)</w:t>
            </w:r>
          </w:p>
        </w:tc>
        <w:tc>
          <w:tcPr>
            <w:tcW w:w="1364" w:type="pct"/>
            <w:vAlign w:val="center"/>
          </w:tcPr>
          <w:p w14:paraId="0F26B403" w14:textId="5F76A78D" w:rsidR="005834DC" w:rsidRPr="00802CE3" w:rsidRDefault="005834DC" w:rsidP="005834DC">
            <w:pPr>
              <w:spacing w:line="276" w:lineRule="auto"/>
              <w:jc w:val="center"/>
              <w:rPr>
                <w:rFonts w:cs="Times New Roman"/>
                <w:sz w:val="20"/>
                <w:szCs w:val="20"/>
              </w:rPr>
            </w:pPr>
            <w:r w:rsidRPr="00802CE3">
              <w:rPr>
                <w:rFonts w:cs="Times New Roman"/>
                <w:sz w:val="20"/>
                <w:szCs w:val="20"/>
              </w:rPr>
              <w:t>A577000 – Administracija i upravljanje</w:t>
            </w:r>
          </w:p>
        </w:tc>
        <w:tc>
          <w:tcPr>
            <w:tcW w:w="1213" w:type="pct"/>
            <w:vAlign w:val="center"/>
          </w:tcPr>
          <w:p w14:paraId="5AD49E58" w14:textId="77777777" w:rsidR="005834DC" w:rsidRPr="00550221" w:rsidRDefault="005834DC" w:rsidP="005834DC">
            <w:pPr>
              <w:spacing w:line="276" w:lineRule="auto"/>
              <w:jc w:val="center"/>
              <w:rPr>
                <w:rFonts w:cs="Times New Roman"/>
                <w:sz w:val="20"/>
                <w:szCs w:val="20"/>
              </w:rPr>
            </w:pPr>
            <w:r w:rsidRPr="00550221">
              <w:rPr>
                <w:rFonts w:cs="Times New Roman"/>
                <w:sz w:val="20"/>
                <w:szCs w:val="20"/>
              </w:rPr>
              <w:t>0,00</w:t>
            </w:r>
          </w:p>
        </w:tc>
        <w:tc>
          <w:tcPr>
            <w:tcW w:w="1061" w:type="pct"/>
            <w:vAlign w:val="center"/>
          </w:tcPr>
          <w:p w14:paraId="29CB8C35" w14:textId="77777777" w:rsidR="005834DC" w:rsidRPr="00550221" w:rsidRDefault="005834DC" w:rsidP="005834DC">
            <w:pPr>
              <w:spacing w:line="276" w:lineRule="auto"/>
              <w:jc w:val="center"/>
              <w:rPr>
                <w:rFonts w:cs="Times New Roman"/>
                <w:sz w:val="20"/>
                <w:szCs w:val="20"/>
              </w:rPr>
            </w:pPr>
            <w:r w:rsidRPr="00550221">
              <w:rPr>
                <w:rFonts w:cs="Times New Roman"/>
                <w:sz w:val="20"/>
                <w:szCs w:val="20"/>
              </w:rPr>
              <w:t xml:space="preserve">0,00 </w:t>
            </w:r>
          </w:p>
        </w:tc>
      </w:tr>
      <w:tr w:rsidR="005834DC" w:rsidRPr="005834DC" w14:paraId="6D03AC47" w14:textId="77777777" w:rsidTr="00B66CD2">
        <w:tc>
          <w:tcPr>
            <w:tcW w:w="1362" w:type="pct"/>
            <w:vMerge w:val="restart"/>
            <w:shd w:val="clear" w:color="auto" w:fill="F2F2F2" w:themeFill="background1" w:themeFillShade="F2"/>
            <w:vAlign w:val="center"/>
          </w:tcPr>
          <w:p w14:paraId="10CAEDF7" w14:textId="14A9C157" w:rsidR="005834DC" w:rsidRPr="00FC64BF" w:rsidRDefault="005834DC" w:rsidP="005834DC">
            <w:pPr>
              <w:spacing w:line="276" w:lineRule="auto"/>
              <w:rPr>
                <w:rFonts w:cs="Times New Roman"/>
                <w:b/>
                <w:sz w:val="20"/>
                <w:szCs w:val="20"/>
              </w:rPr>
            </w:pPr>
            <w:r w:rsidRPr="00FC64BF">
              <w:rPr>
                <w:rFonts w:cs="Times New Roman"/>
                <w:b/>
                <w:sz w:val="20"/>
                <w:szCs w:val="20"/>
              </w:rPr>
              <w:lastRenderedPageBreak/>
              <w:t xml:space="preserve">UKUPNO UTROŠENA SREDSTVA PO IZVORU </w:t>
            </w:r>
          </w:p>
        </w:tc>
        <w:tc>
          <w:tcPr>
            <w:tcW w:w="1364" w:type="pct"/>
            <w:vAlign w:val="center"/>
          </w:tcPr>
          <w:p w14:paraId="5417DF7E" w14:textId="77777777" w:rsidR="005834DC" w:rsidRPr="00802CE3" w:rsidRDefault="005834DC" w:rsidP="005834DC">
            <w:pPr>
              <w:spacing w:line="276" w:lineRule="auto"/>
              <w:jc w:val="center"/>
              <w:rPr>
                <w:rFonts w:cs="Times New Roman"/>
                <w:b/>
                <w:sz w:val="20"/>
                <w:szCs w:val="20"/>
              </w:rPr>
            </w:pPr>
            <w:r w:rsidRPr="00802CE3">
              <w:rPr>
                <w:rFonts w:cs="Times New Roman"/>
                <w:b/>
                <w:sz w:val="20"/>
                <w:szCs w:val="20"/>
              </w:rPr>
              <w:t>Državni proračun (EUR)</w:t>
            </w:r>
          </w:p>
        </w:tc>
        <w:tc>
          <w:tcPr>
            <w:tcW w:w="1213" w:type="pct"/>
            <w:vAlign w:val="center"/>
          </w:tcPr>
          <w:p w14:paraId="32E5C40C" w14:textId="77777777" w:rsidR="005834DC" w:rsidRPr="00550221" w:rsidRDefault="005834DC" w:rsidP="005834DC">
            <w:pPr>
              <w:spacing w:line="276" w:lineRule="auto"/>
              <w:jc w:val="center"/>
              <w:rPr>
                <w:rFonts w:cs="Times New Roman"/>
                <w:b/>
                <w:sz w:val="20"/>
                <w:szCs w:val="20"/>
              </w:rPr>
            </w:pPr>
            <w:r w:rsidRPr="00550221">
              <w:rPr>
                <w:rFonts w:cs="Times New Roman"/>
                <w:b/>
                <w:sz w:val="20"/>
                <w:szCs w:val="20"/>
              </w:rPr>
              <w:t>EU financiranje (EUR)</w:t>
            </w:r>
          </w:p>
        </w:tc>
        <w:tc>
          <w:tcPr>
            <w:tcW w:w="1061" w:type="pct"/>
            <w:vAlign w:val="center"/>
          </w:tcPr>
          <w:p w14:paraId="339EC54B" w14:textId="77777777" w:rsidR="005834DC" w:rsidRPr="00550221" w:rsidRDefault="005834DC" w:rsidP="005834DC">
            <w:pPr>
              <w:spacing w:line="276" w:lineRule="auto"/>
              <w:jc w:val="center"/>
              <w:rPr>
                <w:rFonts w:cs="Times New Roman"/>
                <w:b/>
                <w:sz w:val="20"/>
                <w:szCs w:val="20"/>
              </w:rPr>
            </w:pPr>
            <w:r w:rsidRPr="00550221">
              <w:rPr>
                <w:rFonts w:cs="Times New Roman"/>
                <w:b/>
                <w:sz w:val="20"/>
                <w:szCs w:val="20"/>
              </w:rPr>
              <w:t>Drugi izvori (EUR)</w:t>
            </w:r>
          </w:p>
        </w:tc>
      </w:tr>
      <w:tr w:rsidR="005834DC" w:rsidRPr="005834DC" w14:paraId="56B841BE" w14:textId="77777777" w:rsidTr="00B66CD2">
        <w:tc>
          <w:tcPr>
            <w:tcW w:w="1362" w:type="pct"/>
            <w:vMerge/>
            <w:shd w:val="clear" w:color="auto" w:fill="F2F2F2" w:themeFill="background1" w:themeFillShade="F2"/>
            <w:vAlign w:val="center"/>
          </w:tcPr>
          <w:p w14:paraId="40F51E6C" w14:textId="77777777" w:rsidR="005834DC" w:rsidRPr="00FC64BF" w:rsidRDefault="005834DC" w:rsidP="005834DC">
            <w:pPr>
              <w:spacing w:line="276" w:lineRule="auto"/>
              <w:rPr>
                <w:rFonts w:cs="Times New Roman"/>
                <w:b/>
                <w:sz w:val="20"/>
                <w:szCs w:val="20"/>
              </w:rPr>
            </w:pPr>
          </w:p>
        </w:tc>
        <w:tc>
          <w:tcPr>
            <w:tcW w:w="1364" w:type="pct"/>
            <w:vAlign w:val="center"/>
          </w:tcPr>
          <w:p w14:paraId="108BE2F9" w14:textId="19BF0659" w:rsidR="005834DC" w:rsidRPr="00802CE3" w:rsidRDefault="005834DC" w:rsidP="005834DC">
            <w:pPr>
              <w:spacing w:line="276" w:lineRule="auto"/>
              <w:jc w:val="center"/>
              <w:rPr>
                <w:rFonts w:eastAsia="Calibri" w:cs="Times New Roman"/>
                <w:sz w:val="20"/>
                <w:szCs w:val="20"/>
              </w:rPr>
            </w:pPr>
            <w:r w:rsidRPr="00802CE3">
              <w:rPr>
                <w:rFonts w:eastAsia="Calibri" w:cs="Times New Roman"/>
                <w:sz w:val="20"/>
                <w:szCs w:val="20"/>
              </w:rPr>
              <w:t>A577000 - Administracija i upravljanje</w:t>
            </w:r>
          </w:p>
          <w:p w14:paraId="79561AB7" w14:textId="23E018F7" w:rsidR="005834DC" w:rsidRPr="00550221" w:rsidRDefault="005834DC" w:rsidP="005834DC">
            <w:pPr>
              <w:spacing w:line="276" w:lineRule="auto"/>
              <w:jc w:val="center"/>
              <w:rPr>
                <w:rFonts w:cs="Times New Roman"/>
                <w:sz w:val="20"/>
                <w:szCs w:val="20"/>
              </w:rPr>
            </w:pPr>
            <w:r w:rsidRPr="00550221">
              <w:rPr>
                <w:rFonts w:eastAsia="Calibri" w:cs="Times New Roman"/>
                <w:sz w:val="20"/>
                <w:szCs w:val="20"/>
              </w:rPr>
              <w:t xml:space="preserve">0,00 </w:t>
            </w:r>
          </w:p>
        </w:tc>
        <w:tc>
          <w:tcPr>
            <w:tcW w:w="1213" w:type="pct"/>
            <w:vAlign w:val="center"/>
          </w:tcPr>
          <w:p w14:paraId="774BCF3F" w14:textId="67B42099" w:rsidR="005834DC" w:rsidRPr="00550221" w:rsidRDefault="005834DC" w:rsidP="005834DC">
            <w:pPr>
              <w:spacing w:line="276" w:lineRule="auto"/>
              <w:jc w:val="center"/>
              <w:rPr>
                <w:rFonts w:cs="Times New Roman"/>
                <w:sz w:val="20"/>
                <w:szCs w:val="20"/>
              </w:rPr>
            </w:pPr>
            <w:r w:rsidRPr="00550221">
              <w:rPr>
                <w:rFonts w:cs="Times New Roman"/>
                <w:sz w:val="20"/>
                <w:szCs w:val="20"/>
              </w:rPr>
              <w:t>0,00</w:t>
            </w:r>
          </w:p>
        </w:tc>
        <w:tc>
          <w:tcPr>
            <w:tcW w:w="1061" w:type="pct"/>
            <w:vAlign w:val="center"/>
          </w:tcPr>
          <w:p w14:paraId="325A8BF7" w14:textId="77777777" w:rsidR="005834DC" w:rsidRPr="00550221" w:rsidRDefault="005834DC" w:rsidP="005834DC">
            <w:pPr>
              <w:spacing w:line="276" w:lineRule="auto"/>
              <w:jc w:val="center"/>
              <w:rPr>
                <w:rFonts w:cs="Times New Roman"/>
                <w:sz w:val="20"/>
                <w:szCs w:val="20"/>
              </w:rPr>
            </w:pPr>
            <w:r w:rsidRPr="00550221">
              <w:rPr>
                <w:rFonts w:cs="Times New Roman"/>
                <w:sz w:val="20"/>
                <w:szCs w:val="20"/>
              </w:rPr>
              <w:t xml:space="preserve">0,00 </w:t>
            </w:r>
          </w:p>
        </w:tc>
      </w:tr>
      <w:tr w:rsidR="005834DC" w:rsidRPr="005834DC" w14:paraId="17B6F1F0" w14:textId="77777777" w:rsidTr="00B66CD2">
        <w:tc>
          <w:tcPr>
            <w:tcW w:w="1362" w:type="pct"/>
            <w:shd w:val="clear" w:color="auto" w:fill="F2F2F2" w:themeFill="background1" w:themeFillShade="F2"/>
            <w:vAlign w:val="center"/>
          </w:tcPr>
          <w:p w14:paraId="75BF0D02" w14:textId="081FCD4B" w:rsidR="005834DC" w:rsidRPr="00FC64BF" w:rsidRDefault="005834DC" w:rsidP="005834DC">
            <w:pPr>
              <w:spacing w:line="276" w:lineRule="auto"/>
              <w:rPr>
                <w:rFonts w:cs="Times New Roman"/>
                <w:sz w:val="20"/>
                <w:szCs w:val="20"/>
              </w:rPr>
            </w:pPr>
            <w:r w:rsidRPr="00FC64BF">
              <w:rPr>
                <w:rFonts w:cs="Times New Roman"/>
                <w:sz w:val="20"/>
                <w:szCs w:val="20"/>
              </w:rPr>
              <w:t>ROK PROVEDBE AKTIVNOSTI</w:t>
            </w:r>
          </w:p>
        </w:tc>
        <w:tc>
          <w:tcPr>
            <w:tcW w:w="3638" w:type="pct"/>
            <w:gridSpan w:val="3"/>
            <w:vAlign w:val="center"/>
          </w:tcPr>
          <w:p w14:paraId="3D62F0A6" w14:textId="77777777" w:rsidR="005834DC" w:rsidRPr="00802CE3" w:rsidRDefault="005834DC" w:rsidP="005834DC">
            <w:pPr>
              <w:spacing w:line="276" w:lineRule="auto"/>
              <w:rPr>
                <w:rFonts w:cs="Times New Roman"/>
                <w:sz w:val="20"/>
                <w:szCs w:val="20"/>
              </w:rPr>
            </w:pPr>
            <w:r w:rsidRPr="00802CE3">
              <w:rPr>
                <w:rFonts w:cs="Times New Roman"/>
                <w:sz w:val="20"/>
                <w:szCs w:val="20"/>
              </w:rPr>
              <w:t xml:space="preserve">IV. kvartal 2025. </w:t>
            </w:r>
          </w:p>
        </w:tc>
      </w:tr>
    </w:tbl>
    <w:p w14:paraId="7F043789" w14:textId="77777777" w:rsidR="00E7549B" w:rsidRDefault="00E7549B" w:rsidP="004A3B23">
      <w:pPr>
        <w:spacing w:after="0" w:line="276" w:lineRule="auto"/>
        <w:jc w:val="both"/>
        <w:rPr>
          <w:rFonts w:cs="Times New Roman"/>
          <w:i/>
          <w:szCs w:val="24"/>
        </w:rPr>
      </w:pPr>
    </w:p>
    <w:p w14:paraId="55ABC1E6" w14:textId="77777777" w:rsidR="003379F1" w:rsidRPr="00FC64BF" w:rsidRDefault="003379F1" w:rsidP="004A3B23">
      <w:pPr>
        <w:spacing w:after="0" w:line="276" w:lineRule="auto"/>
        <w:jc w:val="both"/>
        <w:rPr>
          <w:rFonts w:cs="Times New Roman"/>
          <w:i/>
          <w:szCs w:val="24"/>
        </w:rPr>
      </w:pPr>
    </w:p>
    <w:p w14:paraId="4817FC2E" w14:textId="4DD098CF" w:rsidR="007D7567" w:rsidRPr="00FC64BF" w:rsidRDefault="006207AE" w:rsidP="004A3B23">
      <w:pPr>
        <w:spacing w:after="0" w:line="276" w:lineRule="auto"/>
        <w:jc w:val="both"/>
        <w:rPr>
          <w:rFonts w:cs="Times New Roman"/>
          <w:bCs/>
          <w:i/>
          <w:iCs/>
        </w:rPr>
      </w:pPr>
      <w:r w:rsidRPr="00FC64BF">
        <w:rPr>
          <w:rFonts w:cs="Times New Roman"/>
          <w:i/>
          <w:szCs w:val="24"/>
        </w:rPr>
        <w:t xml:space="preserve">Aktivnost </w:t>
      </w:r>
      <w:r w:rsidRPr="00FC64BF">
        <w:rPr>
          <w:rFonts w:cs="Times New Roman"/>
          <w:bCs/>
          <w:i/>
          <w:szCs w:val="24"/>
        </w:rPr>
        <w:t>4.3.9. Praćenje upisa i školovanja učenika romske nacionalne manjine oba spola u srednjim školama</w:t>
      </w:r>
    </w:p>
    <w:p w14:paraId="33969291" w14:textId="653C3CCE" w:rsidR="007D7567" w:rsidRPr="00FC64BF" w:rsidRDefault="006207AE" w:rsidP="00D36147">
      <w:pPr>
        <w:spacing w:after="0" w:line="276" w:lineRule="auto"/>
        <w:jc w:val="both"/>
        <w:rPr>
          <w:rFonts w:cs="Times New Roman"/>
          <w:bCs/>
          <w:i/>
          <w:iCs/>
        </w:rPr>
      </w:pPr>
      <w:r w:rsidRPr="00FC64BF">
        <w:rPr>
          <w:rFonts w:cs="Times New Roman"/>
          <w:bCs/>
          <w:i/>
          <w:iCs/>
        </w:rPr>
        <w:t xml:space="preserve">Nositelj provedbe: </w:t>
      </w:r>
      <w:r w:rsidR="00F36CF1">
        <w:rPr>
          <w:rFonts w:cs="Times New Roman"/>
          <w:bCs/>
          <w:i/>
          <w:iCs/>
        </w:rPr>
        <w:t>Ministarstvo znanosti, obrazovanja i mladih</w:t>
      </w:r>
      <w:r w:rsidRPr="00FC64BF">
        <w:rPr>
          <w:rFonts w:cs="Times New Roman"/>
          <w:bCs/>
          <w:i/>
          <w:iCs/>
        </w:rPr>
        <w:t xml:space="preserve"> </w:t>
      </w:r>
    </w:p>
    <w:p w14:paraId="6AADF234" w14:textId="78CCDB87" w:rsidR="00815B24" w:rsidRPr="00E00B82" w:rsidRDefault="006207AE" w:rsidP="00D36147">
      <w:pPr>
        <w:spacing w:after="0" w:line="276" w:lineRule="auto"/>
        <w:jc w:val="both"/>
        <w:rPr>
          <w:rFonts w:cs="Times New Roman"/>
          <w:bCs/>
          <w:i/>
          <w:iCs/>
        </w:rPr>
      </w:pPr>
      <w:r w:rsidRPr="00FC64BF">
        <w:rPr>
          <w:rFonts w:cs="Times New Roman"/>
          <w:bCs/>
          <w:i/>
          <w:iCs/>
        </w:rPr>
        <w:t xml:space="preserve">Partneri: </w:t>
      </w:r>
      <w:r w:rsidR="00026107">
        <w:rPr>
          <w:rFonts w:cs="Times New Roman"/>
          <w:bCs/>
          <w:i/>
          <w:iCs/>
        </w:rPr>
        <w:t>JLP(R)S</w:t>
      </w:r>
      <w:r w:rsidR="00923690" w:rsidRPr="00FC64BF">
        <w:rPr>
          <w:rFonts w:cs="Times New Roman"/>
          <w:bCs/>
          <w:i/>
          <w:iCs/>
        </w:rPr>
        <w:t xml:space="preserve">, Upravni odjeli za obrazovanje u županijama, Gradski ured za obrazovanje Grada Zagreba, srednje </w:t>
      </w:r>
      <w:r w:rsidR="00923690" w:rsidRPr="00E00B82">
        <w:rPr>
          <w:rFonts w:cs="Times New Roman"/>
          <w:bCs/>
          <w:i/>
          <w:iCs/>
        </w:rPr>
        <w:t xml:space="preserve">škole </w:t>
      </w:r>
      <w:r w:rsidR="00923690" w:rsidRPr="00E00B82">
        <w:rPr>
          <w:rFonts w:cs="Times New Roman"/>
          <w:bCs/>
          <w:i/>
          <w:iCs/>
        </w:rPr>
        <w:cr/>
      </w:r>
    </w:p>
    <w:p w14:paraId="04FA7FC1" w14:textId="14A3D846" w:rsidR="005834DC" w:rsidRPr="00FC64BF" w:rsidRDefault="005834DC" w:rsidP="00D36147">
      <w:pPr>
        <w:spacing w:after="0" w:line="276" w:lineRule="auto"/>
        <w:jc w:val="both"/>
        <w:rPr>
          <w:rFonts w:cs="Times New Roman"/>
          <w:bCs/>
          <w:iCs/>
        </w:rPr>
      </w:pPr>
      <w:r w:rsidRPr="00E00B82">
        <w:rPr>
          <w:rFonts w:cs="Times New Roman"/>
          <w:bCs/>
          <w:iCs/>
        </w:rPr>
        <w:t>Ministarstvo znanosti, obrazovanja i mlad</w:t>
      </w:r>
      <w:r w:rsidRPr="00FC64BF">
        <w:rPr>
          <w:rFonts w:cs="Times New Roman"/>
          <w:bCs/>
          <w:iCs/>
        </w:rPr>
        <w:t>ih vodi bazu podataka o srednjoškolskom obrazovanju učenika pripadnika romske nacionalne manjine. Podaci dobiveni od upravnih odjela za obrazovanje u županijama te Gradskog ureda za obrazovanje, sport i mlade Grada Zagreba upotpunju</w:t>
      </w:r>
      <w:r>
        <w:rPr>
          <w:rFonts w:cs="Times New Roman"/>
          <w:bCs/>
          <w:iCs/>
        </w:rPr>
        <w:t>ju</w:t>
      </w:r>
      <w:r w:rsidRPr="00FC64BF">
        <w:rPr>
          <w:rFonts w:cs="Times New Roman"/>
          <w:bCs/>
          <w:iCs/>
        </w:rPr>
        <w:t xml:space="preserve"> se tj. obrađuju jednom godišnje, uzimajući u obzir podatke na kraju prethodne i na početku tekuće školske godine. Temeljem podataka prati se upis učenika u trogodišnje, četverogodišnje i petogodišnje srednjoškolske programe. Također, prati se ponavljanje razreda te napuštanje srednjoškolskog obrazovanja</w:t>
      </w:r>
      <w:r>
        <w:rPr>
          <w:rFonts w:cs="Times New Roman"/>
          <w:bCs/>
          <w:iCs/>
        </w:rPr>
        <w:t>.</w:t>
      </w:r>
    </w:p>
    <w:p w14:paraId="214C2E76" w14:textId="77777777" w:rsidR="00A9087D" w:rsidRPr="00FC64BF" w:rsidRDefault="00A9087D" w:rsidP="00D36147">
      <w:pPr>
        <w:spacing w:after="0" w:line="276" w:lineRule="auto"/>
        <w:jc w:val="both"/>
        <w:rPr>
          <w:rFonts w:cs="Times New Roman"/>
          <w:bCs/>
        </w:rPr>
      </w:pPr>
    </w:p>
    <w:tbl>
      <w:tblPr>
        <w:tblStyle w:val="TableGrid"/>
        <w:tblW w:w="5000" w:type="pct"/>
        <w:tblLayout w:type="fixed"/>
        <w:tblLook w:val="04A0" w:firstRow="1" w:lastRow="0" w:firstColumn="1" w:lastColumn="0" w:noHBand="0" w:noVBand="1"/>
      </w:tblPr>
      <w:tblGrid>
        <w:gridCol w:w="2468"/>
        <w:gridCol w:w="2748"/>
        <w:gridCol w:w="2061"/>
        <w:gridCol w:w="1785"/>
      </w:tblGrid>
      <w:tr w:rsidR="005834DC" w:rsidRPr="005834DC" w14:paraId="224E49C6" w14:textId="77777777" w:rsidTr="002A04BF">
        <w:trPr>
          <w:trHeight w:val="606"/>
        </w:trPr>
        <w:tc>
          <w:tcPr>
            <w:tcW w:w="1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45DD6" w14:textId="00755432" w:rsidR="00923690" w:rsidRPr="00A86FA4" w:rsidRDefault="007E61F3" w:rsidP="002A04BF">
            <w:pPr>
              <w:rPr>
                <w:b/>
                <w:sz w:val="20"/>
                <w:szCs w:val="20"/>
              </w:rPr>
            </w:pPr>
            <w:r w:rsidRPr="00A86FA4">
              <w:rPr>
                <w:b/>
                <w:sz w:val="20"/>
                <w:szCs w:val="20"/>
              </w:rPr>
              <w:t>Pokazatelji provedbe i pokazatelji uspješnosti provedbe</w:t>
            </w:r>
          </w:p>
        </w:tc>
        <w:tc>
          <w:tcPr>
            <w:tcW w:w="1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2CA40" w14:textId="6AAF233A" w:rsidR="00923690" w:rsidRPr="00A86FA4" w:rsidRDefault="00204483" w:rsidP="002A04BF">
            <w:pPr>
              <w:rPr>
                <w:b/>
                <w:sz w:val="20"/>
                <w:szCs w:val="20"/>
              </w:rPr>
            </w:pPr>
            <w:r w:rsidRPr="00A86FA4">
              <w:rPr>
                <w:b/>
                <w:sz w:val="20"/>
                <w:szCs w:val="20"/>
              </w:rPr>
              <w:t>Broj učenika srednjih</w:t>
            </w:r>
            <w:r w:rsidR="00E7549B" w:rsidRPr="00A86FA4">
              <w:rPr>
                <w:b/>
                <w:sz w:val="20"/>
                <w:szCs w:val="20"/>
              </w:rPr>
              <w:t xml:space="preserve"> </w:t>
            </w:r>
            <w:r w:rsidRPr="00A86FA4">
              <w:rPr>
                <w:b/>
                <w:sz w:val="20"/>
                <w:szCs w:val="20"/>
              </w:rPr>
              <w:t>škola koji su uključeni u</w:t>
            </w:r>
            <w:r w:rsidR="00E7549B" w:rsidRPr="00A86FA4">
              <w:rPr>
                <w:b/>
                <w:sz w:val="20"/>
                <w:szCs w:val="20"/>
              </w:rPr>
              <w:t xml:space="preserve"> </w:t>
            </w:r>
            <w:r w:rsidRPr="00A86FA4">
              <w:rPr>
                <w:b/>
                <w:sz w:val="20"/>
                <w:szCs w:val="20"/>
              </w:rPr>
              <w:t>srednjoškolsko</w:t>
            </w:r>
            <w:r w:rsidR="00E7549B" w:rsidRPr="00A86FA4">
              <w:rPr>
                <w:b/>
                <w:sz w:val="20"/>
                <w:szCs w:val="20"/>
              </w:rPr>
              <w:t xml:space="preserve"> </w:t>
            </w:r>
            <w:r w:rsidRPr="00A86FA4">
              <w:rPr>
                <w:b/>
                <w:sz w:val="20"/>
                <w:szCs w:val="20"/>
              </w:rPr>
              <w:t>obrazovanje na početku</w:t>
            </w:r>
            <w:r w:rsidR="00E7549B" w:rsidRPr="00A86FA4">
              <w:rPr>
                <w:b/>
                <w:sz w:val="20"/>
                <w:szCs w:val="20"/>
              </w:rPr>
              <w:t xml:space="preserve"> </w:t>
            </w:r>
            <w:r w:rsidRPr="00A86FA4">
              <w:rPr>
                <w:b/>
                <w:sz w:val="20"/>
                <w:szCs w:val="20"/>
              </w:rPr>
              <w:t>školske godine</w:t>
            </w:r>
          </w:p>
        </w:tc>
        <w:tc>
          <w:tcPr>
            <w:tcW w:w="11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9E917" w14:textId="0F5BA4B2" w:rsidR="00923690" w:rsidRPr="00A86FA4" w:rsidRDefault="00204483" w:rsidP="002A04BF">
            <w:pPr>
              <w:rPr>
                <w:b/>
                <w:sz w:val="20"/>
                <w:szCs w:val="20"/>
              </w:rPr>
            </w:pPr>
            <w:r w:rsidRPr="00A86FA4">
              <w:rPr>
                <w:b/>
                <w:sz w:val="20"/>
                <w:szCs w:val="20"/>
              </w:rPr>
              <w:t>Broj učenika srednjih</w:t>
            </w:r>
            <w:r w:rsidR="00E7549B" w:rsidRPr="00A86FA4">
              <w:rPr>
                <w:b/>
                <w:sz w:val="20"/>
                <w:szCs w:val="20"/>
              </w:rPr>
              <w:t xml:space="preserve"> </w:t>
            </w:r>
            <w:r w:rsidRPr="00A86FA4">
              <w:rPr>
                <w:b/>
                <w:sz w:val="20"/>
                <w:szCs w:val="20"/>
              </w:rPr>
              <w:t>škola koji su uključeni u</w:t>
            </w:r>
            <w:r w:rsidR="00E7549B" w:rsidRPr="00A86FA4">
              <w:rPr>
                <w:b/>
                <w:sz w:val="20"/>
                <w:szCs w:val="20"/>
              </w:rPr>
              <w:t xml:space="preserve"> </w:t>
            </w:r>
            <w:r w:rsidRPr="00A86FA4">
              <w:rPr>
                <w:b/>
                <w:sz w:val="20"/>
                <w:szCs w:val="20"/>
              </w:rPr>
              <w:t>srednjoškolsko</w:t>
            </w:r>
            <w:r w:rsidR="00E7549B" w:rsidRPr="00A86FA4">
              <w:rPr>
                <w:b/>
                <w:sz w:val="20"/>
                <w:szCs w:val="20"/>
              </w:rPr>
              <w:t xml:space="preserve"> </w:t>
            </w:r>
            <w:r w:rsidRPr="00A86FA4">
              <w:rPr>
                <w:b/>
                <w:sz w:val="20"/>
                <w:szCs w:val="20"/>
              </w:rPr>
              <w:t>obrazovanje na kraju</w:t>
            </w:r>
            <w:r w:rsidR="00E7549B" w:rsidRPr="00A86FA4">
              <w:rPr>
                <w:b/>
                <w:sz w:val="20"/>
                <w:szCs w:val="20"/>
              </w:rPr>
              <w:t xml:space="preserve"> </w:t>
            </w:r>
            <w:r w:rsidRPr="00A86FA4">
              <w:rPr>
                <w:b/>
                <w:sz w:val="20"/>
                <w:szCs w:val="20"/>
              </w:rPr>
              <w:t>školske godine</w:t>
            </w: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28441" w14:textId="49C9E9F3" w:rsidR="00204483" w:rsidRPr="00A86FA4" w:rsidRDefault="00204483" w:rsidP="002A04BF">
            <w:pPr>
              <w:rPr>
                <w:b/>
                <w:sz w:val="20"/>
                <w:szCs w:val="20"/>
              </w:rPr>
            </w:pPr>
            <w:r w:rsidRPr="00A86FA4">
              <w:rPr>
                <w:b/>
                <w:sz w:val="20"/>
                <w:szCs w:val="20"/>
              </w:rPr>
              <w:t>Broj učenika srednjih</w:t>
            </w:r>
            <w:r w:rsidR="00E7549B" w:rsidRPr="00A86FA4">
              <w:rPr>
                <w:b/>
                <w:sz w:val="20"/>
                <w:szCs w:val="20"/>
              </w:rPr>
              <w:t xml:space="preserve"> </w:t>
            </w:r>
            <w:r w:rsidRPr="00A86FA4">
              <w:rPr>
                <w:b/>
                <w:sz w:val="20"/>
                <w:szCs w:val="20"/>
              </w:rPr>
              <w:t>škola koji su napustili</w:t>
            </w:r>
          </w:p>
          <w:p w14:paraId="6CA85E58" w14:textId="77777777" w:rsidR="00204483" w:rsidRPr="00A86FA4" w:rsidRDefault="00204483" w:rsidP="002A04BF">
            <w:pPr>
              <w:rPr>
                <w:b/>
                <w:sz w:val="20"/>
                <w:szCs w:val="20"/>
              </w:rPr>
            </w:pPr>
            <w:r w:rsidRPr="00A86FA4">
              <w:rPr>
                <w:b/>
                <w:sz w:val="20"/>
                <w:szCs w:val="20"/>
              </w:rPr>
              <w:t>srednjoškolsko</w:t>
            </w:r>
          </w:p>
          <w:p w14:paraId="0A0FFC4A" w14:textId="6220EC56" w:rsidR="00923690" w:rsidRPr="00A86FA4" w:rsidRDefault="00204483" w:rsidP="002A04BF">
            <w:pPr>
              <w:rPr>
                <w:b/>
                <w:sz w:val="20"/>
                <w:szCs w:val="20"/>
              </w:rPr>
            </w:pPr>
            <w:r w:rsidRPr="00A86FA4">
              <w:rPr>
                <w:b/>
                <w:sz w:val="20"/>
                <w:szCs w:val="20"/>
              </w:rPr>
              <w:t>obrazovanje tijekom</w:t>
            </w:r>
            <w:r w:rsidR="00E7549B" w:rsidRPr="00A86FA4">
              <w:rPr>
                <w:b/>
                <w:sz w:val="20"/>
                <w:szCs w:val="20"/>
              </w:rPr>
              <w:t xml:space="preserve"> </w:t>
            </w:r>
            <w:r w:rsidRPr="00A86FA4">
              <w:rPr>
                <w:b/>
                <w:sz w:val="20"/>
                <w:szCs w:val="20"/>
              </w:rPr>
              <w:t>školske godine</w:t>
            </w:r>
          </w:p>
        </w:tc>
      </w:tr>
      <w:tr w:rsidR="005834DC" w:rsidRPr="005834DC" w14:paraId="32B98FE5" w14:textId="77777777" w:rsidTr="0062352A">
        <w:tc>
          <w:tcPr>
            <w:tcW w:w="1362" w:type="pct"/>
            <w:tcBorders>
              <w:top w:val="single" w:sz="4" w:space="0" w:color="auto"/>
            </w:tcBorders>
            <w:shd w:val="clear" w:color="auto" w:fill="F2F2F2" w:themeFill="background1" w:themeFillShade="F2"/>
          </w:tcPr>
          <w:p w14:paraId="3070EED2" w14:textId="338DD23B" w:rsidR="005834DC" w:rsidRPr="00A86FA4" w:rsidRDefault="005834DC" w:rsidP="0061594B">
            <w:pPr>
              <w:rPr>
                <w:rFonts w:cs="Times New Roman"/>
                <w:sz w:val="20"/>
                <w:szCs w:val="20"/>
              </w:rPr>
            </w:pPr>
            <w:r w:rsidRPr="00A86FA4">
              <w:rPr>
                <w:rFonts w:cs="Times New Roman"/>
                <w:sz w:val="20"/>
                <w:szCs w:val="20"/>
              </w:rPr>
              <w:t xml:space="preserve">Planirani ishodi za pokazatelje provedbe u 2024. </w:t>
            </w:r>
          </w:p>
        </w:tc>
        <w:tc>
          <w:tcPr>
            <w:tcW w:w="1516" w:type="pct"/>
            <w:tcBorders>
              <w:top w:val="single" w:sz="4" w:space="0" w:color="auto"/>
            </w:tcBorders>
          </w:tcPr>
          <w:p w14:paraId="7786C979" w14:textId="2B0D8C55" w:rsidR="005834DC" w:rsidRPr="00A86FA4" w:rsidRDefault="005834DC" w:rsidP="005834DC">
            <w:pPr>
              <w:jc w:val="center"/>
              <w:rPr>
                <w:rFonts w:cs="Times New Roman"/>
                <w:sz w:val="20"/>
                <w:szCs w:val="20"/>
              </w:rPr>
            </w:pPr>
            <w:r w:rsidRPr="00A86FA4">
              <w:rPr>
                <w:rFonts w:eastAsia="Calibri"/>
                <w:b/>
                <w:sz w:val="20"/>
                <w:szCs w:val="20"/>
              </w:rPr>
              <w:t>750</w:t>
            </w:r>
          </w:p>
        </w:tc>
        <w:tc>
          <w:tcPr>
            <w:tcW w:w="1137" w:type="pct"/>
            <w:tcBorders>
              <w:top w:val="single" w:sz="4" w:space="0" w:color="auto"/>
            </w:tcBorders>
          </w:tcPr>
          <w:p w14:paraId="08EC2956" w14:textId="41CD5379" w:rsidR="005834DC" w:rsidRPr="00A86FA4" w:rsidRDefault="005834DC" w:rsidP="005834DC">
            <w:pPr>
              <w:jc w:val="center"/>
              <w:rPr>
                <w:rFonts w:cs="Times New Roman"/>
                <w:sz w:val="20"/>
                <w:szCs w:val="20"/>
              </w:rPr>
            </w:pPr>
            <w:r w:rsidRPr="00A86FA4">
              <w:rPr>
                <w:rFonts w:eastAsia="Calibri"/>
                <w:b/>
                <w:sz w:val="20"/>
                <w:szCs w:val="20"/>
              </w:rPr>
              <w:t>700</w:t>
            </w:r>
          </w:p>
        </w:tc>
        <w:tc>
          <w:tcPr>
            <w:tcW w:w="985" w:type="pct"/>
            <w:tcBorders>
              <w:top w:val="single" w:sz="4" w:space="0" w:color="auto"/>
            </w:tcBorders>
          </w:tcPr>
          <w:p w14:paraId="66FA7DD0" w14:textId="7D082471" w:rsidR="005834DC" w:rsidRPr="00A86FA4" w:rsidRDefault="005834DC" w:rsidP="005834DC">
            <w:pPr>
              <w:jc w:val="center"/>
              <w:rPr>
                <w:rFonts w:cs="Times New Roman"/>
                <w:sz w:val="20"/>
                <w:szCs w:val="20"/>
              </w:rPr>
            </w:pPr>
            <w:r w:rsidRPr="00A86FA4">
              <w:rPr>
                <w:rFonts w:eastAsia="Calibri"/>
                <w:b/>
                <w:sz w:val="20"/>
                <w:szCs w:val="20"/>
              </w:rPr>
              <w:t>50</w:t>
            </w:r>
          </w:p>
        </w:tc>
      </w:tr>
      <w:tr w:rsidR="005834DC" w:rsidRPr="005834DC" w14:paraId="1BAE816A" w14:textId="77777777" w:rsidTr="0062352A">
        <w:tc>
          <w:tcPr>
            <w:tcW w:w="1362" w:type="pct"/>
            <w:shd w:val="clear" w:color="auto" w:fill="F2F2F2" w:themeFill="background1" w:themeFillShade="F2"/>
          </w:tcPr>
          <w:p w14:paraId="13D21D49" w14:textId="62C70264" w:rsidR="005834DC" w:rsidRPr="00A86FA4" w:rsidRDefault="005834DC" w:rsidP="0061594B">
            <w:pPr>
              <w:rPr>
                <w:rFonts w:cs="Times New Roman"/>
                <w:sz w:val="20"/>
                <w:szCs w:val="20"/>
              </w:rPr>
            </w:pPr>
            <w:r w:rsidRPr="00A86FA4">
              <w:rPr>
                <w:rFonts w:cs="Times New Roman"/>
                <w:sz w:val="20"/>
                <w:szCs w:val="20"/>
              </w:rPr>
              <w:t xml:space="preserve">Ostvareni ishodi za pokazatelje provedbe u 2024. </w:t>
            </w:r>
          </w:p>
        </w:tc>
        <w:tc>
          <w:tcPr>
            <w:tcW w:w="1516" w:type="pct"/>
          </w:tcPr>
          <w:p w14:paraId="08058736" w14:textId="77777777" w:rsidR="005834DC" w:rsidRPr="00A86FA4" w:rsidRDefault="005834DC" w:rsidP="005834DC">
            <w:pPr>
              <w:jc w:val="center"/>
              <w:rPr>
                <w:rFonts w:eastAsia="Calibri"/>
                <w:sz w:val="20"/>
                <w:szCs w:val="20"/>
              </w:rPr>
            </w:pPr>
            <w:r w:rsidRPr="00A86FA4">
              <w:rPr>
                <w:rFonts w:eastAsia="Calibri"/>
                <w:sz w:val="20"/>
                <w:szCs w:val="20"/>
              </w:rPr>
              <w:t>(početak šk. god. 2023./2024.)</w:t>
            </w:r>
          </w:p>
          <w:p w14:paraId="7EBA2BDE" w14:textId="12358580" w:rsidR="005834DC" w:rsidRPr="00A86FA4" w:rsidRDefault="005834DC" w:rsidP="005834DC">
            <w:pPr>
              <w:jc w:val="center"/>
              <w:rPr>
                <w:rFonts w:cs="Times New Roman"/>
                <w:sz w:val="20"/>
                <w:szCs w:val="20"/>
              </w:rPr>
            </w:pPr>
            <w:r w:rsidRPr="00A86FA4">
              <w:rPr>
                <w:rFonts w:eastAsia="Calibri"/>
                <w:b/>
                <w:sz w:val="20"/>
                <w:szCs w:val="20"/>
              </w:rPr>
              <w:t>744 (360m/384ž)</w:t>
            </w:r>
          </w:p>
        </w:tc>
        <w:tc>
          <w:tcPr>
            <w:tcW w:w="1137" w:type="pct"/>
          </w:tcPr>
          <w:p w14:paraId="4659F62B" w14:textId="77777777" w:rsidR="005834DC" w:rsidRPr="00A86FA4" w:rsidRDefault="005834DC" w:rsidP="005834DC">
            <w:pPr>
              <w:jc w:val="center"/>
              <w:rPr>
                <w:rFonts w:eastAsia="Calibri"/>
                <w:sz w:val="20"/>
                <w:szCs w:val="20"/>
              </w:rPr>
            </w:pPr>
            <w:r w:rsidRPr="00A86FA4">
              <w:rPr>
                <w:rFonts w:eastAsia="Calibri"/>
                <w:sz w:val="20"/>
                <w:szCs w:val="20"/>
              </w:rPr>
              <w:t>(kraj šk. god. 2023./2024.)</w:t>
            </w:r>
          </w:p>
          <w:p w14:paraId="4731E640" w14:textId="2A4F3899" w:rsidR="005834DC" w:rsidRPr="00A86FA4" w:rsidRDefault="005834DC" w:rsidP="005834DC">
            <w:pPr>
              <w:jc w:val="center"/>
              <w:rPr>
                <w:rFonts w:cs="Times New Roman"/>
                <w:sz w:val="20"/>
                <w:szCs w:val="20"/>
              </w:rPr>
            </w:pPr>
            <w:r w:rsidRPr="00A86FA4">
              <w:rPr>
                <w:rFonts w:eastAsia="Calibri"/>
                <w:b/>
                <w:sz w:val="20"/>
                <w:szCs w:val="20"/>
              </w:rPr>
              <w:t>694 (354m/340ž)</w:t>
            </w:r>
          </w:p>
        </w:tc>
        <w:tc>
          <w:tcPr>
            <w:tcW w:w="985" w:type="pct"/>
          </w:tcPr>
          <w:p w14:paraId="58AB277A" w14:textId="77777777" w:rsidR="005834DC" w:rsidRPr="00A86FA4" w:rsidRDefault="005834DC" w:rsidP="005834DC">
            <w:pPr>
              <w:jc w:val="center"/>
              <w:rPr>
                <w:rFonts w:eastAsia="Calibri"/>
                <w:sz w:val="20"/>
                <w:szCs w:val="20"/>
              </w:rPr>
            </w:pPr>
            <w:r w:rsidRPr="00A86FA4">
              <w:rPr>
                <w:rFonts w:eastAsia="Calibri"/>
                <w:sz w:val="20"/>
                <w:szCs w:val="20"/>
              </w:rPr>
              <w:t>(šk. god. 2023./2024.)</w:t>
            </w:r>
          </w:p>
          <w:p w14:paraId="39165948" w14:textId="77777777" w:rsidR="005834DC" w:rsidRPr="00A86FA4" w:rsidRDefault="005834DC" w:rsidP="005834DC">
            <w:pPr>
              <w:jc w:val="center"/>
              <w:rPr>
                <w:rFonts w:cs="Times New Roman"/>
                <w:b/>
                <w:sz w:val="20"/>
                <w:szCs w:val="20"/>
              </w:rPr>
            </w:pPr>
            <w:r w:rsidRPr="00A86FA4">
              <w:rPr>
                <w:rFonts w:cs="Times New Roman"/>
                <w:b/>
                <w:sz w:val="20"/>
                <w:szCs w:val="20"/>
              </w:rPr>
              <w:t>50</w:t>
            </w:r>
          </w:p>
          <w:p w14:paraId="605AEFCD" w14:textId="3C3B08CB" w:rsidR="005834DC" w:rsidRPr="00A86FA4" w:rsidRDefault="005834DC" w:rsidP="005834DC">
            <w:pPr>
              <w:jc w:val="center"/>
              <w:rPr>
                <w:rFonts w:cs="Times New Roman"/>
                <w:sz w:val="20"/>
                <w:szCs w:val="20"/>
              </w:rPr>
            </w:pPr>
            <w:r w:rsidRPr="00A86FA4">
              <w:rPr>
                <w:rFonts w:cs="Times New Roman"/>
                <w:b/>
                <w:sz w:val="20"/>
                <w:szCs w:val="20"/>
              </w:rPr>
              <w:t>(6m/44ž)</w:t>
            </w:r>
          </w:p>
        </w:tc>
      </w:tr>
      <w:tr w:rsidR="005834DC" w:rsidRPr="005834DC" w14:paraId="4A6298FC" w14:textId="77777777" w:rsidTr="00B66CD2">
        <w:tc>
          <w:tcPr>
            <w:tcW w:w="1362" w:type="pct"/>
            <w:shd w:val="clear" w:color="auto" w:fill="F2F2F2" w:themeFill="background1" w:themeFillShade="F2"/>
            <w:vAlign w:val="center"/>
          </w:tcPr>
          <w:p w14:paraId="10A76F3E" w14:textId="77777777" w:rsidR="005834DC" w:rsidRPr="00A86FA4" w:rsidRDefault="005834DC" w:rsidP="005834DC">
            <w:pPr>
              <w:rPr>
                <w:rFonts w:cs="Times New Roman"/>
                <w:b/>
                <w:sz w:val="20"/>
                <w:szCs w:val="20"/>
              </w:rPr>
            </w:pPr>
            <w:r w:rsidRPr="00A86FA4">
              <w:rPr>
                <w:rFonts w:cs="Times New Roman"/>
                <w:b/>
                <w:sz w:val="20"/>
                <w:szCs w:val="20"/>
              </w:rPr>
              <w:t xml:space="preserve">IZVORI FINANCIRANJA </w:t>
            </w:r>
          </w:p>
        </w:tc>
        <w:tc>
          <w:tcPr>
            <w:tcW w:w="1516" w:type="pct"/>
            <w:vAlign w:val="center"/>
          </w:tcPr>
          <w:p w14:paraId="026345B0" w14:textId="77777777" w:rsidR="005834DC" w:rsidRPr="00A86FA4" w:rsidRDefault="005834DC" w:rsidP="005834DC">
            <w:pPr>
              <w:jc w:val="center"/>
              <w:rPr>
                <w:rFonts w:cs="Times New Roman"/>
                <w:b/>
                <w:sz w:val="20"/>
                <w:szCs w:val="20"/>
              </w:rPr>
            </w:pPr>
            <w:r w:rsidRPr="00A86FA4">
              <w:rPr>
                <w:rFonts w:cs="Times New Roman"/>
                <w:b/>
                <w:sz w:val="20"/>
                <w:szCs w:val="20"/>
              </w:rPr>
              <w:t>Državni proračun (EUR)</w:t>
            </w:r>
          </w:p>
        </w:tc>
        <w:tc>
          <w:tcPr>
            <w:tcW w:w="1137" w:type="pct"/>
            <w:vAlign w:val="center"/>
          </w:tcPr>
          <w:p w14:paraId="35753233" w14:textId="77777777" w:rsidR="005834DC" w:rsidRPr="00A86FA4" w:rsidRDefault="005834DC" w:rsidP="005834DC">
            <w:pPr>
              <w:jc w:val="center"/>
              <w:rPr>
                <w:rFonts w:cs="Times New Roman"/>
                <w:b/>
                <w:sz w:val="20"/>
                <w:szCs w:val="20"/>
              </w:rPr>
            </w:pPr>
            <w:r w:rsidRPr="00A86FA4">
              <w:rPr>
                <w:rFonts w:cs="Times New Roman"/>
                <w:b/>
                <w:sz w:val="20"/>
                <w:szCs w:val="20"/>
              </w:rPr>
              <w:t>EU financiranje (EUR)</w:t>
            </w:r>
          </w:p>
        </w:tc>
        <w:tc>
          <w:tcPr>
            <w:tcW w:w="985" w:type="pct"/>
            <w:vAlign w:val="center"/>
          </w:tcPr>
          <w:p w14:paraId="6C13B062" w14:textId="77777777" w:rsidR="005834DC" w:rsidRPr="00A86FA4" w:rsidRDefault="005834DC" w:rsidP="005834DC">
            <w:pPr>
              <w:jc w:val="center"/>
              <w:rPr>
                <w:rFonts w:cs="Times New Roman"/>
                <w:b/>
                <w:sz w:val="20"/>
                <w:szCs w:val="20"/>
              </w:rPr>
            </w:pPr>
            <w:r w:rsidRPr="00A86FA4">
              <w:rPr>
                <w:rFonts w:cs="Times New Roman"/>
                <w:b/>
                <w:sz w:val="20"/>
                <w:szCs w:val="20"/>
              </w:rPr>
              <w:t>Drugi izvori (EUR)</w:t>
            </w:r>
          </w:p>
        </w:tc>
      </w:tr>
      <w:tr w:rsidR="005834DC" w:rsidRPr="005834DC" w14:paraId="7EF1B54E" w14:textId="77777777" w:rsidTr="00B66CD2">
        <w:tc>
          <w:tcPr>
            <w:tcW w:w="1362" w:type="pct"/>
            <w:shd w:val="clear" w:color="auto" w:fill="F2F2F2" w:themeFill="background1" w:themeFillShade="F2"/>
            <w:vAlign w:val="center"/>
          </w:tcPr>
          <w:p w14:paraId="4393DF47" w14:textId="07B391D2" w:rsidR="005834DC" w:rsidRPr="00A86FA4" w:rsidRDefault="005834DC" w:rsidP="0061594B">
            <w:pPr>
              <w:rPr>
                <w:rFonts w:cs="Times New Roman"/>
                <w:sz w:val="20"/>
                <w:szCs w:val="20"/>
              </w:rPr>
            </w:pPr>
            <w:r w:rsidRPr="00A86FA4">
              <w:rPr>
                <w:rFonts w:cs="Times New Roman"/>
                <w:sz w:val="20"/>
                <w:szCs w:val="20"/>
              </w:rPr>
              <w:t>Izvori financiranja u 2024. (proračunska pozicija i predviđeni iznos sredstava)</w:t>
            </w:r>
          </w:p>
        </w:tc>
        <w:tc>
          <w:tcPr>
            <w:tcW w:w="1516" w:type="pct"/>
            <w:vAlign w:val="center"/>
          </w:tcPr>
          <w:p w14:paraId="1AE97791" w14:textId="77777777" w:rsidR="005834DC" w:rsidRPr="00A86FA4" w:rsidRDefault="005834DC" w:rsidP="005834DC">
            <w:pPr>
              <w:jc w:val="center"/>
              <w:rPr>
                <w:rFonts w:cs="Times New Roman"/>
                <w:sz w:val="20"/>
                <w:szCs w:val="20"/>
              </w:rPr>
            </w:pPr>
            <w:r w:rsidRPr="00A86FA4">
              <w:rPr>
                <w:rFonts w:cs="Times New Roman"/>
                <w:sz w:val="20"/>
                <w:szCs w:val="20"/>
              </w:rPr>
              <w:t>A577000 - Administracija</w:t>
            </w:r>
          </w:p>
          <w:p w14:paraId="099CC82D" w14:textId="77777777" w:rsidR="005834DC" w:rsidRPr="00A86FA4" w:rsidRDefault="005834DC" w:rsidP="005834DC">
            <w:pPr>
              <w:jc w:val="center"/>
              <w:rPr>
                <w:rFonts w:cs="Times New Roman"/>
                <w:sz w:val="20"/>
                <w:szCs w:val="20"/>
              </w:rPr>
            </w:pPr>
            <w:r w:rsidRPr="00A86FA4">
              <w:rPr>
                <w:rFonts w:cs="Times New Roman"/>
                <w:sz w:val="20"/>
                <w:szCs w:val="20"/>
              </w:rPr>
              <w:t>i upravljanje</w:t>
            </w:r>
          </w:p>
        </w:tc>
        <w:tc>
          <w:tcPr>
            <w:tcW w:w="1137" w:type="pct"/>
            <w:vAlign w:val="center"/>
          </w:tcPr>
          <w:p w14:paraId="5EB8194C" w14:textId="77777777" w:rsidR="005834DC" w:rsidRPr="00A86FA4" w:rsidRDefault="005834DC" w:rsidP="005834DC">
            <w:pPr>
              <w:jc w:val="center"/>
              <w:rPr>
                <w:rFonts w:cs="Times New Roman"/>
                <w:sz w:val="20"/>
                <w:szCs w:val="20"/>
              </w:rPr>
            </w:pPr>
            <w:r w:rsidRPr="00A86FA4">
              <w:rPr>
                <w:rFonts w:cs="Times New Roman"/>
                <w:sz w:val="20"/>
                <w:szCs w:val="20"/>
              </w:rPr>
              <w:t>0,00</w:t>
            </w:r>
          </w:p>
        </w:tc>
        <w:tc>
          <w:tcPr>
            <w:tcW w:w="985" w:type="pct"/>
            <w:vAlign w:val="center"/>
          </w:tcPr>
          <w:p w14:paraId="57AF663A" w14:textId="77777777" w:rsidR="005834DC" w:rsidRPr="00A86FA4" w:rsidRDefault="005834DC" w:rsidP="005834DC">
            <w:pPr>
              <w:jc w:val="center"/>
              <w:rPr>
                <w:rFonts w:cs="Times New Roman"/>
                <w:sz w:val="20"/>
                <w:szCs w:val="20"/>
              </w:rPr>
            </w:pPr>
            <w:r w:rsidRPr="00A86FA4">
              <w:rPr>
                <w:rFonts w:cs="Times New Roman"/>
                <w:sz w:val="20"/>
                <w:szCs w:val="20"/>
              </w:rPr>
              <w:t xml:space="preserve">0,00 </w:t>
            </w:r>
          </w:p>
        </w:tc>
      </w:tr>
      <w:tr w:rsidR="005834DC" w:rsidRPr="005834DC" w14:paraId="1960FE75" w14:textId="77777777" w:rsidTr="00B66CD2">
        <w:tc>
          <w:tcPr>
            <w:tcW w:w="1362" w:type="pct"/>
            <w:vMerge w:val="restart"/>
            <w:shd w:val="clear" w:color="auto" w:fill="F2F2F2" w:themeFill="background1" w:themeFillShade="F2"/>
            <w:vAlign w:val="center"/>
          </w:tcPr>
          <w:p w14:paraId="19C5634E" w14:textId="77777777" w:rsidR="005834DC" w:rsidRPr="00A86FA4" w:rsidRDefault="005834DC" w:rsidP="005834DC">
            <w:pPr>
              <w:rPr>
                <w:rFonts w:cs="Times New Roman"/>
                <w:b/>
                <w:sz w:val="20"/>
                <w:szCs w:val="20"/>
              </w:rPr>
            </w:pPr>
            <w:r w:rsidRPr="00A86FA4">
              <w:rPr>
                <w:rFonts w:cs="Times New Roman"/>
                <w:b/>
                <w:sz w:val="20"/>
                <w:szCs w:val="20"/>
              </w:rPr>
              <w:t xml:space="preserve">UKUPNO UTROŠENA SREDSTVA PO IZVORU </w:t>
            </w:r>
          </w:p>
        </w:tc>
        <w:tc>
          <w:tcPr>
            <w:tcW w:w="1516" w:type="pct"/>
            <w:vAlign w:val="center"/>
          </w:tcPr>
          <w:p w14:paraId="447F6574" w14:textId="77777777" w:rsidR="005834DC" w:rsidRPr="00A86FA4" w:rsidRDefault="005834DC" w:rsidP="005834DC">
            <w:pPr>
              <w:jc w:val="center"/>
              <w:rPr>
                <w:rFonts w:cs="Times New Roman"/>
                <w:b/>
                <w:sz w:val="20"/>
                <w:szCs w:val="20"/>
              </w:rPr>
            </w:pPr>
            <w:r w:rsidRPr="00A86FA4">
              <w:rPr>
                <w:rFonts w:cs="Times New Roman"/>
                <w:b/>
                <w:sz w:val="20"/>
                <w:szCs w:val="20"/>
              </w:rPr>
              <w:t>Državni proračun (EUR)</w:t>
            </w:r>
          </w:p>
        </w:tc>
        <w:tc>
          <w:tcPr>
            <w:tcW w:w="1137" w:type="pct"/>
            <w:vAlign w:val="center"/>
          </w:tcPr>
          <w:p w14:paraId="6663DCDE" w14:textId="77777777" w:rsidR="005834DC" w:rsidRPr="00A86FA4" w:rsidRDefault="005834DC" w:rsidP="005834DC">
            <w:pPr>
              <w:jc w:val="center"/>
              <w:rPr>
                <w:rFonts w:cs="Times New Roman"/>
                <w:b/>
                <w:sz w:val="20"/>
                <w:szCs w:val="20"/>
              </w:rPr>
            </w:pPr>
            <w:r w:rsidRPr="00A86FA4">
              <w:rPr>
                <w:rFonts w:cs="Times New Roman"/>
                <w:b/>
                <w:sz w:val="20"/>
                <w:szCs w:val="20"/>
              </w:rPr>
              <w:t>EU financiranje (EUR)</w:t>
            </w:r>
          </w:p>
        </w:tc>
        <w:tc>
          <w:tcPr>
            <w:tcW w:w="985" w:type="pct"/>
            <w:vAlign w:val="center"/>
          </w:tcPr>
          <w:p w14:paraId="201D26AA" w14:textId="77777777" w:rsidR="005834DC" w:rsidRPr="00A86FA4" w:rsidRDefault="005834DC" w:rsidP="005834DC">
            <w:pPr>
              <w:jc w:val="center"/>
              <w:rPr>
                <w:rFonts w:cs="Times New Roman"/>
                <w:b/>
                <w:sz w:val="20"/>
                <w:szCs w:val="20"/>
              </w:rPr>
            </w:pPr>
            <w:r w:rsidRPr="00A86FA4">
              <w:rPr>
                <w:rFonts w:cs="Times New Roman"/>
                <w:b/>
                <w:sz w:val="20"/>
                <w:szCs w:val="20"/>
              </w:rPr>
              <w:t>Drugi izvori (EUR)</w:t>
            </w:r>
          </w:p>
        </w:tc>
      </w:tr>
      <w:tr w:rsidR="005834DC" w:rsidRPr="005834DC" w14:paraId="77207828" w14:textId="77777777" w:rsidTr="00B66CD2">
        <w:tc>
          <w:tcPr>
            <w:tcW w:w="1362" w:type="pct"/>
            <w:vMerge/>
            <w:shd w:val="clear" w:color="auto" w:fill="F2F2F2" w:themeFill="background1" w:themeFillShade="F2"/>
            <w:vAlign w:val="center"/>
          </w:tcPr>
          <w:p w14:paraId="390E98E9" w14:textId="77777777" w:rsidR="005834DC" w:rsidRPr="00A86FA4" w:rsidRDefault="005834DC" w:rsidP="005834DC">
            <w:pPr>
              <w:rPr>
                <w:rFonts w:cs="Times New Roman"/>
                <w:b/>
                <w:sz w:val="20"/>
                <w:szCs w:val="20"/>
              </w:rPr>
            </w:pPr>
          </w:p>
        </w:tc>
        <w:tc>
          <w:tcPr>
            <w:tcW w:w="1516" w:type="pct"/>
            <w:vAlign w:val="center"/>
          </w:tcPr>
          <w:p w14:paraId="000CE449" w14:textId="30AECDDB" w:rsidR="005834DC" w:rsidRPr="00A86FA4" w:rsidRDefault="005834DC" w:rsidP="005834DC">
            <w:pPr>
              <w:jc w:val="center"/>
              <w:rPr>
                <w:rFonts w:eastAsia="Calibri" w:cs="Times New Roman"/>
                <w:sz w:val="20"/>
                <w:szCs w:val="20"/>
              </w:rPr>
            </w:pPr>
            <w:r w:rsidRPr="00A86FA4">
              <w:rPr>
                <w:rFonts w:eastAsia="Calibri" w:cs="Times New Roman"/>
                <w:sz w:val="20"/>
                <w:szCs w:val="20"/>
              </w:rPr>
              <w:t>A577000- Administracija i upravljanje, Izvor 11</w:t>
            </w:r>
          </w:p>
          <w:p w14:paraId="099E7C7F" w14:textId="3CF609B1" w:rsidR="005834DC" w:rsidRPr="00A86FA4" w:rsidRDefault="005834DC" w:rsidP="005834DC">
            <w:pPr>
              <w:jc w:val="center"/>
              <w:rPr>
                <w:rFonts w:cs="Times New Roman"/>
                <w:b/>
                <w:sz w:val="20"/>
                <w:szCs w:val="20"/>
              </w:rPr>
            </w:pPr>
            <w:r w:rsidRPr="00A86FA4">
              <w:rPr>
                <w:rFonts w:eastAsia="Calibri" w:cs="Times New Roman"/>
                <w:b/>
                <w:sz w:val="20"/>
                <w:szCs w:val="20"/>
              </w:rPr>
              <w:t>0,00</w:t>
            </w:r>
          </w:p>
        </w:tc>
        <w:tc>
          <w:tcPr>
            <w:tcW w:w="1137" w:type="pct"/>
            <w:vAlign w:val="center"/>
          </w:tcPr>
          <w:p w14:paraId="201ABB8D" w14:textId="77777777" w:rsidR="005834DC" w:rsidRPr="00A86FA4" w:rsidRDefault="005834DC" w:rsidP="005834DC">
            <w:pPr>
              <w:jc w:val="center"/>
              <w:rPr>
                <w:rFonts w:cs="Times New Roman"/>
                <w:b/>
                <w:sz w:val="20"/>
                <w:szCs w:val="20"/>
              </w:rPr>
            </w:pPr>
            <w:r w:rsidRPr="00A86FA4">
              <w:rPr>
                <w:rFonts w:cs="Times New Roman"/>
                <w:b/>
                <w:sz w:val="20"/>
                <w:szCs w:val="20"/>
              </w:rPr>
              <w:t>0,00</w:t>
            </w:r>
          </w:p>
        </w:tc>
        <w:tc>
          <w:tcPr>
            <w:tcW w:w="985" w:type="pct"/>
            <w:vAlign w:val="center"/>
          </w:tcPr>
          <w:p w14:paraId="3C99E62F" w14:textId="77777777" w:rsidR="005834DC" w:rsidRPr="00A86FA4" w:rsidRDefault="005834DC" w:rsidP="005834DC">
            <w:pPr>
              <w:jc w:val="center"/>
              <w:rPr>
                <w:rFonts w:cs="Times New Roman"/>
                <w:b/>
                <w:sz w:val="20"/>
                <w:szCs w:val="20"/>
              </w:rPr>
            </w:pPr>
            <w:r w:rsidRPr="00A86FA4">
              <w:rPr>
                <w:rFonts w:cs="Times New Roman"/>
                <w:b/>
                <w:sz w:val="20"/>
                <w:szCs w:val="20"/>
              </w:rPr>
              <w:t xml:space="preserve">0,00 </w:t>
            </w:r>
          </w:p>
        </w:tc>
      </w:tr>
      <w:tr w:rsidR="005834DC" w:rsidRPr="005834DC" w14:paraId="1952385E" w14:textId="77777777" w:rsidTr="00B66CD2">
        <w:tc>
          <w:tcPr>
            <w:tcW w:w="1362" w:type="pct"/>
            <w:shd w:val="clear" w:color="auto" w:fill="F2F2F2" w:themeFill="background1" w:themeFillShade="F2"/>
            <w:vAlign w:val="center"/>
          </w:tcPr>
          <w:p w14:paraId="33AE83A1" w14:textId="4AA4672D" w:rsidR="005834DC" w:rsidRPr="003379F1" w:rsidRDefault="005834DC" w:rsidP="005834DC">
            <w:pPr>
              <w:rPr>
                <w:rFonts w:cs="Times New Roman"/>
                <w:sz w:val="20"/>
                <w:szCs w:val="20"/>
              </w:rPr>
            </w:pPr>
            <w:r w:rsidRPr="003379F1">
              <w:rPr>
                <w:rFonts w:cs="Times New Roman"/>
                <w:sz w:val="20"/>
                <w:szCs w:val="20"/>
              </w:rPr>
              <w:t>ROK PROVEDBE AKTIVNOSTI</w:t>
            </w:r>
          </w:p>
        </w:tc>
        <w:tc>
          <w:tcPr>
            <w:tcW w:w="3638" w:type="pct"/>
            <w:gridSpan w:val="3"/>
            <w:vAlign w:val="center"/>
          </w:tcPr>
          <w:p w14:paraId="48FC7CF2" w14:textId="66ED129F" w:rsidR="005834DC" w:rsidRPr="003379F1" w:rsidRDefault="005834DC" w:rsidP="005834DC">
            <w:pPr>
              <w:rPr>
                <w:rFonts w:cs="Times New Roman"/>
                <w:sz w:val="20"/>
                <w:szCs w:val="20"/>
              </w:rPr>
            </w:pPr>
            <w:r w:rsidRPr="003379F1">
              <w:rPr>
                <w:rFonts w:cs="Times New Roman"/>
                <w:sz w:val="20"/>
                <w:szCs w:val="20"/>
              </w:rPr>
              <w:t xml:space="preserve">II. kvartal 2025. </w:t>
            </w:r>
          </w:p>
        </w:tc>
      </w:tr>
    </w:tbl>
    <w:p w14:paraId="0D5CAE26" w14:textId="77777777" w:rsidR="00815B24" w:rsidRDefault="00815B24" w:rsidP="00D36147">
      <w:pPr>
        <w:spacing w:after="0" w:line="276" w:lineRule="auto"/>
        <w:rPr>
          <w:rFonts w:cs="Times New Roman"/>
          <w:i/>
          <w:iCs/>
        </w:rPr>
      </w:pPr>
    </w:p>
    <w:p w14:paraId="303D6B20" w14:textId="77777777" w:rsidR="003379F1" w:rsidRPr="00FC64BF" w:rsidRDefault="003379F1" w:rsidP="00D36147">
      <w:pPr>
        <w:spacing w:after="0" w:line="276" w:lineRule="auto"/>
        <w:rPr>
          <w:rFonts w:cs="Times New Roman"/>
          <w:i/>
          <w:iCs/>
        </w:rPr>
      </w:pPr>
    </w:p>
    <w:p w14:paraId="63CFCF06" w14:textId="52F67178" w:rsidR="00C65A9E" w:rsidRPr="00FC64BF" w:rsidRDefault="002D20C6" w:rsidP="00091FBD">
      <w:pPr>
        <w:spacing w:after="0" w:line="276" w:lineRule="auto"/>
        <w:jc w:val="both"/>
        <w:rPr>
          <w:rFonts w:cs="Times New Roman"/>
          <w:i/>
          <w:iCs/>
        </w:rPr>
      </w:pPr>
      <w:r w:rsidRPr="00FC64BF">
        <w:rPr>
          <w:rFonts w:cs="Times New Roman"/>
          <w:i/>
          <w:iCs/>
        </w:rPr>
        <w:t>Aktivnost 4</w:t>
      </w:r>
      <w:r w:rsidR="001A6535" w:rsidRPr="00FC64BF">
        <w:rPr>
          <w:rFonts w:cs="Times New Roman"/>
          <w:i/>
          <w:iCs/>
        </w:rPr>
        <w:t>.</w:t>
      </w:r>
      <w:r w:rsidRPr="00FC64BF">
        <w:rPr>
          <w:rFonts w:cs="Times New Roman"/>
          <w:i/>
          <w:iCs/>
        </w:rPr>
        <w:t>3</w:t>
      </w:r>
      <w:r w:rsidR="001A6535" w:rsidRPr="00FC64BF">
        <w:rPr>
          <w:rFonts w:cs="Times New Roman"/>
          <w:i/>
          <w:iCs/>
        </w:rPr>
        <w:t>.</w:t>
      </w:r>
      <w:r w:rsidR="00492B9B" w:rsidRPr="00FC64BF">
        <w:rPr>
          <w:rFonts w:cs="Times New Roman"/>
          <w:i/>
          <w:iCs/>
        </w:rPr>
        <w:t>10</w:t>
      </w:r>
      <w:r w:rsidR="001A6535" w:rsidRPr="00FC64BF">
        <w:rPr>
          <w:rFonts w:cs="Times New Roman"/>
          <w:i/>
          <w:iCs/>
        </w:rPr>
        <w:t>.</w:t>
      </w:r>
      <w:r w:rsidRPr="00FC64BF">
        <w:rPr>
          <w:rFonts w:cs="Times New Roman"/>
          <w:i/>
          <w:iCs/>
        </w:rPr>
        <w:t xml:space="preserve"> </w:t>
      </w:r>
      <w:r w:rsidR="001A6535" w:rsidRPr="00FC64BF">
        <w:rPr>
          <w:rFonts w:cs="Times New Roman"/>
          <w:i/>
          <w:iCs/>
        </w:rPr>
        <w:t>Osiguravanje mjesečnih stipendija redovitim učenicima srednjih škola pripadni</w:t>
      </w:r>
      <w:r w:rsidR="00C65A9E" w:rsidRPr="00FC64BF">
        <w:rPr>
          <w:rFonts w:cs="Times New Roman"/>
          <w:i/>
          <w:iCs/>
        </w:rPr>
        <w:t>cima romske nacionalne manjine</w:t>
      </w:r>
    </w:p>
    <w:p w14:paraId="2787136E" w14:textId="45DE9B79" w:rsidR="00C65A9E" w:rsidRPr="00FC64BF" w:rsidRDefault="00C65A9E" w:rsidP="004A3B23">
      <w:pPr>
        <w:spacing w:after="0" w:line="276" w:lineRule="auto"/>
        <w:jc w:val="both"/>
        <w:rPr>
          <w:rFonts w:cs="Times New Roman"/>
          <w:i/>
          <w:iCs/>
        </w:rPr>
      </w:pPr>
      <w:r w:rsidRPr="00FC64BF">
        <w:rPr>
          <w:rFonts w:cs="Times New Roman"/>
          <w:i/>
          <w:iCs/>
        </w:rPr>
        <w:lastRenderedPageBreak/>
        <w:t xml:space="preserve">Nositelj provedbe: </w:t>
      </w:r>
      <w:r w:rsidR="00F36CF1">
        <w:rPr>
          <w:rFonts w:cs="Times New Roman"/>
          <w:i/>
          <w:iCs/>
        </w:rPr>
        <w:t>Ministarstvo znanosti, obrazovanja i mladih</w:t>
      </w:r>
      <w:r w:rsidRPr="00FC64BF">
        <w:rPr>
          <w:rFonts w:cs="Times New Roman"/>
          <w:i/>
          <w:iCs/>
        </w:rPr>
        <w:t xml:space="preserve"> </w:t>
      </w:r>
    </w:p>
    <w:p w14:paraId="70FABEDF" w14:textId="77F9C425" w:rsidR="001A6535" w:rsidRPr="00FC64BF" w:rsidRDefault="00C65A9E" w:rsidP="00D36147">
      <w:pPr>
        <w:spacing w:after="0" w:line="276" w:lineRule="auto"/>
        <w:jc w:val="both"/>
        <w:rPr>
          <w:rFonts w:cs="Times New Roman"/>
          <w:i/>
          <w:iCs/>
        </w:rPr>
      </w:pPr>
      <w:r w:rsidRPr="00FC64BF">
        <w:rPr>
          <w:rFonts w:cs="Times New Roman"/>
          <w:i/>
          <w:iCs/>
        </w:rPr>
        <w:t xml:space="preserve">Partneri: </w:t>
      </w:r>
      <w:r w:rsidR="0085748A" w:rsidRPr="00FC64BF">
        <w:rPr>
          <w:rFonts w:cs="Times New Roman"/>
          <w:i/>
          <w:iCs/>
        </w:rPr>
        <w:t>S</w:t>
      </w:r>
      <w:r w:rsidRPr="00FC64BF">
        <w:rPr>
          <w:rFonts w:cs="Times New Roman"/>
          <w:i/>
          <w:iCs/>
        </w:rPr>
        <w:t>rednje škole</w:t>
      </w:r>
    </w:p>
    <w:p w14:paraId="202EA927" w14:textId="77777777" w:rsidR="00E7549B" w:rsidRPr="00D50089" w:rsidRDefault="00E7549B" w:rsidP="00D36147">
      <w:pPr>
        <w:spacing w:after="0" w:line="276" w:lineRule="auto"/>
        <w:jc w:val="both"/>
        <w:rPr>
          <w:rFonts w:cs="Times New Roman"/>
          <w:i/>
          <w:iCs/>
        </w:rPr>
      </w:pPr>
    </w:p>
    <w:p w14:paraId="00F10758" w14:textId="2261DDBB" w:rsidR="005834DC" w:rsidRPr="00FC64BF" w:rsidRDefault="005834DC" w:rsidP="00D36147">
      <w:pPr>
        <w:spacing w:after="0" w:line="276" w:lineRule="auto"/>
        <w:jc w:val="both"/>
        <w:rPr>
          <w:rFonts w:cs="Times New Roman"/>
        </w:rPr>
      </w:pPr>
      <w:r w:rsidRPr="00D50089">
        <w:rPr>
          <w:rFonts w:cs="Times New Roman"/>
        </w:rPr>
        <w:t>P</w:t>
      </w:r>
      <w:r w:rsidRPr="005834DC">
        <w:rPr>
          <w:rFonts w:cs="Times New Roman"/>
        </w:rPr>
        <w:t>utem Javnog poziva polaznicima srednjih škola pripadnicima romske nacionalne manjine Ministarstvo znanosti, obrazovanja i mladih osigurava stipendije za redovite učenike srednjih škola kako bi se omogućilo uspješno školovanje većeg broja učenika, zadržavanje u sustavu te uspješan nastavak daljnjeg obrazovanja. Srednjoškolske stipendije dodjeljuju se za razdoblje od deset mjeseci, od rujna prošle do lipnja tekuće godine te uključuje dodjelu stipendija i učenicima ponavljačima. Aktivnost odgovara potrebi smanjivanja razlike između prosječnog obuhvata i završnosti srednjeg obrazovanja u odnosu na isto na nacionalnoj razini kao i potrebi stjecanja znanja i vještina za rad i nastavak daljnjeg školovanja. U šk</w:t>
      </w:r>
      <w:r w:rsidR="003379F1">
        <w:rPr>
          <w:rFonts w:cs="Times New Roman"/>
        </w:rPr>
        <w:t>olskoj</w:t>
      </w:r>
      <w:r w:rsidRPr="005834DC">
        <w:rPr>
          <w:rFonts w:cs="Times New Roman"/>
        </w:rPr>
        <w:t xml:space="preserve"> godini 2023./2024. putem Javnog poziva dodijeljena je stipendija za 6</w:t>
      </w:r>
      <w:r w:rsidR="008339D8">
        <w:rPr>
          <w:rFonts w:cs="Times New Roman"/>
        </w:rPr>
        <w:t>41</w:t>
      </w:r>
      <w:r w:rsidRPr="005834DC">
        <w:rPr>
          <w:rFonts w:cs="Times New Roman"/>
        </w:rPr>
        <w:t xml:space="preserve"> učenika srednjih škola pripadnika romske nacionalne manjine</w:t>
      </w:r>
      <w:r>
        <w:rPr>
          <w:rFonts w:cs="Times New Roman"/>
        </w:rPr>
        <w:t>.</w:t>
      </w:r>
    </w:p>
    <w:p w14:paraId="1452E080" w14:textId="77777777" w:rsidR="00E7549B" w:rsidRPr="00FC64BF" w:rsidRDefault="00E7549B" w:rsidP="00D36147">
      <w:pPr>
        <w:spacing w:after="0" w:line="276" w:lineRule="auto"/>
        <w:jc w:val="both"/>
        <w:rPr>
          <w:rFonts w:cs="Times New Roman"/>
        </w:rPr>
      </w:pPr>
    </w:p>
    <w:tbl>
      <w:tblPr>
        <w:tblStyle w:val="TableGrid"/>
        <w:tblW w:w="0" w:type="auto"/>
        <w:tblLook w:val="04A0" w:firstRow="1" w:lastRow="0" w:firstColumn="1" w:lastColumn="0" w:noHBand="0" w:noVBand="1"/>
      </w:tblPr>
      <w:tblGrid>
        <w:gridCol w:w="2806"/>
        <w:gridCol w:w="2434"/>
        <w:gridCol w:w="2126"/>
        <w:gridCol w:w="1696"/>
      </w:tblGrid>
      <w:tr w:rsidR="005834DC" w:rsidRPr="005834DC" w14:paraId="571C916D" w14:textId="77777777" w:rsidTr="00B66CD2">
        <w:trPr>
          <w:trHeight w:val="606"/>
        </w:trPr>
        <w:tc>
          <w:tcPr>
            <w:tcW w:w="2806" w:type="dxa"/>
            <w:shd w:val="clear" w:color="auto" w:fill="F2F2F2" w:themeFill="background1" w:themeFillShade="F2"/>
            <w:vAlign w:val="center"/>
          </w:tcPr>
          <w:p w14:paraId="76E7C8BD" w14:textId="16A7F47B" w:rsidR="00114AB9" w:rsidRPr="003379F1" w:rsidRDefault="007E61F3" w:rsidP="002A04BF">
            <w:pPr>
              <w:spacing w:line="276" w:lineRule="auto"/>
              <w:rPr>
                <w:rFonts w:cs="Times New Roman"/>
                <w:b/>
                <w:sz w:val="20"/>
                <w:szCs w:val="20"/>
              </w:rPr>
            </w:pPr>
            <w:r w:rsidRPr="003379F1">
              <w:rPr>
                <w:rFonts w:cs="Times New Roman"/>
                <w:b/>
                <w:sz w:val="20"/>
                <w:szCs w:val="20"/>
              </w:rPr>
              <w:t>Pokazatelji provedbe i pokazatelji uspješnosti provedbe</w:t>
            </w:r>
          </w:p>
        </w:tc>
        <w:tc>
          <w:tcPr>
            <w:tcW w:w="2434" w:type="dxa"/>
            <w:shd w:val="clear" w:color="auto" w:fill="F2F2F2" w:themeFill="background1" w:themeFillShade="F2"/>
            <w:vAlign w:val="center"/>
          </w:tcPr>
          <w:p w14:paraId="222737BF" w14:textId="6606B3B2" w:rsidR="00114AB9" w:rsidRPr="003379F1" w:rsidRDefault="00114AB9" w:rsidP="00447EFE">
            <w:pPr>
              <w:spacing w:line="276" w:lineRule="auto"/>
              <w:jc w:val="center"/>
              <w:rPr>
                <w:rFonts w:eastAsia="Calibri" w:cs="Times New Roman"/>
                <w:b/>
                <w:strike/>
                <w:sz w:val="20"/>
                <w:szCs w:val="20"/>
              </w:rPr>
            </w:pPr>
            <w:r w:rsidRPr="003379F1">
              <w:rPr>
                <w:rFonts w:eastAsia="Calibri" w:cs="Times New Roman"/>
                <w:b/>
                <w:sz w:val="20"/>
                <w:szCs w:val="20"/>
              </w:rPr>
              <w:t>Ukupan broj učenika</w:t>
            </w:r>
            <w:r w:rsidR="00447EFE" w:rsidRPr="003379F1">
              <w:rPr>
                <w:rFonts w:eastAsia="Calibri" w:cs="Times New Roman"/>
                <w:b/>
                <w:sz w:val="20"/>
                <w:szCs w:val="20"/>
              </w:rPr>
              <w:t xml:space="preserve"> </w:t>
            </w:r>
            <w:r w:rsidRPr="003379F1">
              <w:rPr>
                <w:rFonts w:eastAsia="Calibri" w:cs="Times New Roman"/>
                <w:b/>
                <w:sz w:val="20"/>
                <w:szCs w:val="20"/>
              </w:rPr>
              <w:t>srednjih škola</w:t>
            </w:r>
          </w:p>
        </w:tc>
        <w:tc>
          <w:tcPr>
            <w:tcW w:w="2126" w:type="dxa"/>
            <w:shd w:val="clear" w:color="auto" w:fill="F2F2F2" w:themeFill="background1" w:themeFillShade="F2"/>
            <w:vAlign w:val="center"/>
          </w:tcPr>
          <w:p w14:paraId="29D07C1D" w14:textId="75A60789" w:rsidR="00114AB9" w:rsidRPr="003379F1" w:rsidRDefault="00114AB9" w:rsidP="00447EFE">
            <w:pPr>
              <w:spacing w:line="276" w:lineRule="auto"/>
              <w:jc w:val="center"/>
              <w:rPr>
                <w:rFonts w:cs="Times New Roman"/>
                <w:b/>
                <w:sz w:val="20"/>
                <w:szCs w:val="20"/>
              </w:rPr>
            </w:pPr>
            <w:r w:rsidRPr="003379F1">
              <w:rPr>
                <w:rFonts w:cs="Times New Roman"/>
                <w:b/>
                <w:sz w:val="20"/>
                <w:szCs w:val="20"/>
              </w:rPr>
              <w:t>Broj učenika kojima je</w:t>
            </w:r>
            <w:r w:rsidR="00447EFE" w:rsidRPr="003379F1">
              <w:rPr>
                <w:rFonts w:cs="Times New Roman"/>
                <w:b/>
                <w:sz w:val="20"/>
                <w:szCs w:val="20"/>
              </w:rPr>
              <w:t xml:space="preserve"> </w:t>
            </w:r>
            <w:r w:rsidRPr="003379F1">
              <w:rPr>
                <w:rFonts w:cs="Times New Roman"/>
                <w:b/>
                <w:sz w:val="20"/>
                <w:szCs w:val="20"/>
              </w:rPr>
              <w:t>dodijeljena</w:t>
            </w:r>
            <w:r w:rsidR="00447EFE" w:rsidRPr="003379F1">
              <w:rPr>
                <w:rFonts w:cs="Times New Roman"/>
                <w:b/>
                <w:sz w:val="20"/>
                <w:szCs w:val="20"/>
              </w:rPr>
              <w:t xml:space="preserve"> </w:t>
            </w:r>
            <w:r w:rsidRPr="003379F1">
              <w:rPr>
                <w:rFonts w:cs="Times New Roman"/>
                <w:b/>
                <w:sz w:val="20"/>
                <w:szCs w:val="20"/>
              </w:rPr>
              <w:t>srednjoškolska stipendija</w:t>
            </w:r>
          </w:p>
        </w:tc>
        <w:tc>
          <w:tcPr>
            <w:tcW w:w="1696" w:type="dxa"/>
            <w:shd w:val="clear" w:color="auto" w:fill="F2F2F2" w:themeFill="background1" w:themeFillShade="F2"/>
            <w:vAlign w:val="center"/>
          </w:tcPr>
          <w:p w14:paraId="7F3CB5EF" w14:textId="19A86946" w:rsidR="00114AB9" w:rsidRPr="003379F1" w:rsidRDefault="00114AB9" w:rsidP="002A04BF">
            <w:pPr>
              <w:spacing w:line="276" w:lineRule="auto"/>
              <w:jc w:val="center"/>
              <w:rPr>
                <w:rFonts w:cs="Times New Roman"/>
                <w:b/>
                <w:sz w:val="20"/>
                <w:szCs w:val="20"/>
              </w:rPr>
            </w:pPr>
            <w:r w:rsidRPr="003379F1">
              <w:rPr>
                <w:rFonts w:eastAsia="Calibri" w:cs="Times New Roman"/>
                <w:b/>
                <w:sz w:val="20"/>
                <w:szCs w:val="20"/>
              </w:rPr>
              <w:t>/</w:t>
            </w:r>
          </w:p>
        </w:tc>
      </w:tr>
      <w:tr w:rsidR="005834DC" w:rsidRPr="005834DC" w14:paraId="25CCBD42" w14:textId="77777777" w:rsidTr="0062352A">
        <w:tc>
          <w:tcPr>
            <w:tcW w:w="2806" w:type="dxa"/>
            <w:shd w:val="clear" w:color="auto" w:fill="F2F2F2" w:themeFill="background1" w:themeFillShade="F2"/>
          </w:tcPr>
          <w:p w14:paraId="7E03E952" w14:textId="0EEDD073" w:rsidR="005834DC" w:rsidRPr="00A86FA4" w:rsidRDefault="005834DC" w:rsidP="0061594B">
            <w:pPr>
              <w:spacing w:line="276" w:lineRule="auto"/>
              <w:rPr>
                <w:rFonts w:cs="Times New Roman"/>
                <w:sz w:val="20"/>
                <w:szCs w:val="20"/>
              </w:rPr>
            </w:pPr>
            <w:r w:rsidRPr="00A86FA4">
              <w:rPr>
                <w:rFonts w:cs="Times New Roman"/>
                <w:sz w:val="20"/>
                <w:szCs w:val="20"/>
              </w:rPr>
              <w:t>Planirani ishodi za pokazatelje provedbe u 2024.</w:t>
            </w:r>
          </w:p>
        </w:tc>
        <w:tc>
          <w:tcPr>
            <w:tcW w:w="2434" w:type="dxa"/>
          </w:tcPr>
          <w:p w14:paraId="771AF01D" w14:textId="5AFD94E9" w:rsidR="005834DC" w:rsidRPr="00A86FA4" w:rsidRDefault="005834DC" w:rsidP="005834DC">
            <w:pPr>
              <w:spacing w:line="276" w:lineRule="auto"/>
              <w:jc w:val="center"/>
              <w:rPr>
                <w:rFonts w:cs="Times New Roman"/>
                <w:sz w:val="20"/>
                <w:szCs w:val="20"/>
              </w:rPr>
            </w:pPr>
            <w:r w:rsidRPr="00A86FA4">
              <w:rPr>
                <w:rFonts w:cs="Times New Roman"/>
                <w:sz w:val="20"/>
                <w:szCs w:val="20"/>
              </w:rPr>
              <w:t>800</w:t>
            </w:r>
          </w:p>
        </w:tc>
        <w:tc>
          <w:tcPr>
            <w:tcW w:w="2126" w:type="dxa"/>
          </w:tcPr>
          <w:p w14:paraId="5F7A7627" w14:textId="4D469239" w:rsidR="005834DC" w:rsidRPr="00A86FA4" w:rsidRDefault="005834DC" w:rsidP="005834DC">
            <w:pPr>
              <w:spacing w:line="276" w:lineRule="auto"/>
              <w:jc w:val="center"/>
              <w:rPr>
                <w:rFonts w:cs="Times New Roman"/>
                <w:sz w:val="20"/>
                <w:szCs w:val="20"/>
              </w:rPr>
            </w:pPr>
            <w:r w:rsidRPr="00A86FA4">
              <w:rPr>
                <w:rFonts w:cs="Times New Roman"/>
                <w:sz w:val="20"/>
                <w:szCs w:val="20"/>
              </w:rPr>
              <w:t>800</w:t>
            </w:r>
          </w:p>
        </w:tc>
        <w:tc>
          <w:tcPr>
            <w:tcW w:w="1696" w:type="dxa"/>
          </w:tcPr>
          <w:p w14:paraId="7813AC7A" w14:textId="27647DE8" w:rsidR="005834DC" w:rsidRPr="00A86FA4" w:rsidRDefault="005834DC" w:rsidP="005834DC">
            <w:pPr>
              <w:spacing w:line="276" w:lineRule="auto"/>
              <w:jc w:val="center"/>
              <w:rPr>
                <w:rFonts w:cs="Times New Roman"/>
                <w:sz w:val="20"/>
                <w:szCs w:val="20"/>
              </w:rPr>
            </w:pPr>
            <w:r w:rsidRPr="00A86FA4">
              <w:rPr>
                <w:rFonts w:cs="Times New Roman"/>
                <w:sz w:val="20"/>
                <w:szCs w:val="20"/>
              </w:rPr>
              <w:t>/</w:t>
            </w:r>
          </w:p>
        </w:tc>
      </w:tr>
      <w:tr w:rsidR="005834DC" w:rsidRPr="005834DC" w14:paraId="612B73E5" w14:textId="77777777" w:rsidTr="0062352A">
        <w:tc>
          <w:tcPr>
            <w:tcW w:w="2806" w:type="dxa"/>
            <w:shd w:val="clear" w:color="auto" w:fill="F2F2F2" w:themeFill="background1" w:themeFillShade="F2"/>
          </w:tcPr>
          <w:p w14:paraId="3A85470C" w14:textId="5462973B" w:rsidR="005834DC" w:rsidRPr="00A86FA4" w:rsidRDefault="005834DC" w:rsidP="0061594B">
            <w:pPr>
              <w:spacing w:line="276" w:lineRule="auto"/>
              <w:rPr>
                <w:rFonts w:cs="Times New Roman"/>
                <w:sz w:val="20"/>
                <w:szCs w:val="20"/>
              </w:rPr>
            </w:pPr>
            <w:r w:rsidRPr="00A86FA4">
              <w:rPr>
                <w:rFonts w:cs="Times New Roman"/>
                <w:sz w:val="20"/>
                <w:szCs w:val="20"/>
              </w:rPr>
              <w:t xml:space="preserve">Ostvareni ishodi za pokazatelje provedbe u 2024. </w:t>
            </w:r>
          </w:p>
        </w:tc>
        <w:tc>
          <w:tcPr>
            <w:tcW w:w="2434" w:type="dxa"/>
          </w:tcPr>
          <w:p w14:paraId="0512ACC6" w14:textId="77777777" w:rsidR="005834DC" w:rsidRPr="00A86FA4" w:rsidRDefault="005834DC" w:rsidP="005834DC">
            <w:pPr>
              <w:jc w:val="center"/>
              <w:rPr>
                <w:rFonts w:eastAsia="Calibri"/>
                <w:sz w:val="20"/>
                <w:szCs w:val="20"/>
              </w:rPr>
            </w:pPr>
            <w:r w:rsidRPr="00A86FA4">
              <w:rPr>
                <w:rFonts w:eastAsia="Calibri"/>
                <w:sz w:val="20"/>
                <w:szCs w:val="20"/>
              </w:rPr>
              <w:t>(kraj šk. god. 2023./2024.)</w:t>
            </w:r>
          </w:p>
          <w:p w14:paraId="73D6A1DF" w14:textId="68F83A8A" w:rsidR="005834DC" w:rsidRPr="00A86FA4" w:rsidRDefault="005834DC">
            <w:pPr>
              <w:spacing w:line="276" w:lineRule="auto"/>
              <w:jc w:val="center"/>
              <w:rPr>
                <w:rFonts w:cs="Times New Roman"/>
                <w:sz w:val="20"/>
                <w:szCs w:val="20"/>
              </w:rPr>
            </w:pPr>
            <w:r w:rsidRPr="00A86FA4">
              <w:rPr>
                <w:rFonts w:eastAsia="Calibri"/>
                <w:sz w:val="20"/>
                <w:szCs w:val="20"/>
              </w:rPr>
              <w:t>694 (354</w:t>
            </w:r>
            <w:r w:rsidR="00637207">
              <w:rPr>
                <w:rFonts w:eastAsia="Calibri"/>
                <w:sz w:val="20"/>
                <w:szCs w:val="20"/>
              </w:rPr>
              <w:t>m</w:t>
            </w:r>
            <w:r w:rsidRPr="00A86FA4">
              <w:rPr>
                <w:rFonts w:eastAsia="Calibri"/>
                <w:sz w:val="20"/>
                <w:szCs w:val="20"/>
              </w:rPr>
              <w:t>/340ž)</w:t>
            </w:r>
          </w:p>
        </w:tc>
        <w:tc>
          <w:tcPr>
            <w:tcW w:w="2126" w:type="dxa"/>
          </w:tcPr>
          <w:p w14:paraId="0F71BF0E" w14:textId="1D8B7B42" w:rsidR="005834DC" w:rsidRDefault="008339D8" w:rsidP="005834DC">
            <w:pPr>
              <w:spacing w:line="276" w:lineRule="auto"/>
              <w:jc w:val="center"/>
              <w:rPr>
                <w:rFonts w:eastAsia="Calibri"/>
                <w:sz w:val="20"/>
                <w:szCs w:val="20"/>
              </w:rPr>
            </w:pPr>
            <w:r>
              <w:rPr>
                <w:rFonts w:eastAsia="Calibri"/>
                <w:sz w:val="20"/>
                <w:szCs w:val="20"/>
              </w:rPr>
              <w:t xml:space="preserve">kraj šk. god. 2023./2024. </w:t>
            </w:r>
          </w:p>
          <w:p w14:paraId="0C0CD02A" w14:textId="42EBA72A" w:rsidR="008339D8" w:rsidRPr="00A86FA4" w:rsidRDefault="008339D8" w:rsidP="008339D8">
            <w:pPr>
              <w:spacing w:line="276" w:lineRule="auto"/>
              <w:jc w:val="center"/>
              <w:rPr>
                <w:rFonts w:cs="Times New Roman"/>
                <w:sz w:val="20"/>
                <w:szCs w:val="20"/>
              </w:rPr>
            </w:pPr>
            <w:r>
              <w:rPr>
                <w:rFonts w:cs="Times New Roman"/>
                <w:sz w:val="20"/>
                <w:szCs w:val="20"/>
              </w:rPr>
              <w:t>641 (313m</w:t>
            </w:r>
            <w:r w:rsidR="00091FBD">
              <w:rPr>
                <w:rFonts w:cs="Times New Roman"/>
                <w:sz w:val="20"/>
                <w:szCs w:val="20"/>
              </w:rPr>
              <w:t>/</w:t>
            </w:r>
            <w:r>
              <w:rPr>
                <w:rFonts w:cs="Times New Roman"/>
                <w:sz w:val="20"/>
                <w:szCs w:val="20"/>
              </w:rPr>
              <w:t>328 ž)</w:t>
            </w:r>
          </w:p>
        </w:tc>
        <w:tc>
          <w:tcPr>
            <w:tcW w:w="1696" w:type="dxa"/>
          </w:tcPr>
          <w:p w14:paraId="629AA150" w14:textId="64243C54" w:rsidR="005834DC" w:rsidRPr="00A86FA4" w:rsidRDefault="005834DC" w:rsidP="005834DC">
            <w:pPr>
              <w:spacing w:line="276" w:lineRule="auto"/>
              <w:jc w:val="center"/>
              <w:rPr>
                <w:rFonts w:cs="Times New Roman"/>
                <w:sz w:val="20"/>
                <w:szCs w:val="20"/>
              </w:rPr>
            </w:pPr>
            <w:r w:rsidRPr="00A86FA4">
              <w:rPr>
                <w:rFonts w:cs="Times New Roman"/>
                <w:sz w:val="20"/>
                <w:szCs w:val="20"/>
              </w:rPr>
              <w:t>/</w:t>
            </w:r>
          </w:p>
        </w:tc>
      </w:tr>
      <w:tr w:rsidR="005834DC" w:rsidRPr="005834DC" w14:paraId="14A9DEEA" w14:textId="77777777" w:rsidTr="00B66CD2">
        <w:tc>
          <w:tcPr>
            <w:tcW w:w="2806" w:type="dxa"/>
            <w:shd w:val="clear" w:color="auto" w:fill="F2F2F2" w:themeFill="background1" w:themeFillShade="F2"/>
            <w:vAlign w:val="center"/>
          </w:tcPr>
          <w:p w14:paraId="5B09FF5E" w14:textId="77777777" w:rsidR="005834DC" w:rsidRPr="00A86FA4" w:rsidRDefault="005834DC" w:rsidP="005834DC">
            <w:pPr>
              <w:spacing w:line="276" w:lineRule="auto"/>
              <w:rPr>
                <w:rFonts w:cs="Times New Roman"/>
                <w:b/>
                <w:sz w:val="20"/>
                <w:szCs w:val="20"/>
              </w:rPr>
            </w:pPr>
            <w:r w:rsidRPr="00A86FA4">
              <w:rPr>
                <w:rFonts w:cs="Times New Roman"/>
                <w:b/>
                <w:sz w:val="20"/>
                <w:szCs w:val="20"/>
              </w:rPr>
              <w:t xml:space="preserve">IZVORI FINANCIRANJA </w:t>
            </w:r>
          </w:p>
        </w:tc>
        <w:tc>
          <w:tcPr>
            <w:tcW w:w="2434" w:type="dxa"/>
            <w:vAlign w:val="center"/>
          </w:tcPr>
          <w:p w14:paraId="2996978F"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Državni proračun (EUR)</w:t>
            </w:r>
          </w:p>
        </w:tc>
        <w:tc>
          <w:tcPr>
            <w:tcW w:w="2126" w:type="dxa"/>
            <w:vAlign w:val="center"/>
          </w:tcPr>
          <w:p w14:paraId="11411DB2"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EU financiranje (EUR)</w:t>
            </w:r>
          </w:p>
        </w:tc>
        <w:tc>
          <w:tcPr>
            <w:tcW w:w="1696" w:type="dxa"/>
            <w:vAlign w:val="center"/>
          </w:tcPr>
          <w:p w14:paraId="0A1CF9DA"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Drugi izvori (EUR)</w:t>
            </w:r>
          </w:p>
        </w:tc>
      </w:tr>
      <w:tr w:rsidR="005834DC" w:rsidRPr="005834DC" w14:paraId="52E90B36" w14:textId="77777777" w:rsidTr="00B66CD2">
        <w:tc>
          <w:tcPr>
            <w:tcW w:w="2806" w:type="dxa"/>
            <w:shd w:val="clear" w:color="auto" w:fill="F2F2F2" w:themeFill="background1" w:themeFillShade="F2"/>
            <w:vAlign w:val="center"/>
          </w:tcPr>
          <w:p w14:paraId="53D96BC2" w14:textId="655088E6" w:rsidR="005834DC" w:rsidRPr="00A86FA4" w:rsidRDefault="005834DC" w:rsidP="0061594B">
            <w:pPr>
              <w:spacing w:line="276" w:lineRule="auto"/>
              <w:rPr>
                <w:rFonts w:cs="Times New Roman"/>
                <w:sz w:val="20"/>
                <w:szCs w:val="20"/>
              </w:rPr>
            </w:pPr>
            <w:r w:rsidRPr="00A86FA4">
              <w:rPr>
                <w:rFonts w:cs="Times New Roman"/>
                <w:sz w:val="20"/>
                <w:szCs w:val="20"/>
              </w:rPr>
              <w:t>Izvori financiranja u 2023. (proračunska pozicija i predviđeni iznos sredstava)</w:t>
            </w:r>
          </w:p>
        </w:tc>
        <w:tc>
          <w:tcPr>
            <w:tcW w:w="2434" w:type="dxa"/>
            <w:vAlign w:val="center"/>
          </w:tcPr>
          <w:p w14:paraId="25DD1568" w14:textId="77777777" w:rsidR="005834DC" w:rsidRPr="00A86FA4" w:rsidRDefault="005834DC" w:rsidP="005834DC">
            <w:pPr>
              <w:spacing w:line="276" w:lineRule="auto"/>
              <w:jc w:val="center"/>
              <w:rPr>
                <w:rFonts w:cs="Times New Roman"/>
                <w:sz w:val="20"/>
                <w:szCs w:val="20"/>
              </w:rPr>
            </w:pPr>
            <w:r w:rsidRPr="00A86FA4">
              <w:rPr>
                <w:rFonts w:cs="Times New Roman"/>
                <w:sz w:val="20"/>
                <w:szCs w:val="20"/>
              </w:rPr>
              <w:t>A767003 –</w:t>
            </w:r>
          </w:p>
          <w:p w14:paraId="2D8B04DC" w14:textId="77777777" w:rsidR="005834DC" w:rsidRPr="00A86FA4" w:rsidRDefault="005834DC" w:rsidP="005834DC">
            <w:pPr>
              <w:spacing w:line="276" w:lineRule="auto"/>
              <w:jc w:val="center"/>
              <w:rPr>
                <w:rFonts w:cs="Times New Roman"/>
                <w:sz w:val="20"/>
                <w:szCs w:val="20"/>
              </w:rPr>
            </w:pPr>
            <w:r w:rsidRPr="00A86FA4">
              <w:rPr>
                <w:rFonts w:cs="Times New Roman"/>
                <w:sz w:val="20"/>
                <w:szCs w:val="20"/>
              </w:rPr>
              <w:t>Srednjoškolske stipendije</w:t>
            </w:r>
          </w:p>
          <w:p w14:paraId="68D5285D" w14:textId="74BDEADC" w:rsidR="005834DC" w:rsidRPr="00A86FA4" w:rsidRDefault="005834DC" w:rsidP="005834DC">
            <w:pPr>
              <w:spacing w:line="276" w:lineRule="auto"/>
              <w:jc w:val="center"/>
              <w:rPr>
                <w:rFonts w:cs="Times New Roman"/>
                <w:sz w:val="20"/>
                <w:szCs w:val="20"/>
              </w:rPr>
            </w:pPr>
            <w:r w:rsidRPr="00A86FA4">
              <w:rPr>
                <w:rFonts w:cs="Times New Roman"/>
                <w:sz w:val="20"/>
                <w:szCs w:val="20"/>
              </w:rPr>
              <w:t>za učenike Rome</w:t>
            </w:r>
          </w:p>
          <w:p w14:paraId="6057BC5F" w14:textId="34E7E824" w:rsidR="005834DC" w:rsidRPr="00A86FA4" w:rsidRDefault="005834DC" w:rsidP="005834DC">
            <w:pPr>
              <w:spacing w:line="276" w:lineRule="auto"/>
              <w:jc w:val="center"/>
              <w:rPr>
                <w:rFonts w:cs="Times New Roman"/>
                <w:sz w:val="20"/>
                <w:szCs w:val="20"/>
              </w:rPr>
            </w:pPr>
            <w:r w:rsidRPr="00A86FA4">
              <w:rPr>
                <w:rFonts w:cs="Times New Roman"/>
                <w:sz w:val="20"/>
                <w:szCs w:val="20"/>
              </w:rPr>
              <w:t>929.060,00</w:t>
            </w:r>
          </w:p>
        </w:tc>
        <w:tc>
          <w:tcPr>
            <w:tcW w:w="2126" w:type="dxa"/>
            <w:vAlign w:val="center"/>
          </w:tcPr>
          <w:p w14:paraId="20E28379" w14:textId="77777777" w:rsidR="005834DC" w:rsidRPr="00A86FA4" w:rsidRDefault="005834DC" w:rsidP="005834DC">
            <w:pPr>
              <w:spacing w:line="276" w:lineRule="auto"/>
              <w:jc w:val="center"/>
              <w:rPr>
                <w:rFonts w:cs="Times New Roman"/>
                <w:sz w:val="20"/>
                <w:szCs w:val="20"/>
              </w:rPr>
            </w:pPr>
            <w:r w:rsidRPr="00A86FA4">
              <w:rPr>
                <w:rFonts w:cs="Times New Roman"/>
                <w:sz w:val="20"/>
                <w:szCs w:val="20"/>
              </w:rPr>
              <w:t>0,00</w:t>
            </w:r>
          </w:p>
        </w:tc>
        <w:tc>
          <w:tcPr>
            <w:tcW w:w="1696" w:type="dxa"/>
            <w:vAlign w:val="center"/>
          </w:tcPr>
          <w:p w14:paraId="2CDA6F35" w14:textId="77777777" w:rsidR="005834DC" w:rsidRPr="00A86FA4" w:rsidRDefault="005834DC" w:rsidP="005834DC">
            <w:pPr>
              <w:spacing w:line="276" w:lineRule="auto"/>
              <w:jc w:val="center"/>
              <w:rPr>
                <w:rFonts w:cs="Times New Roman"/>
                <w:sz w:val="20"/>
                <w:szCs w:val="20"/>
              </w:rPr>
            </w:pPr>
            <w:r w:rsidRPr="00A86FA4">
              <w:rPr>
                <w:rFonts w:cs="Times New Roman"/>
                <w:sz w:val="20"/>
                <w:szCs w:val="20"/>
              </w:rPr>
              <w:t xml:space="preserve">0,00 </w:t>
            </w:r>
          </w:p>
        </w:tc>
      </w:tr>
      <w:tr w:rsidR="005834DC" w:rsidRPr="005834DC" w14:paraId="18EC94CE" w14:textId="77777777" w:rsidTr="00B66CD2">
        <w:tc>
          <w:tcPr>
            <w:tcW w:w="2806" w:type="dxa"/>
            <w:vMerge w:val="restart"/>
            <w:shd w:val="clear" w:color="auto" w:fill="F2F2F2" w:themeFill="background1" w:themeFillShade="F2"/>
            <w:vAlign w:val="center"/>
          </w:tcPr>
          <w:p w14:paraId="515FF0FB" w14:textId="77777777" w:rsidR="005834DC" w:rsidRPr="00A86FA4" w:rsidRDefault="005834DC" w:rsidP="005834DC">
            <w:pPr>
              <w:spacing w:line="276" w:lineRule="auto"/>
              <w:rPr>
                <w:rFonts w:cs="Times New Roman"/>
                <w:b/>
                <w:sz w:val="20"/>
                <w:szCs w:val="20"/>
              </w:rPr>
            </w:pPr>
            <w:r w:rsidRPr="00A86FA4">
              <w:rPr>
                <w:rFonts w:cs="Times New Roman"/>
                <w:b/>
                <w:sz w:val="20"/>
                <w:szCs w:val="20"/>
              </w:rPr>
              <w:t xml:space="preserve">UKUPNO UTROŠENA SREDSTVA PO IZVORU </w:t>
            </w:r>
          </w:p>
        </w:tc>
        <w:tc>
          <w:tcPr>
            <w:tcW w:w="2434" w:type="dxa"/>
            <w:vAlign w:val="center"/>
          </w:tcPr>
          <w:p w14:paraId="68ACA945"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Državni proračun (EUR)</w:t>
            </w:r>
          </w:p>
        </w:tc>
        <w:tc>
          <w:tcPr>
            <w:tcW w:w="2126" w:type="dxa"/>
            <w:vAlign w:val="center"/>
          </w:tcPr>
          <w:p w14:paraId="42E69EF9"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EU financiranje (EUR)</w:t>
            </w:r>
          </w:p>
        </w:tc>
        <w:tc>
          <w:tcPr>
            <w:tcW w:w="1696" w:type="dxa"/>
            <w:vAlign w:val="center"/>
          </w:tcPr>
          <w:p w14:paraId="246D874F"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Drugi izvori (EUR)</w:t>
            </w:r>
          </w:p>
        </w:tc>
      </w:tr>
      <w:tr w:rsidR="005834DC" w:rsidRPr="005834DC" w14:paraId="491B68F1" w14:textId="77777777" w:rsidTr="00B66CD2">
        <w:tc>
          <w:tcPr>
            <w:tcW w:w="2806" w:type="dxa"/>
            <w:vMerge/>
            <w:shd w:val="clear" w:color="auto" w:fill="F2F2F2" w:themeFill="background1" w:themeFillShade="F2"/>
            <w:vAlign w:val="center"/>
          </w:tcPr>
          <w:p w14:paraId="471551AB" w14:textId="77777777" w:rsidR="005834DC" w:rsidRPr="00A86FA4" w:rsidRDefault="005834DC" w:rsidP="005834DC">
            <w:pPr>
              <w:spacing w:line="276" w:lineRule="auto"/>
              <w:rPr>
                <w:rFonts w:cs="Times New Roman"/>
                <w:b/>
                <w:sz w:val="20"/>
                <w:szCs w:val="20"/>
              </w:rPr>
            </w:pPr>
          </w:p>
        </w:tc>
        <w:tc>
          <w:tcPr>
            <w:tcW w:w="2434" w:type="dxa"/>
            <w:vAlign w:val="center"/>
          </w:tcPr>
          <w:p w14:paraId="3E695F81" w14:textId="3FC18E69" w:rsidR="005834DC" w:rsidRPr="00A86FA4" w:rsidRDefault="005834DC" w:rsidP="005834DC">
            <w:pPr>
              <w:spacing w:line="276" w:lineRule="auto"/>
              <w:jc w:val="center"/>
              <w:rPr>
                <w:rFonts w:eastAsia="Calibri" w:cs="Times New Roman"/>
                <w:sz w:val="20"/>
                <w:szCs w:val="20"/>
              </w:rPr>
            </w:pPr>
            <w:r w:rsidRPr="00A86FA4">
              <w:rPr>
                <w:rFonts w:eastAsia="Calibri" w:cs="Times New Roman"/>
                <w:sz w:val="20"/>
                <w:szCs w:val="20"/>
              </w:rPr>
              <w:t>A767003 – Srednjoškolske stipendije za učenike Rome</w:t>
            </w:r>
          </w:p>
          <w:p w14:paraId="26F0BC78" w14:textId="15EAA0F1" w:rsidR="005834DC" w:rsidRPr="00A86FA4" w:rsidRDefault="00F5670A">
            <w:pPr>
              <w:spacing w:line="276" w:lineRule="auto"/>
              <w:jc w:val="center"/>
              <w:rPr>
                <w:rFonts w:cs="Times New Roman"/>
                <w:b/>
                <w:sz w:val="20"/>
                <w:szCs w:val="20"/>
              </w:rPr>
            </w:pPr>
            <w:r>
              <w:rPr>
                <w:rFonts w:cs="Times New Roman"/>
                <w:b/>
                <w:sz w:val="20"/>
                <w:szCs w:val="20"/>
              </w:rPr>
              <w:t xml:space="preserve">774.171,66 </w:t>
            </w:r>
          </w:p>
        </w:tc>
        <w:tc>
          <w:tcPr>
            <w:tcW w:w="2126" w:type="dxa"/>
            <w:vAlign w:val="center"/>
          </w:tcPr>
          <w:p w14:paraId="7C7AFE96"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0,00</w:t>
            </w:r>
          </w:p>
        </w:tc>
        <w:tc>
          <w:tcPr>
            <w:tcW w:w="1696" w:type="dxa"/>
            <w:vAlign w:val="center"/>
          </w:tcPr>
          <w:p w14:paraId="1585CD23" w14:textId="77777777" w:rsidR="005834DC" w:rsidRPr="00A86FA4" w:rsidRDefault="005834DC" w:rsidP="005834DC">
            <w:pPr>
              <w:spacing w:line="276" w:lineRule="auto"/>
              <w:jc w:val="center"/>
              <w:rPr>
                <w:rFonts w:cs="Times New Roman"/>
                <w:b/>
                <w:sz w:val="20"/>
                <w:szCs w:val="20"/>
              </w:rPr>
            </w:pPr>
            <w:r w:rsidRPr="00A86FA4">
              <w:rPr>
                <w:rFonts w:cs="Times New Roman"/>
                <w:b/>
                <w:sz w:val="20"/>
                <w:szCs w:val="20"/>
              </w:rPr>
              <w:t xml:space="preserve">0,00 </w:t>
            </w:r>
          </w:p>
        </w:tc>
      </w:tr>
      <w:tr w:rsidR="005834DC" w:rsidRPr="005834DC" w14:paraId="71E63579" w14:textId="77777777" w:rsidTr="00B66CD2">
        <w:trPr>
          <w:trHeight w:val="308"/>
        </w:trPr>
        <w:tc>
          <w:tcPr>
            <w:tcW w:w="2806" w:type="dxa"/>
            <w:shd w:val="clear" w:color="auto" w:fill="F2F2F2" w:themeFill="background1" w:themeFillShade="F2"/>
            <w:vAlign w:val="center"/>
          </w:tcPr>
          <w:p w14:paraId="3B95CC5A" w14:textId="6F008DC5" w:rsidR="005834DC" w:rsidRPr="003379F1" w:rsidRDefault="005834DC" w:rsidP="005834DC">
            <w:pPr>
              <w:spacing w:line="276" w:lineRule="auto"/>
              <w:rPr>
                <w:rFonts w:cs="Times New Roman"/>
                <w:sz w:val="20"/>
                <w:szCs w:val="20"/>
              </w:rPr>
            </w:pPr>
            <w:r w:rsidRPr="003379F1">
              <w:rPr>
                <w:rFonts w:cs="Times New Roman"/>
                <w:sz w:val="20"/>
                <w:szCs w:val="20"/>
              </w:rPr>
              <w:t>ROK PROVEDBE AKTIVNOSTI</w:t>
            </w:r>
          </w:p>
        </w:tc>
        <w:tc>
          <w:tcPr>
            <w:tcW w:w="6256" w:type="dxa"/>
            <w:gridSpan w:val="3"/>
            <w:vAlign w:val="center"/>
          </w:tcPr>
          <w:p w14:paraId="7CCD7AA0" w14:textId="77777777" w:rsidR="005834DC" w:rsidRPr="003379F1" w:rsidRDefault="005834DC" w:rsidP="005834DC">
            <w:pPr>
              <w:spacing w:line="276" w:lineRule="auto"/>
              <w:rPr>
                <w:rFonts w:cs="Times New Roman"/>
                <w:sz w:val="20"/>
                <w:szCs w:val="20"/>
              </w:rPr>
            </w:pPr>
            <w:r w:rsidRPr="003379F1">
              <w:rPr>
                <w:rFonts w:cs="Times New Roman"/>
                <w:sz w:val="20"/>
                <w:szCs w:val="20"/>
              </w:rPr>
              <w:t xml:space="preserve">II. kvartal 2025. </w:t>
            </w:r>
          </w:p>
        </w:tc>
      </w:tr>
    </w:tbl>
    <w:p w14:paraId="7B3C3782" w14:textId="77777777" w:rsidR="003379F1" w:rsidRPr="00D50089" w:rsidRDefault="003379F1" w:rsidP="004A3B23">
      <w:pPr>
        <w:spacing w:after="0" w:line="276" w:lineRule="auto"/>
        <w:jc w:val="both"/>
        <w:rPr>
          <w:rFonts w:cs="Times New Roman"/>
          <w:i/>
          <w:iCs/>
        </w:rPr>
      </w:pPr>
    </w:p>
    <w:p w14:paraId="53801A97" w14:textId="29C221DE" w:rsidR="00330FAE" w:rsidRPr="00D50089" w:rsidRDefault="00330FAE">
      <w:pPr>
        <w:rPr>
          <w:rFonts w:cs="Times New Roman"/>
          <w:i/>
          <w:iCs/>
        </w:rPr>
      </w:pPr>
    </w:p>
    <w:p w14:paraId="7F350B12" w14:textId="7713F3E2" w:rsidR="00C65A9E" w:rsidRPr="00FC64BF" w:rsidRDefault="002D20C6" w:rsidP="00D36147">
      <w:pPr>
        <w:spacing w:after="0" w:line="276" w:lineRule="auto"/>
        <w:jc w:val="both"/>
        <w:rPr>
          <w:rFonts w:cs="Times New Roman"/>
          <w:i/>
          <w:iCs/>
        </w:rPr>
      </w:pPr>
      <w:r w:rsidRPr="00FC64BF">
        <w:rPr>
          <w:rFonts w:cs="Times New Roman"/>
          <w:i/>
          <w:iCs/>
        </w:rPr>
        <w:t>Aktivnost 4</w:t>
      </w:r>
      <w:r w:rsidR="001A6535" w:rsidRPr="00FC64BF">
        <w:rPr>
          <w:rFonts w:cs="Times New Roman"/>
          <w:i/>
          <w:iCs/>
        </w:rPr>
        <w:t>.</w:t>
      </w:r>
      <w:r w:rsidRPr="00FC64BF">
        <w:rPr>
          <w:rFonts w:cs="Times New Roman"/>
          <w:i/>
          <w:iCs/>
        </w:rPr>
        <w:t>3</w:t>
      </w:r>
      <w:r w:rsidR="001A6535" w:rsidRPr="00FC64BF">
        <w:rPr>
          <w:rFonts w:cs="Times New Roman"/>
          <w:i/>
          <w:iCs/>
        </w:rPr>
        <w:t>.</w:t>
      </w:r>
      <w:r w:rsidR="00492B9B" w:rsidRPr="00FC64BF">
        <w:rPr>
          <w:rFonts w:cs="Times New Roman"/>
          <w:i/>
          <w:iCs/>
        </w:rPr>
        <w:t>11</w:t>
      </w:r>
      <w:r w:rsidR="001A6535" w:rsidRPr="00FC64BF">
        <w:rPr>
          <w:rFonts w:cs="Times New Roman"/>
          <w:i/>
          <w:iCs/>
        </w:rPr>
        <w:t>.</w:t>
      </w:r>
      <w:r w:rsidRPr="00FC64BF">
        <w:rPr>
          <w:rFonts w:cs="Times New Roman"/>
          <w:i/>
          <w:iCs/>
        </w:rPr>
        <w:t xml:space="preserve"> </w:t>
      </w:r>
      <w:r w:rsidR="001A6535" w:rsidRPr="00FC64BF">
        <w:rPr>
          <w:rFonts w:cs="Times New Roman"/>
          <w:i/>
          <w:iCs/>
        </w:rPr>
        <w:t>Osiguravanje jednokratne novčane pomoći redovitim učenicima pripadnicima romske nacionalne manjine koji završav</w:t>
      </w:r>
      <w:r w:rsidR="00C65A9E" w:rsidRPr="00FC64BF">
        <w:rPr>
          <w:rFonts w:cs="Times New Roman"/>
          <w:i/>
          <w:iCs/>
        </w:rPr>
        <w:t>aju srednjoškolsko obrazovanje</w:t>
      </w:r>
    </w:p>
    <w:p w14:paraId="1FEAA7DF" w14:textId="60386F66" w:rsidR="00C65A9E" w:rsidRPr="00FC64BF" w:rsidRDefault="00C65A9E" w:rsidP="00D36147">
      <w:pPr>
        <w:spacing w:after="0" w:line="276" w:lineRule="auto"/>
        <w:jc w:val="both"/>
        <w:rPr>
          <w:rFonts w:cs="Times New Roman"/>
          <w:i/>
          <w:iCs/>
        </w:rPr>
      </w:pPr>
      <w:r w:rsidRPr="00FC64BF">
        <w:rPr>
          <w:rFonts w:cs="Times New Roman"/>
          <w:i/>
          <w:iCs/>
        </w:rPr>
        <w:t xml:space="preserve">Nositelj provedbe: </w:t>
      </w:r>
      <w:r w:rsidR="00F36CF1">
        <w:rPr>
          <w:rFonts w:cs="Times New Roman"/>
          <w:i/>
          <w:iCs/>
        </w:rPr>
        <w:t>Ministarstvo znanosti, obrazovanja i mladih</w:t>
      </w:r>
      <w:r w:rsidR="00654528" w:rsidRPr="00FC64BF">
        <w:rPr>
          <w:rFonts w:cs="Times New Roman"/>
          <w:i/>
          <w:iCs/>
        </w:rPr>
        <w:t xml:space="preserve"> </w:t>
      </w:r>
    </w:p>
    <w:p w14:paraId="3840A01D" w14:textId="067A0C60" w:rsidR="00654528" w:rsidRPr="00FC64BF" w:rsidRDefault="00C65A9E" w:rsidP="00D36147">
      <w:pPr>
        <w:spacing w:after="0" w:line="276" w:lineRule="auto"/>
        <w:jc w:val="both"/>
        <w:rPr>
          <w:rFonts w:cs="Times New Roman"/>
          <w:i/>
          <w:iCs/>
        </w:rPr>
      </w:pPr>
      <w:r w:rsidRPr="00FC64BF">
        <w:rPr>
          <w:rFonts w:cs="Times New Roman"/>
          <w:i/>
          <w:iCs/>
        </w:rPr>
        <w:t>P</w:t>
      </w:r>
      <w:r w:rsidR="00F973EB" w:rsidRPr="00FC64BF">
        <w:rPr>
          <w:rFonts w:cs="Times New Roman"/>
          <w:i/>
          <w:iCs/>
        </w:rPr>
        <w:t xml:space="preserve">artneri: </w:t>
      </w:r>
      <w:r w:rsidR="0085748A" w:rsidRPr="00FC64BF">
        <w:rPr>
          <w:rFonts w:cs="Times New Roman"/>
          <w:i/>
          <w:iCs/>
        </w:rPr>
        <w:t>S</w:t>
      </w:r>
      <w:r w:rsidR="00F973EB" w:rsidRPr="00FC64BF">
        <w:rPr>
          <w:rFonts w:cs="Times New Roman"/>
          <w:i/>
          <w:iCs/>
        </w:rPr>
        <w:t>rednje škole</w:t>
      </w:r>
    </w:p>
    <w:p w14:paraId="107DDA12" w14:textId="77777777" w:rsidR="00E7549B" w:rsidRPr="00FC64BF" w:rsidRDefault="00E7549B" w:rsidP="00D36147">
      <w:pPr>
        <w:spacing w:after="0" w:line="276" w:lineRule="auto"/>
        <w:jc w:val="both"/>
        <w:rPr>
          <w:rFonts w:cs="Times New Roman"/>
          <w:i/>
          <w:iCs/>
        </w:rPr>
      </w:pPr>
    </w:p>
    <w:p w14:paraId="240D378A" w14:textId="6912DE69" w:rsidR="00815B24" w:rsidRPr="00FC64BF" w:rsidRDefault="0085748A" w:rsidP="00D36147">
      <w:pPr>
        <w:spacing w:after="0" w:line="276" w:lineRule="auto"/>
        <w:jc w:val="both"/>
        <w:rPr>
          <w:rFonts w:cs="Times New Roman"/>
        </w:rPr>
      </w:pPr>
      <w:r w:rsidRPr="00FC64BF">
        <w:rPr>
          <w:rFonts w:cs="Times New Roman"/>
        </w:rPr>
        <w:t xml:space="preserve">Mjera predviđa osiguravanje jednokratne novčane pomoći učenicima pripadnicima romske nacionalne manjine koji u tekućoj godini završavaju srednjoškolsko obrazovanje. Stimuliranje učenika odnosi se na završavanje trogodišnjih programa te četverogodišnjih i petogodišnjih programa u tekućoj godini. Programom stipendiranja te osiguravanja jednokratnih novčanih </w:t>
      </w:r>
      <w:r w:rsidRPr="00FC64BF">
        <w:rPr>
          <w:rFonts w:cs="Times New Roman"/>
        </w:rPr>
        <w:lastRenderedPageBreak/>
        <w:t>pomoći za završetak srednjoškolskog obrazovanja učenika romske nacionalne manjine nastoji se potaknuti upisivanje u srednju školu kao i završavanje iste te se nastoji dodatno povećati omjer školovanih Roma kao i potaknuti upis u srednjoškolske programe koji mogu osigurati upise na visoka učilišta.</w:t>
      </w:r>
    </w:p>
    <w:p w14:paraId="4723AC18" w14:textId="77777777" w:rsidR="00E7549B" w:rsidRPr="00FC64BF" w:rsidRDefault="00E7549B" w:rsidP="00D36147">
      <w:pPr>
        <w:spacing w:after="0" w:line="276" w:lineRule="auto"/>
        <w:jc w:val="both"/>
        <w:rPr>
          <w:rFonts w:cs="Times New Roman"/>
        </w:rPr>
      </w:pPr>
    </w:p>
    <w:tbl>
      <w:tblPr>
        <w:tblStyle w:val="TableGrid"/>
        <w:tblW w:w="0" w:type="auto"/>
        <w:tblLayout w:type="fixed"/>
        <w:tblLook w:val="04A0" w:firstRow="1" w:lastRow="0" w:firstColumn="1" w:lastColumn="0" w:noHBand="0" w:noVBand="1"/>
      </w:tblPr>
      <w:tblGrid>
        <w:gridCol w:w="3342"/>
        <w:gridCol w:w="2465"/>
        <w:gridCol w:w="1914"/>
        <w:gridCol w:w="1341"/>
      </w:tblGrid>
      <w:tr w:rsidR="00CE622A" w:rsidRPr="005834DC" w14:paraId="19535B17" w14:textId="77777777" w:rsidTr="002A04BF">
        <w:trPr>
          <w:trHeight w:val="606"/>
        </w:trPr>
        <w:tc>
          <w:tcPr>
            <w:tcW w:w="3342" w:type="dxa"/>
            <w:shd w:val="clear" w:color="auto" w:fill="F2F2F2" w:themeFill="background1" w:themeFillShade="F2"/>
            <w:vAlign w:val="center"/>
          </w:tcPr>
          <w:p w14:paraId="6C6BDC29" w14:textId="6A0AADA5" w:rsidR="00114AB9" w:rsidRPr="00A86FA4" w:rsidRDefault="007E61F3" w:rsidP="002A04BF">
            <w:pPr>
              <w:rPr>
                <w:rFonts w:cs="Times New Roman"/>
                <w:b/>
                <w:sz w:val="20"/>
                <w:szCs w:val="20"/>
              </w:rPr>
            </w:pPr>
            <w:r w:rsidRPr="00A86FA4">
              <w:rPr>
                <w:rFonts w:cs="Times New Roman"/>
                <w:b/>
                <w:sz w:val="20"/>
                <w:szCs w:val="20"/>
              </w:rPr>
              <w:t>Pokazatelji provedbe i pokazatelji uspješnosti provedbe</w:t>
            </w:r>
          </w:p>
        </w:tc>
        <w:tc>
          <w:tcPr>
            <w:tcW w:w="2465" w:type="dxa"/>
            <w:shd w:val="clear" w:color="auto" w:fill="F2F2F2" w:themeFill="background1" w:themeFillShade="F2"/>
            <w:vAlign w:val="center"/>
          </w:tcPr>
          <w:p w14:paraId="2D400D9C" w14:textId="7D7BFED0" w:rsidR="00114AB9" w:rsidRPr="00A86FA4" w:rsidRDefault="00114AB9" w:rsidP="00447EFE">
            <w:pPr>
              <w:jc w:val="center"/>
              <w:rPr>
                <w:rFonts w:eastAsia="Calibri" w:cs="Times New Roman"/>
                <w:b/>
                <w:strike/>
                <w:sz w:val="20"/>
                <w:szCs w:val="20"/>
              </w:rPr>
            </w:pPr>
            <w:r w:rsidRPr="00A86FA4">
              <w:rPr>
                <w:rFonts w:eastAsia="Calibri" w:cs="Times New Roman"/>
                <w:b/>
                <w:sz w:val="20"/>
                <w:szCs w:val="20"/>
              </w:rPr>
              <w:t>Ukupan broj učenika</w:t>
            </w:r>
            <w:r w:rsidR="00447EFE" w:rsidRPr="00A86FA4">
              <w:rPr>
                <w:rFonts w:eastAsia="Calibri" w:cs="Times New Roman"/>
                <w:b/>
                <w:sz w:val="20"/>
                <w:szCs w:val="20"/>
              </w:rPr>
              <w:t xml:space="preserve"> </w:t>
            </w:r>
            <w:r w:rsidRPr="00A86FA4">
              <w:rPr>
                <w:rFonts w:eastAsia="Calibri" w:cs="Times New Roman"/>
                <w:b/>
                <w:sz w:val="20"/>
                <w:szCs w:val="20"/>
              </w:rPr>
              <w:t>srednjih škola</w:t>
            </w:r>
          </w:p>
        </w:tc>
        <w:tc>
          <w:tcPr>
            <w:tcW w:w="1914" w:type="dxa"/>
            <w:shd w:val="clear" w:color="auto" w:fill="F2F2F2" w:themeFill="background1" w:themeFillShade="F2"/>
            <w:vAlign w:val="center"/>
          </w:tcPr>
          <w:p w14:paraId="704C3C70" w14:textId="36FC84BA" w:rsidR="00114AB9" w:rsidRPr="00A86FA4" w:rsidRDefault="00114AB9" w:rsidP="002A04BF">
            <w:pPr>
              <w:jc w:val="center"/>
              <w:rPr>
                <w:rFonts w:cs="Times New Roman"/>
                <w:b/>
                <w:sz w:val="20"/>
                <w:szCs w:val="20"/>
              </w:rPr>
            </w:pPr>
            <w:r w:rsidRPr="00A86FA4">
              <w:rPr>
                <w:rFonts w:cs="Times New Roman"/>
                <w:b/>
                <w:sz w:val="20"/>
                <w:szCs w:val="20"/>
              </w:rPr>
              <w:t>Broj učenika koji su u</w:t>
            </w:r>
            <w:r w:rsidR="00E7549B" w:rsidRPr="00A86FA4">
              <w:rPr>
                <w:rFonts w:cs="Times New Roman"/>
                <w:b/>
                <w:sz w:val="20"/>
                <w:szCs w:val="20"/>
              </w:rPr>
              <w:t xml:space="preserve"> </w:t>
            </w:r>
            <w:r w:rsidRPr="00A86FA4">
              <w:rPr>
                <w:rFonts w:cs="Times New Roman"/>
                <w:b/>
                <w:sz w:val="20"/>
                <w:szCs w:val="20"/>
              </w:rPr>
              <w:t>tekućoj godini završili</w:t>
            </w:r>
            <w:r w:rsidR="00E7549B" w:rsidRPr="00A86FA4">
              <w:rPr>
                <w:rFonts w:cs="Times New Roman"/>
                <w:b/>
                <w:sz w:val="20"/>
                <w:szCs w:val="20"/>
              </w:rPr>
              <w:t xml:space="preserve"> </w:t>
            </w:r>
            <w:r w:rsidRPr="00A86FA4">
              <w:rPr>
                <w:rFonts w:cs="Times New Roman"/>
                <w:b/>
                <w:sz w:val="20"/>
                <w:szCs w:val="20"/>
              </w:rPr>
              <w:t>srednjoškolsko obrazovanje</w:t>
            </w:r>
          </w:p>
        </w:tc>
        <w:tc>
          <w:tcPr>
            <w:tcW w:w="1341" w:type="dxa"/>
            <w:shd w:val="clear" w:color="auto" w:fill="F2F2F2" w:themeFill="background1" w:themeFillShade="F2"/>
            <w:vAlign w:val="center"/>
          </w:tcPr>
          <w:p w14:paraId="37B7981D" w14:textId="107CB1E9" w:rsidR="00114AB9" w:rsidRPr="00A86FA4" w:rsidRDefault="00114AB9" w:rsidP="002A04BF">
            <w:pPr>
              <w:jc w:val="center"/>
              <w:rPr>
                <w:rFonts w:cs="Times New Roman"/>
                <w:b/>
                <w:sz w:val="20"/>
                <w:szCs w:val="20"/>
              </w:rPr>
            </w:pPr>
            <w:r w:rsidRPr="00A86FA4">
              <w:rPr>
                <w:rFonts w:eastAsia="Calibri" w:cs="Times New Roman"/>
                <w:b/>
                <w:sz w:val="20"/>
                <w:szCs w:val="20"/>
              </w:rPr>
              <w:t>Broj učenika korisnika</w:t>
            </w:r>
            <w:r w:rsidR="00E7549B" w:rsidRPr="00A86FA4">
              <w:rPr>
                <w:rFonts w:eastAsia="Calibri" w:cs="Times New Roman"/>
                <w:b/>
                <w:sz w:val="20"/>
                <w:szCs w:val="20"/>
              </w:rPr>
              <w:t xml:space="preserve"> </w:t>
            </w:r>
            <w:r w:rsidRPr="00A86FA4">
              <w:rPr>
                <w:rFonts w:eastAsia="Calibri" w:cs="Times New Roman"/>
                <w:b/>
                <w:sz w:val="20"/>
                <w:szCs w:val="20"/>
              </w:rPr>
              <w:t>mjere</w:t>
            </w:r>
          </w:p>
        </w:tc>
      </w:tr>
      <w:tr w:rsidR="005834DC" w:rsidRPr="005834DC" w14:paraId="0D769EF8" w14:textId="77777777" w:rsidTr="0062352A">
        <w:tc>
          <w:tcPr>
            <w:tcW w:w="3342" w:type="dxa"/>
            <w:shd w:val="clear" w:color="auto" w:fill="F2F2F2" w:themeFill="background1" w:themeFillShade="F2"/>
          </w:tcPr>
          <w:p w14:paraId="2DDA50EE" w14:textId="5DA0D0EB" w:rsidR="005834DC" w:rsidRPr="00A86FA4" w:rsidRDefault="005834DC" w:rsidP="0061594B">
            <w:pPr>
              <w:rPr>
                <w:rFonts w:cs="Times New Roman"/>
                <w:sz w:val="20"/>
                <w:szCs w:val="20"/>
              </w:rPr>
            </w:pPr>
            <w:r w:rsidRPr="00A86FA4">
              <w:rPr>
                <w:rFonts w:cs="Times New Roman"/>
                <w:sz w:val="20"/>
                <w:szCs w:val="20"/>
              </w:rPr>
              <w:t xml:space="preserve">Planirani ishodi za pokazatelje provedbe u 2024. </w:t>
            </w:r>
          </w:p>
        </w:tc>
        <w:tc>
          <w:tcPr>
            <w:tcW w:w="2465" w:type="dxa"/>
          </w:tcPr>
          <w:p w14:paraId="2B5F908E" w14:textId="2C1F7C8D" w:rsidR="005834DC" w:rsidRPr="00A86FA4" w:rsidRDefault="005834DC" w:rsidP="005834DC">
            <w:pPr>
              <w:jc w:val="center"/>
              <w:rPr>
                <w:rFonts w:cs="Times New Roman"/>
                <w:sz w:val="20"/>
                <w:szCs w:val="20"/>
              </w:rPr>
            </w:pPr>
            <w:r w:rsidRPr="00A86FA4">
              <w:rPr>
                <w:rFonts w:cs="Times New Roman"/>
                <w:sz w:val="20"/>
                <w:szCs w:val="20"/>
              </w:rPr>
              <w:t>800</w:t>
            </w:r>
          </w:p>
        </w:tc>
        <w:tc>
          <w:tcPr>
            <w:tcW w:w="1914" w:type="dxa"/>
          </w:tcPr>
          <w:p w14:paraId="0C39661D" w14:textId="4EF9ED96" w:rsidR="005834DC" w:rsidRPr="00A86FA4" w:rsidRDefault="005834DC" w:rsidP="005834DC">
            <w:pPr>
              <w:jc w:val="center"/>
              <w:rPr>
                <w:rFonts w:cs="Times New Roman"/>
                <w:sz w:val="20"/>
                <w:szCs w:val="20"/>
              </w:rPr>
            </w:pPr>
            <w:r w:rsidRPr="00A86FA4">
              <w:rPr>
                <w:rFonts w:cs="Times New Roman"/>
                <w:sz w:val="20"/>
                <w:szCs w:val="20"/>
              </w:rPr>
              <w:t>250</w:t>
            </w:r>
          </w:p>
        </w:tc>
        <w:tc>
          <w:tcPr>
            <w:tcW w:w="1341" w:type="dxa"/>
          </w:tcPr>
          <w:p w14:paraId="110F27CD" w14:textId="651C6E74" w:rsidR="005834DC" w:rsidRPr="00A86FA4" w:rsidRDefault="005834DC" w:rsidP="005834DC">
            <w:pPr>
              <w:jc w:val="center"/>
              <w:rPr>
                <w:rFonts w:cs="Times New Roman"/>
                <w:sz w:val="20"/>
                <w:szCs w:val="20"/>
              </w:rPr>
            </w:pPr>
            <w:r w:rsidRPr="00A86FA4">
              <w:rPr>
                <w:rFonts w:cs="Times New Roman"/>
                <w:sz w:val="20"/>
                <w:szCs w:val="20"/>
              </w:rPr>
              <w:t>150</w:t>
            </w:r>
          </w:p>
        </w:tc>
      </w:tr>
      <w:tr w:rsidR="005834DC" w:rsidRPr="005834DC" w14:paraId="153EAEEF" w14:textId="77777777" w:rsidTr="0062352A">
        <w:tc>
          <w:tcPr>
            <w:tcW w:w="3342" w:type="dxa"/>
            <w:shd w:val="clear" w:color="auto" w:fill="F2F2F2" w:themeFill="background1" w:themeFillShade="F2"/>
          </w:tcPr>
          <w:p w14:paraId="1ABD4C1D" w14:textId="7D7BC0C0" w:rsidR="005834DC" w:rsidRPr="00A86FA4" w:rsidRDefault="005834DC" w:rsidP="0061594B">
            <w:pPr>
              <w:rPr>
                <w:rFonts w:cs="Times New Roman"/>
                <w:sz w:val="20"/>
                <w:szCs w:val="20"/>
              </w:rPr>
            </w:pPr>
            <w:r w:rsidRPr="00A86FA4">
              <w:rPr>
                <w:rFonts w:cs="Times New Roman"/>
                <w:sz w:val="20"/>
                <w:szCs w:val="20"/>
              </w:rPr>
              <w:t xml:space="preserve">Ostvareni ishodi za pokazatelje provedbe u 2024. </w:t>
            </w:r>
          </w:p>
        </w:tc>
        <w:tc>
          <w:tcPr>
            <w:tcW w:w="2465" w:type="dxa"/>
          </w:tcPr>
          <w:p w14:paraId="243904EE" w14:textId="77777777" w:rsidR="005834DC" w:rsidRPr="00A86FA4" w:rsidRDefault="005834DC" w:rsidP="005834DC">
            <w:pPr>
              <w:jc w:val="center"/>
              <w:rPr>
                <w:rFonts w:eastAsia="Calibri"/>
                <w:sz w:val="20"/>
                <w:szCs w:val="20"/>
              </w:rPr>
            </w:pPr>
            <w:r w:rsidRPr="00A86FA4">
              <w:rPr>
                <w:rFonts w:eastAsia="Calibri"/>
                <w:sz w:val="20"/>
                <w:szCs w:val="20"/>
              </w:rPr>
              <w:t>(kraj šk. god. 2023./2024.)</w:t>
            </w:r>
          </w:p>
          <w:p w14:paraId="79EAFEE7" w14:textId="676959F8" w:rsidR="005834DC" w:rsidRPr="00A86FA4" w:rsidRDefault="005834DC" w:rsidP="005834DC">
            <w:pPr>
              <w:jc w:val="center"/>
              <w:rPr>
                <w:rFonts w:cs="Times New Roman"/>
                <w:sz w:val="20"/>
                <w:szCs w:val="20"/>
              </w:rPr>
            </w:pPr>
            <w:r w:rsidRPr="00A86FA4">
              <w:rPr>
                <w:rFonts w:eastAsia="Calibri"/>
                <w:sz w:val="20"/>
                <w:szCs w:val="20"/>
              </w:rPr>
              <w:t>694 (354m/340ž)</w:t>
            </w:r>
          </w:p>
        </w:tc>
        <w:tc>
          <w:tcPr>
            <w:tcW w:w="1914" w:type="dxa"/>
          </w:tcPr>
          <w:p w14:paraId="737C1F1B" w14:textId="77777777" w:rsidR="005834DC" w:rsidRPr="00A86FA4" w:rsidRDefault="005834DC" w:rsidP="005834DC">
            <w:pPr>
              <w:jc w:val="center"/>
              <w:rPr>
                <w:rFonts w:eastAsia="Calibri"/>
                <w:sz w:val="20"/>
                <w:szCs w:val="20"/>
              </w:rPr>
            </w:pPr>
            <w:r w:rsidRPr="00A86FA4">
              <w:rPr>
                <w:rFonts w:eastAsia="Calibri"/>
                <w:sz w:val="20"/>
                <w:szCs w:val="20"/>
              </w:rPr>
              <w:t>(kraj šk. god. 2023./2024.)</w:t>
            </w:r>
          </w:p>
          <w:p w14:paraId="4741D044" w14:textId="4FAD794D" w:rsidR="005834DC" w:rsidRPr="00A86FA4" w:rsidRDefault="005834DC" w:rsidP="005834DC">
            <w:pPr>
              <w:jc w:val="center"/>
              <w:rPr>
                <w:rFonts w:cs="Times New Roman"/>
                <w:sz w:val="20"/>
                <w:szCs w:val="20"/>
              </w:rPr>
            </w:pPr>
            <w:r w:rsidRPr="00A86FA4">
              <w:rPr>
                <w:rFonts w:cs="Times New Roman"/>
                <w:sz w:val="20"/>
                <w:szCs w:val="20"/>
              </w:rPr>
              <w:t>134 (66m/68ž)</w:t>
            </w:r>
          </w:p>
        </w:tc>
        <w:tc>
          <w:tcPr>
            <w:tcW w:w="1341" w:type="dxa"/>
          </w:tcPr>
          <w:p w14:paraId="42DF8D5B" w14:textId="4D1362A0" w:rsidR="005834DC" w:rsidRPr="00A86FA4" w:rsidRDefault="005834DC" w:rsidP="005834DC">
            <w:pPr>
              <w:jc w:val="center"/>
              <w:rPr>
                <w:rFonts w:cs="Times New Roman"/>
                <w:sz w:val="20"/>
                <w:szCs w:val="20"/>
              </w:rPr>
            </w:pPr>
            <w:r w:rsidRPr="00A86FA4">
              <w:rPr>
                <w:rFonts w:cs="Times New Roman"/>
                <w:sz w:val="20"/>
                <w:szCs w:val="20"/>
              </w:rPr>
              <w:t>79</w:t>
            </w:r>
          </w:p>
        </w:tc>
      </w:tr>
      <w:tr w:rsidR="005834DC" w:rsidRPr="005834DC" w14:paraId="512FD481" w14:textId="77777777" w:rsidTr="002A04BF">
        <w:tc>
          <w:tcPr>
            <w:tcW w:w="3342" w:type="dxa"/>
            <w:shd w:val="clear" w:color="auto" w:fill="F2F2F2" w:themeFill="background1" w:themeFillShade="F2"/>
            <w:vAlign w:val="center"/>
          </w:tcPr>
          <w:p w14:paraId="20C9B642" w14:textId="77777777" w:rsidR="005834DC" w:rsidRPr="00A86FA4" w:rsidRDefault="005834DC" w:rsidP="005834DC">
            <w:pPr>
              <w:rPr>
                <w:rFonts w:cs="Times New Roman"/>
                <w:b/>
                <w:sz w:val="20"/>
                <w:szCs w:val="20"/>
              </w:rPr>
            </w:pPr>
            <w:r w:rsidRPr="00A86FA4">
              <w:rPr>
                <w:rFonts w:cs="Times New Roman"/>
                <w:b/>
                <w:sz w:val="20"/>
                <w:szCs w:val="20"/>
              </w:rPr>
              <w:t xml:space="preserve">IZVORI FINANCIRANJA </w:t>
            </w:r>
          </w:p>
        </w:tc>
        <w:tc>
          <w:tcPr>
            <w:tcW w:w="2465" w:type="dxa"/>
            <w:vAlign w:val="center"/>
          </w:tcPr>
          <w:p w14:paraId="7561B4A0" w14:textId="77777777" w:rsidR="005834DC" w:rsidRPr="00A86FA4" w:rsidRDefault="005834DC" w:rsidP="005834DC">
            <w:pPr>
              <w:jc w:val="center"/>
              <w:rPr>
                <w:rFonts w:cs="Times New Roman"/>
                <w:b/>
                <w:sz w:val="20"/>
                <w:szCs w:val="20"/>
              </w:rPr>
            </w:pPr>
            <w:r w:rsidRPr="00A86FA4">
              <w:rPr>
                <w:rFonts w:cs="Times New Roman"/>
                <w:b/>
                <w:sz w:val="20"/>
                <w:szCs w:val="20"/>
              </w:rPr>
              <w:t>Državni proračun (EUR)</w:t>
            </w:r>
          </w:p>
        </w:tc>
        <w:tc>
          <w:tcPr>
            <w:tcW w:w="1914" w:type="dxa"/>
            <w:vAlign w:val="center"/>
          </w:tcPr>
          <w:p w14:paraId="405B563C" w14:textId="77777777" w:rsidR="005834DC" w:rsidRPr="00A86FA4" w:rsidRDefault="005834DC" w:rsidP="005834DC">
            <w:pPr>
              <w:jc w:val="center"/>
              <w:rPr>
                <w:rFonts w:cs="Times New Roman"/>
                <w:b/>
                <w:sz w:val="20"/>
                <w:szCs w:val="20"/>
              </w:rPr>
            </w:pPr>
            <w:r w:rsidRPr="00A86FA4">
              <w:rPr>
                <w:rFonts w:cs="Times New Roman"/>
                <w:b/>
                <w:sz w:val="20"/>
                <w:szCs w:val="20"/>
              </w:rPr>
              <w:t>EU financiranje (EUR)</w:t>
            </w:r>
          </w:p>
        </w:tc>
        <w:tc>
          <w:tcPr>
            <w:tcW w:w="1341" w:type="dxa"/>
            <w:vAlign w:val="center"/>
          </w:tcPr>
          <w:p w14:paraId="0B081C3C" w14:textId="77777777" w:rsidR="005834DC" w:rsidRPr="00A86FA4" w:rsidRDefault="005834DC" w:rsidP="005834DC">
            <w:pPr>
              <w:jc w:val="center"/>
              <w:rPr>
                <w:rFonts w:cs="Times New Roman"/>
                <w:b/>
                <w:sz w:val="20"/>
                <w:szCs w:val="20"/>
              </w:rPr>
            </w:pPr>
            <w:r w:rsidRPr="00A86FA4">
              <w:rPr>
                <w:rFonts w:cs="Times New Roman"/>
                <w:b/>
                <w:sz w:val="20"/>
                <w:szCs w:val="20"/>
              </w:rPr>
              <w:t>Drugi izvori (EUR)</w:t>
            </w:r>
          </w:p>
        </w:tc>
      </w:tr>
      <w:tr w:rsidR="005834DC" w:rsidRPr="005834DC" w14:paraId="1CEC8891" w14:textId="77777777" w:rsidTr="002A04BF">
        <w:tc>
          <w:tcPr>
            <w:tcW w:w="3342" w:type="dxa"/>
            <w:shd w:val="clear" w:color="auto" w:fill="F2F2F2" w:themeFill="background1" w:themeFillShade="F2"/>
            <w:vAlign w:val="center"/>
          </w:tcPr>
          <w:p w14:paraId="32F8473C" w14:textId="0F9E8FD9" w:rsidR="005834DC" w:rsidRPr="00A86FA4" w:rsidRDefault="005834DC" w:rsidP="0061594B">
            <w:pPr>
              <w:rPr>
                <w:rFonts w:cs="Times New Roman"/>
                <w:sz w:val="20"/>
                <w:szCs w:val="20"/>
              </w:rPr>
            </w:pPr>
            <w:r w:rsidRPr="00A86FA4">
              <w:rPr>
                <w:rFonts w:cs="Times New Roman"/>
                <w:sz w:val="20"/>
                <w:szCs w:val="20"/>
              </w:rPr>
              <w:t>Izvori financiranja u 2024. (proračunska pozicija i predviđeni iznos sredstava)</w:t>
            </w:r>
          </w:p>
        </w:tc>
        <w:tc>
          <w:tcPr>
            <w:tcW w:w="2465" w:type="dxa"/>
            <w:vAlign w:val="center"/>
          </w:tcPr>
          <w:p w14:paraId="1327CBFA" w14:textId="1B10C29C" w:rsidR="005834DC" w:rsidRPr="00A86FA4" w:rsidRDefault="005834DC" w:rsidP="005834DC">
            <w:pPr>
              <w:jc w:val="center"/>
              <w:rPr>
                <w:rFonts w:cs="Times New Roman"/>
                <w:sz w:val="20"/>
                <w:szCs w:val="20"/>
              </w:rPr>
            </w:pPr>
            <w:r w:rsidRPr="00A86FA4">
              <w:rPr>
                <w:rFonts w:cs="Times New Roman"/>
                <w:sz w:val="20"/>
                <w:szCs w:val="20"/>
              </w:rPr>
              <w:t>A767003 – Srednjoškolske stipendije za učenike Rome</w:t>
            </w:r>
          </w:p>
          <w:p w14:paraId="420582B4" w14:textId="63CF07DD" w:rsidR="005834DC" w:rsidRPr="00A86FA4" w:rsidRDefault="005834DC" w:rsidP="005834DC">
            <w:pPr>
              <w:jc w:val="center"/>
              <w:rPr>
                <w:rFonts w:cs="Times New Roman"/>
                <w:sz w:val="20"/>
                <w:szCs w:val="20"/>
              </w:rPr>
            </w:pPr>
          </w:p>
        </w:tc>
        <w:tc>
          <w:tcPr>
            <w:tcW w:w="1914" w:type="dxa"/>
            <w:vAlign w:val="center"/>
          </w:tcPr>
          <w:p w14:paraId="6873FBD8" w14:textId="77777777" w:rsidR="005834DC" w:rsidRPr="00A86FA4" w:rsidRDefault="005834DC" w:rsidP="005834DC">
            <w:pPr>
              <w:jc w:val="center"/>
              <w:rPr>
                <w:rFonts w:cs="Times New Roman"/>
                <w:sz w:val="20"/>
                <w:szCs w:val="20"/>
              </w:rPr>
            </w:pPr>
            <w:r w:rsidRPr="00A86FA4">
              <w:rPr>
                <w:rFonts w:cs="Times New Roman"/>
                <w:sz w:val="20"/>
                <w:szCs w:val="20"/>
              </w:rPr>
              <w:t>0,00</w:t>
            </w:r>
          </w:p>
        </w:tc>
        <w:tc>
          <w:tcPr>
            <w:tcW w:w="1341" w:type="dxa"/>
            <w:vAlign w:val="center"/>
          </w:tcPr>
          <w:p w14:paraId="4491801C" w14:textId="77777777" w:rsidR="005834DC" w:rsidRPr="00A86FA4" w:rsidRDefault="005834DC" w:rsidP="005834DC">
            <w:pPr>
              <w:jc w:val="center"/>
              <w:rPr>
                <w:rFonts w:cs="Times New Roman"/>
                <w:sz w:val="20"/>
                <w:szCs w:val="20"/>
              </w:rPr>
            </w:pPr>
            <w:r w:rsidRPr="00A86FA4">
              <w:rPr>
                <w:rFonts w:cs="Times New Roman"/>
                <w:sz w:val="20"/>
                <w:szCs w:val="20"/>
              </w:rPr>
              <w:t xml:space="preserve">0,00 </w:t>
            </w:r>
          </w:p>
        </w:tc>
      </w:tr>
      <w:tr w:rsidR="005834DC" w:rsidRPr="005834DC" w14:paraId="45D5C216" w14:textId="77777777" w:rsidTr="002A04BF">
        <w:tc>
          <w:tcPr>
            <w:tcW w:w="3342" w:type="dxa"/>
            <w:vMerge w:val="restart"/>
            <w:shd w:val="clear" w:color="auto" w:fill="F2F2F2" w:themeFill="background1" w:themeFillShade="F2"/>
            <w:vAlign w:val="center"/>
          </w:tcPr>
          <w:p w14:paraId="393FE6B6" w14:textId="77777777" w:rsidR="005834DC" w:rsidRPr="00A86FA4" w:rsidRDefault="005834DC" w:rsidP="005834DC">
            <w:pPr>
              <w:rPr>
                <w:rFonts w:cs="Times New Roman"/>
                <w:b/>
                <w:sz w:val="20"/>
                <w:szCs w:val="20"/>
              </w:rPr>
            </w:pPr>
            <w:r w:rsidRPr="00A86FA4">
              <w:rPr>
                <w:rFonts w:cs="Times New Roman"/>
                <w:b/>
                <w:sz w:val="20"/>
                <w:szCs w:val="20"/>
              </w:rPr>
              <w:t xml:space="preserve">UKUPNO UTROŠENA SREDSTVA PO IZVORU </w:t>
            </w:r>
          </w:p>
        </w:tc>
        <w:tc>
          <w:tcPr>
            <w:tcW w:w="2465" w:type="dxa"/>
            <w:vAlign w:val="center"/>
          </w:tcPr>
          <w:p w14:paraId="6382AB42" w14:textId="77777777" w:rsidR="005834DC" w:rsidRPr="00A86FA4" w:rsidRDefault="005834DC" w:rsidP="005834DC">
            <w:pPr>
              <w:jc w:val="center"/>
              <w:rPr>
                <w:rFonts w:cs="Times New Roman"/>
                <w:b/>
                <w:sz w:val="20"/>
                <w:szCs w:val="20"/>
              </w:rPr>
            </w:pPr>
            <w:r w:rsidRPr="00A86FA4">
              <w:rPr>
                <w:rFonts w:cs="Times New Roman"/>
                <w:b/>
                <w:sz w:val="20"/>
                <w:szCs w:val="20"/>
              </w:rPr>
              <w:t>Državni proračun (EUR)</w:t>
            </w:r>
          </w:p>
        </w:tc>
        <w:tc>
          <w:tcPr>
            <w:tcW w:w="1914" w:type="dxa"/>
            <w:vAlign w:val="center"/>
          </w:tcPr>
          <w:p w14:paraId="26F0E655" w14:textId="77777777" w:rsidR="005834DC" w:rsidRPr="00A86FA4" w:rsidRDefault="005834DC" w:rsidP="005834DC">
            <w:pPr>
              <w:jc w:val="center"/>
              <w:rPr>
                <w:rFonts w:cs="Times New Roman"/>
                <w:b/>
                <w:sz w:val="20"/>
                <w:szCs w:val="20"/>
              </w:rPr>
            </w:pPr>
            <w:r w:rsidRPr="00A86FA4">
              <w:rPr>
                <w:rFonts w:cs="Times New Roman"/>
                <w:b/>
                <w:sz w:val="20"/>
                <w:szCs w:val="20"/>
              </w:rPr>
              <w:t>EU financiranje (EUR)</w:t>
            </w:r>
          </w:p>
        </w:tc>
        <w:tc>
          <w:tcPr>
            <w:tcW w:w="1341" w:type="dxa"/>
            <w:vAlign w:val="center"/>
          </w:tcPr>
          <w:p w14:paraId="02C11F2D" w14:textId="77777777" w:rsidR="005834DC" w:rsidRPr="00A86FA4" w:rsidRDefault="005834DC" w:rsidP="005834DC">
            <w:pPr>
              <w:jc w:val="center"/>
              <w:rPr>
                <w:rFonts w:cs="Times New Roman"/>
                <w:b/>
                <w:sz w:val="20"/>
                <w:szCs w:val="20"/>
              </w:rPr>
            </w:pPr>
            <w:r w:rsidRPr="00A86FA4">
              <w:rPr>
                <w:rFonts w:cs="Times New Roman"/>
                <w:b/>
                <w:sz w:val="20"/>
                <w:szCs w:val="20"/>
              </w:rPr>
              <w:t>Drugi izvori (EUR)</w:t>
            </w:r>
          </w:p>
        </w:tc>
      </w:tr>
      <w:tr w:rsidR="005834DC" w:rsidRPr="005834DC" w14:paraId="743DEB74" w14:textId="77777777" w:rsidTr="002A04BF">
        <w:tc>
          <w:tcPr>
            <w:tcW w:w="3342" w:type="dxa"/>
            <w:vMerge/>
            <w:shd w:val="clear" w:color="auto" w:fill="F2F2F2" w:themeFill="background1" w:themeFillShade="F2"/>
            <w:vAlign w:val="center"/>
          </w:tcPr>
          <w:p w14:paraId="34839D70" w14:textId="77777777" w:rsidR="005834DC" w:rsidRPr="00A86FA4" w:rsidRDefault="005834DC" w:rsidP="005834DC">
            <w:pPr>
              <w:rPr>
                <w:rFonts w:cs="Times New Roman"/>
                <w:b/>
                <w:sz w:val="20"/>
                <w:szCs w:val="20"/>
              </w:rPr>
            </w:pPr>
          </w:p>
        </w:tc>
        <w:tc>
          <w:tcPr>
            <w:tcW w:w="2465" w:type="dxa"/>
            <w:vAlign w:val="center"/>
          </w:tcPr>
          <w:p w14:paraId="31D60790" w14:textId="6FA38466" w:rsidR="005834DC" w:rsidRPr="00A86FA4" w:rsidRDefault="005834DC" w:rsidP="005834DC">
            <w:pPr>
              <w:jc w:val="center"/>
              <w:rPr>
                <w:rFonts w:eastAsia="Calibri"/>
                <w:sz w:val="20"/>
                <w:szCs w:val="20"/>
              </w:rPr>
            </w:pPr>
            <w:r w:rsidRPr="00A86FA4">
              <w:rPr>
                <w:rFonts w:eastAsia="Calibri" w:cs="Times New Roman"/>
                <w:sz w:val="20"/>
                <w:szCs w:val="20"/>
              </w:rPr>
              <w:t>A767003 – Srednjoškolske stipendije za učenike Rome,</w:t>
            </w:r>
            <w:r w:rsidRPr="00A86FA4">
              <w:rPr>
                <w:rFonts w:eastAsia="Calibri"/>
                <w:sz w:val="20"/>
                <w:szCs w:val="20"/>
              </w:rPr>
              <w:t xml:space="preserve"> Izvor 11</w:t>
            </w:r>
          </w:p>
          <w:p w14:paraId="3F13B8B5" w14:textId="3C29B5D9" w:rsidR="005834DC" w:rsidRPr="00A86FA4" w:rsidRDefault="005834DC">
            <w:pPr>
              <w:jc w:val="center"/>
              <w:rPr>
                <w:rFonts w:cs="Times New Roman"/>
                <w:b/>
                <w:sz w:val="20"/>
                <w:szCs w:val="20"/>
              </w:rPr>
            </w:pPr>
            <w:r w:rsidRPr="00A86FA4">
              <w:rPr>
                <w:rFonts w:eastAsia="Calibri"/>
                <w:b/>
                <w:sz w:val="20"/>
                <w:szCs w:val="20"/>
              </w:rPr>
              <w:t>Iznos: 19.800,00 EUR</w:t>
            </w:r>
          </w:p>
        </w:tc>
        <w:tc>
          <w:tcPr>
            <w:tcW w:w="1914" w:type="dxa"/>
            <w:vAlign w:val="center"/>
          </w:tcPr>
          <w:p w14:paraId="72A1C108" w14:textId="77777777" w:rsidR="005834DC" w:rsidRPr="00A86FA4" w:rsidRDefault="005834DC" w:rsidP="005834DC">
            <w:pPr>
              <w:jc w:val="center"/>
              <w:rPr>
                <w:rFonts w:cs="Times New Roman"/>
                <w:sz w:val="20"/>
                <w:szCs w:val="20"/>
              </w:rPr>
            </w:pPr>
            <w:r w:rsidRPr="00A86FA4">
              <w:rPr>
                <w:rFonts w:cs="Times New Roman"/>
                <w:sz w:val="20"/>
                <w:szCs w:val="20"/>
              </w:rPr>
              <w:t>0,00</w:t>
            </w:r>
          </w:p>
        </w:tc>
        <w:tc>
          <w:tcPr>
            <w:tcW w:w="1341" w:type="dxa"/>
            <w:vAlign w:val="center"/>
          </w:tcPr>
          <w:p w14:paraId="42774279" w14:textId="77777777" w:rsidR="005834DC" w:rsidRPr="00A86FA4" w:rsidRDefault="005834DC" w:rsidP="005834DC">
            <w:pPr>
              <w:jc w:val="center"/>
              <w:rPr>
                <w:rFonts w:cs="Times New Roman"/>
                <w:sz w:val="20"/>
                <w:szCs w:val="20"/>
              </w:rPr>
            </w:pPr>
            <w:r w:rsidRPr="00A86FA4">
              <w:rPr>
                <w:rFonts w:cs="Times New Roman"/>
                <w:sz w:val="20"/>
                <w:szCs w:val="20"/>
              </w:rPr>
              <w:t xml:space="preserve">0,00 </w:t>
            </w:r>
          </w:p>
        </w:tc>
      </w:tr>
      <w:tr w:rsidR="005834DC" w:rsidRPr="005834DC" w14:paraId="636B2C9A" w14:textId="77777777" w:rsidTr="00030B65">
        <w:trPr>
          <w:trHeight w:val="348"/>
        </w:trPr>
        <w:tc>
          <w:tcPr>
            <w:tcW w:w="3342" w:type="dxa"/>
            <w:shd w:val="clear" w:color="auto" w:fill="F2F2F2" w:themeFill="background1" w:themeFillShade="F2"/>
            <w:vAlign w:val="center"/>
          </w:tcPr>
          <w:p w14:paraId="067EB6A2" w14:textId="77777777" w:rsidR="005834DC" w:rsidRPr="003379F1" w:rsidRDefault="005834DC" w:rsidP="005834DC">
            <w:pPr>
              <w:rPr>
                <w:rFonts w:cs="Times New Roman"/>
                <w:sz w:val="20"/>
                <w:szCs w:val="20"/>
              </w:rPr>
            </w:pPr>
            <w:r w:rsidRPr="003379F1">
              <w:rPr>
                <w:rFonts w:cs="Times New Roman"/>
                <w:sz w:val="20"/>
                <w:szCs w:val="20"/>
              </w:rPr>
              <w:t xml:space="preserve">ROK PROVEDBE AKTIVNOSTI : </w:t>
            </w:r>
          </w:p>
        </w:tc>
        <w:tc>
          <w:tcPr>
            <w:tcW w:w="5720" w:type="dxa"/>
            <w:gridSpan w:val="3"/>
            <w:vAlign w:val="center"/>
          </w:tcPr>
          <w:p w14:paraId="46311122" w14:textId="6EEEC448" w:rsidR="005834DC" w:rsidRPr="003379F1" w:rsidRDefault="005834DC" w:rsidP="005834DC">
            <w:pPr>
              <w:rPr>
                <w:rFonts w:cs="Times New Roman"/>
                <w:sz w:val="20"/>
                <w:szCs w:val="20"/>
              </w:rPr>
            </w:pPr>
            <w:r w:rsidRPr="003379F1">
              <w:rPr>
                <w:rFonts w:cs="Times New Roman"/>
                <w:sz w:val="20"/>
                <w:szCs w:val="20"/>
              </w:rPr>
              <w:t xml:space="preserve">IV. kvartal 2025. </w:t>
            </w:r>
          </w:p>
        </w:tc>
      </w:tr>
    </w:tbl>
    <w:p w14:paraId="2D1F79F2" w14:textId="77777777" w:rsidR="00ED6A5D" w:rsidRDefault="00ED6A5D" w:rsidP="00D36147">
      <w:pPr>
        <w:spacing w:after="0" w:line="276" w:lineRule="auto"/>
        <w:jc w:val="both"/>
        <w:rPr>
          <w:rFonts w:cs="Times New Roman"/>
        </w:rPr>
      </w:pPr>
    </w:p>
    <w:p w14:paraId="76E8BAA0" w14:textId="77777777" w:rsidR="003379F1" w:rsidRPr="0020006E" w:rsidRDefault="003379F1" w:rsidP="00D36147">
      <w:pPr>
        <w:spacing w:after="0" w:line="276" w:lineRule="auto"/>
        <w:jc w:val="both"/>
        <w:rPr>
          <w:rFonts w:cs="Times New Roman"/>
        </w:rPr>
      </w:pPr>
    </w:p>
    <w:p w14:paraId="41BA6DD2" w14:textId="71E4BBF3" w:rsidR="00CA388F" w:rsidRPr="00FC64BF" w:rsidRDefault="002D20C6" w:rsidP="004A3B23">
      <w:pPr>
        <w:spacing w:after="0" w:line="276" w:lineRule="auto"/>
        <w:jc w:val="both"/>
        <w:rPr>
          <w:rFonts w:cs="Times New Roman"/>
          <w:i/>
          <w:iCs/>
          <w:szCs w:val="24"/>
        </w:rPr>
      </w:pPr>
      <w:r w:rsidRPr="0020006E">
        <w:rPr>
          <w:rFonts w:cs="Times New Roman"/>
          <w:i/>
          <w:iCs/>
          <w:szCs w:val="24"/>
        </w:rPr>
        <w:t>A</w:t>
      </w:r>
      <w:r w:rsidRPr="00FC64BF">
        <w:rPr>
          <w:rFonts w:cs="Times New Roman"/>
          <w:i/>
          <w:iCs/>
          <w:szCs w:val="24"/>
        </w:rPr>
        <w:t>ktivnost 4</w:t>
      </w:r>
      <w:r w:rsidR="001A6535" w:rsidRPr="00FC64BF">
        <w:rPr>
          <w:rFonts w:cs="Times New Roman"/>
          <w:i/>
          <w:iCs/>
          <w:szCs w:val="24"/>
        </w:rPr>
        <w:t>.</w:t>
      </w:r>
      <w:r w:rsidRPr="00FC64BF">
        <w:rPr>
          <w:rFonts w:cs="Times New Roman"/>
          <w:i/>
          <w:iCs/>
          <w:szCs w:val="24"/>
        </w:rPr>
        <w:t>3</w:t>
      </w:r>
      <w:r w:rsidR="001A6535" w:rsidRPr="00FC64BF">
        <w:rPr>
          <w:rFonts w:cs="Times New Roman"/>
          <w:i/>
          <w:iCs/>
          <w:szCs w:val="24"/>
        </w:rPr>
        <w:t>.1</w:t>
      </w:r>
      <w:r w:rsidR="003B4009" w:rsidRPr="00FC64BF">
        <w:rPr>
          <w:rFonts w:cs="Times New Roman"/>
          <w:i/>
          <w:iCs/>
          <w:szCs w:val="24"/>
        </w:rPr>
        <w:t>2</w:t>
      </w:r>
      <w:r w:rsidR="001A6535" w:rsidRPr="00FC64BF">
        <w:rPr>
          <w:rFonts w:cs="Times New Roman"/>
          <w:i/>
          <w:iCs/>
          <w:szCs w:val="24"/>
        </w:rPr>
        <w:t>.</w:t>
      </w:r>
      <w:r w:rsidRPr="00FC64BF">
        <w:rPr>
          <w:rFonts w:cs="Times New Roman"/>
          <w:i/>
          <w:iCs/>
          <w:szCs w:val="24"/>
        </w:rPr>
        <w:t xml:space="preserve"> </w:t>
      </w:r>
      <w:r w:rsidR="001A6535" w:rsidRPr="00FC64BF">
        <w:rPr>
          <w:rFonts w:cs="Times New Roman"/>
          <w:i/>
          <w:iCs/>
          <w:szCs w:val="24"/>
        </w:rPr>
        <w:t>Sufinanciranje smještaja u učeničke domove učenicima srednjih škola pripadni</w:t>
      </w:r>
      <w:r w:rsidR="00CA388F" w:rsidRPr="00FC64BF">
        <w:rPr>
          <w:rFonts w:cs="Times New Roman"/>
          <w:i/>
          <w:iCs/>
          <w:szCs w:val="24"/>
        </w:rPr>
        <w:t>cima romske nacionalne manjine</w:t>
      </w:r>
    </w:p>
    <w:p w14:paraId="4831B815" w14:textId="4A8E08CB" w:rsidR="00CA388F" w:rsidRPr="00FC64BF" w:rsidRDefault="00CA388F" w:rsidP="00D36147">
      <w:pPr>
        <w:spacing w:after="0" w:line="276" w:lineRule="auto"/>
        <w:jc w:val="both"/>
        <w:rPr>
          <w:rFonts w:cs="Times New Roman"/>
          <w:i/>
          <w:iCs/>
          <w:szCs w:val="24"/>
        </w:rPr>
      </w:pPr>
      <w:r w:rsidRPr="00FC64BF">
        <w:rPr>
          <w:rFonts w:cs="Times New Roman"/>
          <w:i/>
          <w:iCs/>
          <w:szCs w:val="24"/>
        </w:rPr>
        <w:t xml:space="preserve">Nositelj provedbe: </w:t>
      </w:r>
      <w:r w:rsidR="00F36CF1">
        <w:rPr>
          <w:rFonts w:cs="Times New Roman"/>
          <w:i/>
          <w:iCs/>
          <w:szCs w:val="24"/>
        </w:rPr>
        <w:t>Ministarstvo znanosti, obrazovanja i mladih</w:t>
      </w:r>
      <w:r w:rsidRPr="00FC64BF">
        <w:rPr>
          <w:rFonts w:cs="Times New Roman"/>
          <w:i/>
          <w:iCs/>
          <w:szCs w:val="24"/>
        </w:rPr>
        <w:t xml:space="preserve"> </w:t>
      </w:r>
    </w:p>
    <w:p w14:paraId="3F9CF8C5" w14:textId="6B31237D" w:rsidR="00383FCB" w:rsidRPr="00FC64BF" w:rsidRDefault="00CA388F" w:rsidP="00D36147">
      <w:pPr>
        <w:spacing w:after="0" w:line="276" w:lineRule="auto"/>
        <w:jc w:val="both"/>
        <w:rPr>
          <w:rFonts w:eastAsia="Calibri" w:cs="Times New Roman"/>
          <w:i/>
          <w:iCs/>
          <w:szCs w:val="24"/>
        </w:rPr>
      </w:pPr>
      <w:r w:rsidRPr="00FC64BF">
        <w:rPr>
          <w:rFonts w:cs="Times New Roman"/>
          <w:i/>
          <w:iCs/>
          <w:szCs w:val="24"/>
        </w:rPr>
        <w:t>P</w:t>
      </w:r>
      <w:r w:rsidR="00383FCB" w:rsidRPr="00FC64BF">
        <w:rPr>
          <w:rFonts w:cs="Times New Roman"/>
          <w:i/>
          <w:iCs/>
          <w:szCs w:val="24"/>
        </w:rPr>
        <w:t xml:space="preserve">artneri: </w:t>
      </w:r>
      <w:r w:rsidR="0085748A" w:rsidRPr="00FC64BF">
        <w:rPr>
          <w:rFonts w:eastAsia="Calibri" w:cs="Times New Roman"/>
          <w:i/>
          <w:iCs/>
          <w:szCs w:val="24"/>
        </w:rPr>
        <w:t>S</w:t>
      </w:r>
      <w:r w:rsidRPr="00FC64BF">
        <w:rPr>
          <w:rFonts w:eastAsia="Calibri" w:cs="Times New Roman"/>
          <w:i/>
          <w:iCs/>
          <w:szCs w:val="24"/>
        </w:rPr>
        <w:t>rednje škole, učenički domovi</w:t>
      </w:r>
    </w:p>
    <w:p w14:paraId="3E8E0077" w14:textId="77777777" w:rsidR="00E7549B" w:rsidRPr="00FC64BF" w:rsidRDefault="00E7549B" w:rsidP="00D36147">
      <w:pPr>
        <w:spacing w:after="0" w:line="276" w:lineRule="auto"/>
        <w:jc w:val="both"/>
        <w:rPr>
          <w:rFonts w:eastAsia="Calibri" w:cs="Times New Roman"/>
          <w:i/>
          <w:iCs/>
          <w:szCs w:val="24"/>
        </w:rPr>
      </w:pPr>
    </w:p>
    <w:p w14:paraId="058B0147" w14:textId="3ED96EBB" w:rsidR="005834DC" w:rsidRPr="00FC64BF" w:rsidRDefault="005834DC" w:rsidP="00D36147">
      <w:pPr>
        <w:spacing w:after="0" w:line="276" w:lineRule="auto"/>
        <w:jc w:val="both"/>
        <w:rPr>
          <w:rFonts w:cs="Times New Roman"/>
        </w:rPr>
      </w:pPr>
      <w:r w:rsidRPr="005834DC">
        <w:rPr>
          <w:rFonts w:cs="Times New Roman"/>
        </w:rPr>
        <w:t xml:space="preserve">Kako bi se osigurali uvjeti za uspješnije školovanje učenicima srednjih škola, pripadnicima romske nacionalne manjine, Ministarstvo znanosti, obrazovanja i mladih učenicima sufinancira smještaj u učenički dom. Temeljem Odluke o utvrđivanju cijene usluga smještaja i prehrane učenika u učeničkim domovima, za pripadnike romske nacionalne manjine razliku do ukupne cijene smještaja sufinancira Ministarstvo znanosti, obrazovanja i mladih. U 2024. </w:t>
      </w:r>
      <w:r w:rsidR="00643208">
        <w:rPr>
          <w:rFonts w:cs="Times New Roman"/>
        </w:rPr>
        <w:t xml:space="preserve">godini </w:t>
      </w:r>
      <w:r w:rsidRPr="005834DC">
        <w:rPr>
          <w:rFonts w:cs="Times New Roman"/>
        </w:rPr>
        <w:t>temeljem zaprimljenih zahtjeva i Odluke o kriterijima za sufinanciranje smještaja i prehrane u učeničkom domu osiguralo je smještaj za 32 učenika putem učeničkih domova koji su zatražili sufinanciranje smještaja te prehrane za učenike pripadnike romske nacionalne manjine</w:t>
      </w:r>
      <w:r w:rsidR="0020006E">
        <w:rPr>
          <w:rFonts w:cs="Times New Roman"/>
        </w:rPr>
        <w:t>.</w:t>
      </w:r>
    </w:p>
    <w:p w14:paraId="3075F2F7" w14:textId="77777777" w:rsidR="005834DC" w:rsidRPr="00FC64BF" w:rsidRDefault="005834DC" w:rsidP="00D36147">
      <w:pPr>
        <w:spacing w:after="0" w:line="276" w:lineRule="auto"/>
        <w:jc w:val="both"/>
        <w:rPr>
          <w:rFonts w:cs="Times New Roman"/>
        </w:rPr>
      </w:pPr>
    </w:p>
    <w:p w14:paraId="1BEED896" w14:textId="77777777" w:rsidR="00E7549B" w:rsidRPr="00FC64BF" w:rsidRDefault="00E7549B" w:rsidP="00D36147">
      <w:pPr>
        <w:spacing w:after="0" w:line="276" w:lineRule="auto"/>
        <w:jc w:val="both"/>
        <w:rPr>
          <w:rFonts w:cs="Times New Roman"/>
        </w:rPr>
      </w:pPr>
    </w:p>
    <w:tbl>
      <w:tblPr>
        <w:tblStyle w:val="TableGrid"/>
        <w:tblW w:w="0" w:type="auto"/>
        <w:tblLayout w:type="fixed"/>
        <w:tblLook w:val="04A0" w:firstRow="1" w:lastRow="0" w:firstColumn="1" w:lastColumn="0" w:noHBand="0" w:noVBand="1"/>
      </w:tblPr>
      <w:tblGrid>
        <w:gridCol w:w="3070"/>
        <w:gridCol w:w="2486"/>
        <w:gridCol w:w="2094"/>
        <w:gridCol w:w="1412"/>
      </w:tblGrid>
      <w:tr w:rsidR="006F4776" w:rsidRPr="006F4776" w14:paraId="2AB6B895" w14:textId="77777777" w:rsidTr="002A04BF">
        <w:trPr>
          <w:trHeight w:val="606"/>
        </w:trPr>
        <w:tc>
          <w:tcPr>
            <w:tcW w:w="3070" w:type="dxa"/>
            <w:shd w:val="clear" w:color="auto" w:fill="F2F2F2" w:themeFill="background1" w:themeFillShade="F2"/>
            <w:vAlign w:val="center"/>
          </w:tcPr>
          <w:p w14:paraId="145957B2" w14:textId="46FF7550" w:rsidR="00ED6A5D" w:rsidRPr="00A86FA4" w:rsidRDefault="007E61F3" w:rsidP="002A04BF">
            <w:pPr>
              <w:rPr>
                <w:rFonts w:cs="Times New Roman"/>
                <w:b/>
                <w:sz w:val="20"/>
                <w:szCs w:val="20"/>
              </w:rPr>
            </w:pPr>
            <w:r w:rsidRPr="00A86FA4">
              <w:rPr>
                <w:rFonts w:cs="Times New Roman"/>
                <w:b/>
                <w:sz w:val="20"/>
                <w:szCs w:val="20"/>
              </w:rPr>
              <w:t>Pokazatelji provedbe i pokazatelji uspješnosti provedbe</w:t>
            </w:r>
          </w:p>
        </w:tc>
        <w:tc>
          <w:tcPr>
            <w:tcW w:w="2486" w:type="dxa"/>
            <w:shd w:val="clear" w:color="auto" w:fill="F2F2F2" w:themeFill="background1" w:themeFillShade="F2"/>
            <w:vAlign w:val="center"/>
          </w:tcPr>
          <w:p w14:paraId="4286010F" w14:textId="77777777" w:rsidR="00ED6A5D" w:rsidRPr="00A86FA4" w:rsidRDefault="00ED6A5D" w:rsidP="002A04BF">
            <w:pPr>
              <w:jc w:val="center"/>
              <w:rPr>
                <w:rFonts w:eastAsia="Calibri" w:cs="Times New Roman"/>
                <w:b/>
                <w:sz w:val="20"/>
                <w:szCs w:val="20"/>
              </w:rPr>
            </w:pPr>
            <w:r w:rsidRPr="00A86FA4">
              <w:rPr>
                <w:rFonts w:eastAsia="Calibri" w:cs="Times New Roman"/>
                <w:b/>
                <w:sz w:val="20"/>
                <w:szCs w:val="20"/>
              </w:rPr>
              <w:t>Ukupan broj učenika</w:t>
            </w:r>
          </w:p>
          <w:p w14:paraId="29E37B89" w14:textId="77777777" w:rsidR="00ED6A5D" w:rsidRPr="00A86FA4" w:rsidRDefault="00ED6A5D" w:rsidP="002A04BF">
            <w:pPr>
              <w:jc w:val="center"/>
              <w:rPr>
                <w:rFonts w:eastAsia="Calibri" w:cs="Times New Roman"/>
                <w:b/>
                <w:strike/>
                <w:sz w:val="20"/>
                <w:szCs w:val="20"/>
              </w:rPr>
            </w:pPr>
            <w:r w:rsidRPr="00A86FA4">
              <w:rPr>
                <w:rFonts w:eastAsia="Calibri" w:cs="Times New Roman"/>
                <w:b/>
                <w:sz w:val="20"/>
                <w:szCs w:val="20"/>
              </w:rPr>
              <w:t>srednjih škola</w:t>
            </w:r>
          </w:p>
        </w:tc>
        <w:tc>
          <w:tcPr>
            <w:tcW w:w="2094" w:type="dxa"/>
            <w:shd w:val="clear" w:color="auto" w:fill="F2F2F2" w:themeFill="background1" w:themeFillShade="F2"/>
            <w:vAlign w:val="center"/>
          </w:tcPr>
          <w:p w14:paraId="39E4493D" w14:textId="5BB59FF3" w:rsidR="00ED6A5D" w:rsidRPr="00A86FA4" w:rsidRDefault="00ED6A5D" w:rsidP="002A04BF">
            <w:pPr>
              <w:jc w:val="center"/>
              <w:rPr>
                <w:rFonts w:cs="Times New Roman"/>
                <w:b/>
                <w:sz w:val="20"/>
                <w:szCs w:val="20"/>
              </w:rPr>
            </w:pPr>
            <w:r w:rsidRPr="00A86FA4">
              <w:rPr>
                <w:rFonts w:eastAsia="Calibri" w:cs="Times New Roman"/>
                <w:b/>
                <w:sz w:val="20"/>
                <w:szCs w:val="20"/>
              </w:rPr>
              <w:t>Broj učenika za koje je osiguran smještaj u učeničkom domu</w:t>
            </w:r>
          </w:p>
        </w:tc>
        <w:tc>
          <w:tcPr>
            <w:tcW w:w="1412" w:type="dxa"/>
            <w:shd w:val="clear" w:color="auto" w:fill="F2F2F2" w:themeFill="background1" w:themeFillShade="F2"/>
            <w:vAlign w:val="center"/>
          </w:tcPr>
          <w:p w14:paraId="2C1131F8" w14:textId="55941523" w:rsidR="00ED6A5D" w:rsidRPr="00A86FA4" w:rsidRDefault="00ED6A5D" w:rsidP="002A04BF">
            <w:pPr>
              <w:jc w:val="center"/>
              <w:rPr>
                <w:rFonts w:cs="Times New Roman"/>
                <w:b/>
                <w:sz w:val="20"/>
                <w:szCs w:val="20"/>
              </w:rPr>
            </w:pPr>
            <w:r w:rsidRPr="00A86FA4">
              <w:rPr>
                <w:rFonts w:eastAsia="Calibri" w:cs="Times New Roman"/>
                <w:b/>
                <w:sz w:val="20"/>
                <w:szCs w:val="20"/>
              </w:rPr>
              <w:t>/</w:t>
            </w:r>
          </w:p>
        </w:tc>
      </w:tr>
      <w:tr w:rsidR="006F4776" w:rsidRPr="006F4776" w14:paraId="71A9F5AC" w14:textId="77777777" w:rsidTr="0062352A">
        <w:tc>
          <w:tcPr>
            <w:tcW w:w="3070" w:type="dxa"/>
            <w:shd w:val="clear" w:color="auto" w:fill="F2F2F2" w:themeFill="background1" w:themeFillShade="F2"/>
          </w:tcPr>
          <w:p w14:paraId="3ED3FC87" w14:textId="338E56E4" w:rsidR="006F4776" w:rsidRPr="00A86FA4" w:rsidRDefault="006F4776" w:rsidP="0061594B">
            <w:pPr>
              <w:rPr>
                <w:rFonts w:cs="Times New Roman"/>
                <w:sz w:val="20"/>
                <w:szCs w:val="20"/>
              </w:rPr>
            </w:pPr>
            <w:r w:rsidRPr="00A86FA4">
              <w:rPr>
                <w:rFonts w:cs="Times New Roman"/>
                <w:sz w:val="20"/>
                <w:szCs w:val="20"/>
              </w:rPr>
              <w:t xml:space="preserve">Planirani ishodi za pokazatelje provedbe u 2024. </w:t>
            </w:r>
          </w:p>
        </w:tc>
        <w:tc>
          <w:tcPr>
            <w:tcW w:w="2486" w:type="dxa"/>
          </w:tcPr>
          <w:p w14:paraId="658B9D0F" w14:textId="0F0802B3" w:rsidR="006F4776" w:rsidRPr="00A86FA4" w:rsidRDefault="006F4776" w:rsidP="006F4776">
            <w:pPr>
              <w:jc w:val="center"/>
              <w:rPr>
                <w:rFonts w:cs="Times New Roman"/>
                <w:sz w:val="20"/>
                <w:szCs w:val="20"/>
              </w:rPr>
            </w:pPr>
            <w:r w:rsidRPr="00A86FA4">
              <w:rPr>
                <w:rFonts w:cs="Times New Roman"/>
                <w:sz w:val="20"/>
                <w:szCs w:val="20"/>
              </w:rPr>
              <w:t>800</w:t>
            </w:r>
          </w:p>
        </w:tc>
        <w:tc>
          <w:tcPr>
            <w:tcW w:w="2094" w:type="dxa"/>
          </w:tcPr>
          <w:p w14:paraId="3815365F" w14:textId="415C44C6" w:rsidR="006F4776" w:rsidRPr="00A86FA4" w:rsidRDefault="006F4776" w:rsidP="006F4776">
            <w:pPr>
              <w:jc w:val="center"/>
              <w:rPr>
                <w:rFonts w:cs="Times New Roman"/>
                <w:sz w:val="20"/>
                <w:szCs w:val="20"/>
              </w:rPr>
            </w:pPr>
            <w:r w:rsidRPr="00A86FA4">
              <w:rPr>
                <w:rFonts w:cs="Times New Roman"/>
                <w:sz w:val="20"/>
                <w:szCs w:val="20"/>
              </w:rPr>
              <w:t>50</w:t>
            </w:r>
          </w:p>
        </w:tc>
        <w:tc>
          <w:tcPr>
            <w:tcW w:w="1412" w:type="dxa"/>
          </w:tcPr>
          <w:p w14:paraId="20D39FE6" w14:textId="0BC73F2B" w:rsidR="006F4776" w:rsidRPr="00A86FA4" w:rsidRDefault="006F4776" w:rsidP="006F4776">
            <w:pPr>
              <w:jc w:val="center"/>
              <w:rPr>
                <w:rFonts w:cs="Times New Roman"/>
                <w:sz w:val="20"/>
                <w:szCs w:val="20"/>
              </w:rPr>
            </w:pPr>
          </w:p>
        </w:tc>
      </w:tr>
      <w:tr w:rsidR="006F4776" w:rsidRPr="006F4776" w14:paraId="0CA9DADF" w14:textId="77777777" w:rsidTr="0062352A">
        <w:tc>
          <w:tcPr>
            <w:tcW w:w="3070" w:type="dxa"/>
            <w:shd w:val="clear" w:color="auto" w:fill="F2F2F2" w:themeFill="background1" w:themeFillShade="F2"/>
          </w:tcPr>
          <w:p w14:paraId="2042AD64" w14:textId="76A83E05" w:rsidR="006F4776" w:rsidRPr="00A86FA4" w:rsidRDefault="006F4776" w:rsidP="0061594B">
            <w:pPr>
              <w:rPr>
                <w:rFonts w:cs="Times New Roman"/>
                <w:sz w:val="20"/>
                <w:szCs w:val="20"/>
              </w:rPr>
            </w:pPr>
            <w:r w:rsidRPr="00A86FA4">
              <w:rPr>
                <w:rFonts w:cs="Times New Roman"/>
                <w:sz w:val="20"/>
                <w:szCs w:val="20"/>
              </w:rPr>
              <w:t xml:space="preserve">Ostvareni ishodi za pokazatelje provedbe u 2024. </w:t>
            </w:r>
          </w:p>
        </w:tc>
        <w:tc>
          <w:tcPr>
            <w:tcW w:w="2486" w:type="dxa"/>
          </w:tcPr>
          <w:p w14:paraId="0EE9B6D3" w14:textId="556B5CC3" w:rsidR="006F4776" w:rsidRPr="00A86FA4" w:rsidRDefault="006F4776" w:rsidP="006F4776">
            <w:pPr>
              <w:jc w:val="center"/>
              <w:rPr>
                <w:rFonts w:eastAsia="Calibri"/>
                <w:sz w:val="20"/>
                <w:szCs w:val="20"/>
              </w:rPr>
            </w:pPr>
            <w:r w:rsidRPr="00A86FA4">
              <w:rPr>
                <w:rFonts w:eastAsia="Calibri"/>
                <w:sz w:val="20"/>
                <w:szCs w:val="20"/>
              </w:rPr>
              <w:t>kraj šk. god. 2023./2024.)</w:t>
            </w:r>
          </w:p>
          <w:p w14:paraId="39028A01" w14:textId="5EA52F66" w:rsidR="006F4776" w:rsidRPr="00A86FA4" w:rsidRDefault="006F4776" w:rsidP="006F4776">
            <w:pPr>
              <w:jc w:val="center"/>
              <w:rPr>
                <w:rFonts w:cs="Times New Roman"/>
                <w:sz w:val="20"/>
                <w:szCs w:val="20"/>
              </w:rPr>
            </w:pPr>
            <w:r w:rsidRPr="00A86FA4">
              <w:rPr>
                <w:rFonts w:eastAsia="Calibri"/>
                <w:sz w:val="20"/>
                <w:szCs w:val="20"/>
              </w:rPr>
              <w:t>694 (354m/340ž)</w:t>
            </w:r>
          </w:p>
        </w:tc>
        <w:tc>
          <w:tcPr>
            <w:tcW w:w="2094" w:type="dxa"/>
          </w:tcPr>
          <w:p w14:paraId="31751671" w14:textId="75CFC440" w:rsidR="006F4776" w:rsidRPr="00A86FA4" w:rsidRDefault="006F4776" w:rsidP="006F4776">
            <w:pPr>
              <w:jc w:val="center"/>
              <w:rPr>
                <w:rFonts w:cs="Times New Roman"/>
                <w:sz w:val="20"/>
                <w:szCs w:val="20"/>
              </w:rPr>
            </w:pPr>
            <w:r w:rsidRPr="00A86FA4">
              <w:rPr>
                <w:rFonts w:cs="Times New Roman"/>
                <w:sz w:val="20"/>
                <w:szCs w:val="20"/>
              </w:rPr>
              <w:t>32</w:t>
            </w:r>
          </w:p>
        </w:tc>
        <w:tc>
          <w:tcPr>
            <w:tcW w:w="1412" w:type="dxa"/>
          </w:tcPr>
          <w:p w14:paraId="73EAAADD" w14:textId="3EA8B101" w:rsidR="006F4776" w:rsidRPr="00A86FA4" w:rsidRDefault="006F4776" w:rsidP="006F4776">
            <w:pPr>
              <w:jc w:val="center"/>
              <w:rPr>
                <w:rFonts w:cs="Times New Roman"/>
                <w:sz w:val="20"/>
                <w:szCs w:val="20"/>
              </w:rPr>
            </w:pPr>
          </w:p>
        </w:tc>
      </w:tr>
      <w:tr w:rsidR="006F4776" w:rsidRPr="006F4776" w14:paraId="5009CE86" w14:textId="77777777" w:rsidTr="002A04BF">
        <w:trPr>
          <w:trHeight w:val="345"/>
        </w:trPr>
        <w:tc>
          <w:tcPr>
            <w:tcW w:w="3070" w:type="dxa"/>
            <w:shd w:val="clear" w:color="auto" w:fill="F2F2F2" w:themeFill="background1" w:themeFillShade="F2"/>
            <w:vAlign w:val="center"/>
          </w:tcPr>
          <w:p w14:paraId="6B3E56C7" w14:textId="77777777" w:rsidR="006F4776" w:rsidRPr="00A86FA4" w:rsidRDefault="006F4776" w:rsidP="006F4776">
            <w:pPr>
              <w:rPr>
                <w:rFonts w:cs="Times New Roman"/>
                <w:b/>
                <w:sz w:val="20"/>
                <w:szCs w:val="20"/>
              </w:rPr>
            </w:pPr>
            <w:r w:rsidRPr="00A86FA4">
              <w:rPr>
                <w:rFonts w:cs="Times New Roman"/>
                <w:b/>
                <w:sz w:val="20"/>
                <w:szCs w:val="20"/>
              </w:rPr>
              <w:lastRenderedPageBreak/>
              <w:t xml:space="preserve">IZVORI FINANCIRANJA </w:t>
            </w:r>
          </w:p>
        </w:tc>
        <w:tc>
          <w:tcPr>
            <w:tcW w:w="2486" w:type="dxa"/>
            <w:vAlign w:val="center"/>
          </w:tcPr>
          <w:p w14:paraId="51941238" w14:textId="77777777" w:rsidR="006F4776" w:rsidRPr="00A86FA4" w:rsidRDefault="006F4776" w:rsidP="006F4776">
            <w:pPr>
              <w:jc w:val="center"/>
              <w:rPr>
                <w:rFonts w:cs="Times New Roman"/>
                <w:b/>
                <w:sz w:val="20"/>
                <w:szCs w:val="20"/>
              </w:rPr>
            </w:pPr>
            <w:r w:rsidRPr="00A86FA4">
              <w:rPr>
                <w:rFonts w:cs="Times New Roman"/>
                <w:b/>
                <w:sz w:val="20"/>
                <w:szCs w:val="20"/>
              </w:rPr>
              <w:t>Državni proračun (EUR)</w:t>
            </w:r>
          </w:p>
        </w:tc>
        <w:tc>
          <w:tcPr>
            <w:tcW w:w="2094" w:type="dxa"/>
            <w:vAlign w:val="center"/>
          </w:tcPr>
          <w:p w14:paraId="388BC6FC" w14:textId="77777777" w:rsidR="006F4776" w:rsidRPr="00A86FA4" w:rsidRDefault="006F4776" w:rsidP="006F4776">
            <w:pPr>
              <w:jc w:val="center"/>
              <w:rPr>
                <w:rFonts w:cs="Times New Roman"/>
                <w:b/>
                <w:sz w:val="20"/>
                <w:szCs w:val="20"/>
              </w:rPr>
            </w:pPr>
            <w:r w:rsidRPr="00A86FA4">
              <w:rPr>
                <w:rFonts w:cs="Times New Roman"/>
                <w:b/>
                <w:sz w:val="20"/>
                <w:szCs w:val="20"/>
              </w:rPr>
              <w:t>EU financiranje (EUR)</w:t>
            </w:r>
          </w:p>
        </w:tc>
        <w:tc>
          <w:tcPr>
            <w:tcW w:w="1412" w:type="dxa"/>
            <w:vAlign w:val="center"/>
          </w:tcPr>
          <w:p w14:paraId="655D86D0" w14:textId="77777777" w:rsidR="006F4776" w:rsidRPr="00A86FA4" w:rsidRDefault="006F4776" w:rsidP="006F4776">
            <w:pPr>
              <w:jc w:val="center"/>
              <w:rPr>
                <w:rFonts w:cs="Times New Roman"/>
                <w:b/>
                <w:sz w:val="20"/>
                <w:szCs w:val="20"/>
              </w:rPr>
            </w:pPr>
            <w:r w:rsidRPr="00A86FA4">
              <w:rPr>
                <w:rFonts w:cs="Times New Roman"/>
                <w:b/>
                <w:sz w:val="20"/>
                <w:szCs w:val="20"/>
              </w:rPr>
              <w:t>Drugi izvori (EUR)</w:t>
            </w:r>
          </w:p>
        </w:tc>
      </w:tr>
      <w:tr w:rsidR="006F4776" w:rsidRPr="006F4776" w14:paraId="3EAF7304" w14:textId="77777777" w:rsidTr="002A04BF">
        <w:tc>
          <w:tcPr>
            <w:tcW w:w="3070" w:type="dxa"/>
            <w:shd w:val="clear" w:color="auto" w:fill="F2F2F2" w:themeFill="background1" w:themeFillShade="F2"/>
            <w:vAlign w:val="center"/>
          </w:tcPr>
          <w:p w14:paraId="2344D947" w14:textId="2F6033D0" w:rsidR="006F4776" w:rsidRPr="00A86FA4" w:rsidRDefault="006F4776" w:rsidP="0061594B">
            <w:pPr>
              <w:rPr>
                <w:rFonts w:cs="Times New Roman"/>
                <w:sz w:val="20"/>
                <w:szCs w:val="20"/>
              </w:rPr>
            </w:pPr>
            <w:r w:rsidRPr="00A86FA4">
              <w:rPr>
                <w:rFonts w:cs="Times New Roman"/>
                <w:sz w:val="20"/>
                <w:szCs w:val="20"/>
              </w:rPr>
              <w:t>Izvori financiranja u 2024. (proračunska pozicija i predviđeni iznos sredstava)</w:t>
            </w:r>
          </w:p>
        </w:tc>
        <w:tc>
          <w:tcPr>
            <w:tcW w:w="2486" w:type="dxa"/>
            <w:vAlign w:val="center"/>
          </w:tcPr>
          <w:p w14:paraId="47D6B6AB" w14:textId="2FBEB705" w:rsidR="006F4776" w:rsidRPr="00A86FA4" w:rsidRDefault="006F4776" w:rsidP="006F4776">
            <w:pPr>
              <w:jc w:val="center"/>
              <w:rPr>
                <w:rFonts w:cs="Times New Roman"/>
                <w:sz w:val="20"/>
                <w:szCs w:val="20"/>
              </w:rPr>
            </w:pPr>
            <w:r w:rsidRPr="00A86FA4">
              <w:rPr>
                <w:rFonts w:cs="Times New Roman"/>
                <w:sz w:val="20"/>
                <w:szCs w:val="20"/>
              </w:rPr>
              <w:t xml:space="preserve">A767015 – Provedba programa za uključivanje Roma </w:t>
            </w:r>
          </w:p>
          <w:p w14:paraId="0DB34B7F" w14:textId="074EAD53" w:rsidR="006F4776" w:rsidRPr="00A86FA4" w:rsidRDefault="006F4776" w:rsidP="006F4776">
            <w:pPr>
              <w:jc w:val="center"/>
              <w:rPr>
                <w:rFonts w:cs="Times New Roman"/>
                <w:sz w:val="20"/>
                <w:szCs w:val="20"/>
              </w:rPr>
            </w:pPr>
            <w:r w:rsidRPr="00A86FA4">
              <w:rPr>
                <w:rFonts w:cs="Times New Roman"/>
                <w:sz w:val="20"/>
                <w:szCs w:val="20"/>
              </w:rPr>
              <w:t>38.489,00</w:t>
            </w:r>
          </w:p>
        </w:tc>
        <w:tc>
          <w:tcPr>
            <w:tcW w:w="2094" w:type="dxa"/>
            <w:vAlign w:val="center"/>
          </w:tcPr>
          <w:p w14:paraId="3263F538" w14:textId="77777777" w:rsidR="006F4776" w:rsidRPr="00A86FA4" w:rsidRDefault="006F4776" w:rsidP="006F4776">
            <w:pPr>
              <w:jc w:val="center"/>
              <w:rPr>
                <w:rFonts w:cs="Times New Roman"/>
                <w:sz w:val="20"/>
                <w:szCs w:val="20"/>
              </w:rPr>
            </w:pPr>
            <w:r w:rsidRPr="00A86FA4">
              <w:rPr>
                <w:rFonts w:cs="Times New Roman"/>
                <w:sz w:val="20"/>
                <w:szCs w:val="20"/>
              </w:rPr>
              <w:t>0,00</w:t>
            </w:r>
          </w:p>
        </w:tc>
        <w:tc>
          <w:tcPr>
            <w:tcW w:w="1412" w:type="dxa"/>
            <w:vAlign w:val="center"/>
          </w:tcPr>
          <w:p w14:paraId="3FC33405" w14:textId="302697FB" w:rsidR="006F4776" w:rsidRPr="00A86FA4" w:rsidRDefault="006F4776" w:rsidP="006F4776">
            <w:pPr>
              <w:jc w:val="center"/>
              <w:rPr>
                <w:rFonts w:cs="Times New Roman"/>
                <w:sz w:val="20"/>
                <w:szCs w:val="20"/>
              </w:rPr>
            </w:pPr>
            <w:r w:rsidRPr="00A86FA4">
              <w:rPr>
                <w:rFonts w:cs="Times New Roman"/>
                <w:sz w:val="20"/>
                <w:szCs w:val="20"/>
              </w:rPr>
              <w:t>0,00</w:t>
            </w:r>
          </w:p>
        </w:tc>
      </w:tr>
      <w:tr w:rsidR="006F4776" w:rsidRPr="006F4776" w14:paraId="1BDAD696" w14:textId="77777777" w:rsidTr="002A04BF">
        <w:tc>
          <w:tcPr>
            <w:tcW w:w="3070" w:type="dxa"/>
            <w:vMerge w:val="restart"/>
            <w:shd w:val="clear" w:color="auto" w:fill="F2F2F2" w:themeFill="background1" w:themeFillShade="F2"/>
            <w:vAlign w:val="center"/>
          </w:tcPr>
          <w:p w14:paraId="6BDC3A11" w14:textId="77777777" w:rsidR="006F4776" w:rsidRPr="00A86FA4" w:rsidRDefault="006F4776" w:rsidP="006F4776">
            <w:pPr>
              <w:rPr>
                <w:rFonts w:cs="Times New Roman"/>
                <w:b/>
                <w:sz w:val="20"/>
                <w:szCs w:val="20"/>
              </w:rPr>
            </w:pPr>
            <w:r w:rsidRPr="00A86FA4">
              <w:rPr>
                <w:rFonts w:cs="Times New Roman"/>
                <w:b/>
                <w:sz w:val="20"/>
                <w:szCs w:val="20"/>
              </w:rPr>
              <w:t xml:space="preserve">UKUPNO UTROŠENA SREDSTVA PO IZVORU </w:t>
            </w:r>
          </w:p>
        </w:tc>
        <w:tc>
          <w:tcPr>
            <w:tcW w:w="2486" w:type="dxa"/>
            <w:vAlign w:val="center"/>
          </w:tcPr>
          <w:p w14:paraId="7AAC814D" w14:textId="77777777" w:rsidR="006F4776" w:rsidRPr="00A86FA4" w:rsidRDefault="006F4776" w:rsidP="006F4776">
            <w:pPr>
              <w:jc w:val="center"/>
              <w:rPr>
                <w:rFonts w:cs="Times New Roman"/>
                <w:b/>
                <w:sz w:val="20"/>
                <w:szCs w:val="20"/>
              </w:rPr>
            </w:pPr>
            <w:r w:rsidRPr="00A86FA4">
              <w:rPr>
                <w:rFonts w:cs="Times New Roman"/>
                <w:b/>
                <w:sz w:val="20"/>
                <w:szCs w:val="20"/>
              </w:rPr>
              <w:t>Državni proračun (EUR)</w:t>
            </w:r>
          </w:p>
        </w:tc>
        <w:tc>
          <w:tcPr>
            <w:tcW w:w="2094" w:type="dxa"/>
            <w:vAlign w:val="center"/>
          </w:tcPr>
          <w:p w14:paraId="46E9732A" w14:textId="77777777" w:rsidR="006F4776" w:rsidRPr="00A86FA4" w:rsidRDefault="006F4776" w:rsidP="006F4776">
            <w:pPr>
              <w:jc w:val="center"/>
              <w:rPr>
                <w:rFonts w:cs="Times New Roman"/>
                <w:b/>
                <w:sz w:val="20"/>
                <w:szCs w:val="20"/>
              </w:rPr>
            </w:pPr>
            <w:r w:rsidRPr="00A86FA4">
              <w:rPr>
                <w:rFonts w:cs="Times New Roman"/>
                <w:b/>
                <w:sz w:val="20"/>
                <w:szCs w:val="20"/>
              </w:rPr>
              <w:t>EU financiranje (EUR)</w:t>
            </w:r>
          </w:p>
        </w:tc>
        <w:tc>
          <w:tcPr>
            <w:tcW w:w="1412" w:type="dxa"/>
            <w:vAlign w:val="center"/>
          </w:tcPr>
          <w:p w14:paraId="04F3E668" w14:textId="77777777" w:rsidR="006F4776" w:rsidRPr="00A86FA4" w:rsidRDefault="006F4776" w:rsidP="006F4776">
            <w:pPr>
              <w:jc w:val="center"/>
              <w:rPr>
                <w:rFonts w:cs="Times New Roman"/>
                <w:b/>
                <w:sz w:val="20"/>
                <w:szCs w:val="20"/>
              </w:rPr>
            </w:pPr>
            <w:r w:rsidRPr="00A86FA4">
              <w:rPr>
                <w:rFonts w:cs="Times New Roman"/>
                <w:b/>
                <w:sz w:val="20"/>
                <w:szCs w:val="20"/>
              </w:rPr>
              <w:t>Drugi izvori (EUR)</w:t>
            </w:r>
          </w:p>
        </w:tc>
      </w:tr>
      <w:tr w:rsidR="006F4776" w:rsidRPr="006F4776" w14:paraId="4CA6EC4D" w14:textId="77777777" w:rsidTr="002A04BF">
        <w:tc>
          <w:tcPr>
            <w:tcW w:w="3070" w:type="dxa"/>
            <w:vMerge/>
            <w:shd w:val="clear" w:color="auto" w:fill="F2F2F2" w:themeFill="background1" w:themeFillShade="F2"/>
            <w:vAlign w:val="center"/>
          </w:tcPr>
          <w:p w14:paraId="3566F1D0" w14:textId="77777777" w:rsidR="006F4776" w:rsidRPr="00A86FA4" w:rsidRDefault="006F4776" w:rsidP="006F4776">
            <w:pPr>
              <w:rPr>
                <w:rFonts w:cs="Times New Roman"/>
                <w:b/>
                <w:sz w:val="20"/>
                <w:szCs w:val="20"/>
              </w:rPr>
            </w:pPr>
          </w:p>
        </w:tc>
        <w:tc>
          <w:tcPr>
            <w:tcW w:w="2486" w:type="dxa"/>
            <w:vAlign w:val="center"/>
          </w:tcPr>
          <w:p w14:paraId="13ADDB1F" w14:textId="0C0FBE37" w:rsidR="006F4776" w:rsidRPr="00A86FA4" w:rsidRDefault="006F4776" w:rsidP="006F4776">
            <w:pPr>
              <w:jc w:val="center"/>
              <w:rPr>
                <w:rFonts w:eastAsia="Calibri"/>
                <w:sz w:val="20"/>
                <w:szCs w:val="20"/>
              </w:rPr>
            </w:pPr>
            <w:r w:rsidRPr="00A86FA4">
              <w:rPr>
                <w:rFonts w:eastAsia="Calibri" w:cs="Times New Roman"/>
                <w:sz w:val="20"/>
                <w:szCs w:val="20"/>
              </w:rPr>
              <w:t xml:space="preserve">A767015 </w:t>
            </w:r>
            <w:r w:rsidR="00ED3AC4">
              <w:rPr>
                <w:rFonts w:eastAsia="Calibri" w:cs="Times New Roman"/>
                <w:sz w:val="20"/>
                <w:szCs w:val="20"/>
              </w:rPr>
              <w:t>14.633,51</w:t>
            </w:r>
            <w:r w:rsidR="00F5670A">
              <w:rPr>
                <w:rFonts w:eastAsia="Calibri" w:cs="Times New Roman"/>
                <w:sz w:val="20"/>
                <w:szCs w:val="20"/>
              </w:rPr>
              <w:t xml:space="preserve">; </w:t>
            </w:r>
            <w:r w:rsidR="00F5670A" w:rsidRPr="00F5670A">
              <w:rPr>
                <w:rFonts w:eastAsia="Calibri" w:cs="Times New Roman"/>
                <w:sz w:val="20"/>
                <w:szCs w:val="20"/>
              </w:rPr>
              <w:t>A 577137 668,96</w:t>
            </w:r>
            <w:r w:rsidRPr="00A86FA4">
              <w:rPr>
                <w:rFonts w:eastAsia="Calibri"/>
                <w:sz w:val="20"/>
                <w:szCs w:val="20"/>
              </w:rPr>
              <w:t xml:space="preserve"> </w:t>
            </w:r>
          </w:p>
          <w:p w14:paraId="3F562E11" w14:textId="2F84A39D" w:rsidR="006F4776" w:rsidRPr="008339D8" w:rsidRDefault="006F4776">
            <w:pPr>
              <w:jc w:val="center"/>
              <w:rPr>
                <w:rFonts w:cs="Times New Roman"/>
                <w:b/>
                <w:sz w:val="20"/>
                <w:szCs w:val="20"/>
              </w:rPr>
            </w:pPr>
            <w:r w:rsidRPr="008339D8">
              <w:rPr>
                <w:rFonts w:eastAsia="Calibri"/>
                <w:b/>
                <w:sz w:val="20"/>
                <w:szCs w:val="20"/>
              </w:rPr>
              <w:t>Iznos: 15.302,47 EUR</w:t>
            </w:r>
          </w:p>
        </w:tc>
        <w:tc>
          <w:tcPr>
            <w:tcW w:w="2094" w:type="dxa"/>
            <w:vAlign w:val="center"/>
          </w:tcPr>
          <w:p w14:paraId="68320742" w14:textId="77777777" w:rsidR="006F4776" w:rsidRPr="00A86FA4" w:rsidRDefault="006F4776" w:rsidP="006F4776">
            <w:pPr>
              <w:jc w:val="center"/>
              <w:rPr>
                <w:rFonts w:cs="Times New Roman"/>
                <w:sz w:val="20"/>
                <w:szCs w:val="20"/>
              </w:rPr>
            </w:pPr>
            <w:r w:rsidRPr="00A86FA4">
              <w:rPr>
                <w:rFonts w:cs="Times New Roman"/>
                <w:sz w:val="20"/>
                <w:szCs w:val="20"/>
              </w:rPr>
              <w:t>0,00</w:t>
            </w:r>
          </w:p>
        </w:tc>
        <w:tc>
          <w:tcPr>
            <w:tcW w:w="1412" w:type="dxa"/>
            <w:vAlign w:val="center"/>
          </w:tcPr>
          <w:p w14:paraId="624D5AF2" w14:textId="231C7D94" w:rsidR="006F4776" w:rsidRPr="00A86FA4" w:rsidRDefault="006F4776" w:rsidP="006F4776">
            <w:pPr>
              <w:jc w:val="center"/>
              <w:rPr>
                <w:rFonts w:cs="Times New Roman"/>
                <w:sz w:val="20"/>
                <w:szCs w:val="20"/>
              </w:rPr>
            </w:pPr>
            <w:r w:rsidRPr="00A86FA4">
              <w:rPr>
                <w:rFonts w:cs="Times New Roman"/>
                <w:sz w:val="20"/>
                <w:szCs w:val="20"/>
              </w:rPr>
              <w:t>0,00</w:t>
            </w:r>
          </w:p>
        </w:tc>
      </w:tr>
      <w:tr w:rsidR="006F4776" w:rsidRPr="006F4776" w14:paraId="73678497" w14:textId="77777777" w:rsidTr="00B66CD2">
        <w:trPr>
          <w:trHeight w:val="328"/>
        </w:trPr>
        <w:tc>
          <w:tcPr>
            <w:tcW w:w="3070" w:type="dxa"/>
            <w:shd w:val="clear" w:color="auto" w:fill="F2F2F2" w:themeFill="background1" w:themeFillShade="F2"/>
            <w:vAlign w:val="center"/>
          </w:tcPr>
          <w:p w14:paraId="3AC41F83" w14:textId="1A970AC2" w:rsidR="006F4776" w:rsidRPr="003379F1" w:rsidRDefault="006F4776" w:rsidP="006F4776">
            <w:pPr>
              <w:rPr>
                <w:rFonts w:cs="Times New Roman"/>
                <w:sz w:val="20"/>
                <w:szCs w:val="20"/>
              </w:rPr>
            </w:pPr>
            <w:r w:rsidRPr="003379F1">
              <w:rPr>
                <w:rFonts w:cs="Times New Roman"/>
                <w:sz w:val="20"/>
                <w:szCs w:val="20"/>
              </w:rPr>
              <w:t xml:space="preserve">ROK PROVEDBE AKTIVNOSTI </w:t>
            </w:r>
          </w:p>
        </w:tc>
        <w:tc>
          <w:tcPr>
            <w:tcW w:w="5992" w:type="dxa"/>
            <w:gridSpan w:val="3"/>
            <w:vAlign w:val="center"/>
          </w:tcPr>
          <w:p w14:paraId="10F9C0C1" w14:textId="77777777" w:rsidR="006F4776" w:rsidRPr="003379F1" w:rsidRDefault="006F4776" w:rsidP="006F4776">
            <w:pPr>
              <w:rPr>
                <w:rFonts w:cs="Times New Roman"/>
                <w:sz w:val="20"/>
                <w:szCs w:val="20"/>
              </w:rPr>
            </w:pPr>
            <w:r w:rsidRPr="003379F1">
              <w:rPr>
                <w:rFonts w:cs="Times New Roman"/>
                <w:sz w:val="20"/>
                <w:szCs w:val="20"/>
              </w:rPr>
              <w:t xml:space="preserve">IV. kvartal 2025. </w:t>
            </w:r>
          </w:p>
        </w:tc>
      </w:tr>
    </w:tbl>
    <w:p w14:paraId="50634B97" w14:textId="3B9B8977" w:rsidR="005612A7" w:rsidRDefault="005612A7" w:rsidP="004A3B23">
      <w:pPr>
        <w:spacing w:after="0" w:line="276" w:lineRule="auto"/>
        <w:jc w:val="both"/>
        <w:rPr>
          <w:rFonts w:cs="Times New Roman"/>
          <w:i/>
          <w:szCs w:val="24"/>
        </w:rPr>
      </w:pPr>
    </w:p>
    <w:p w14:paraId="58F57DA9" w14:textId="77777777" w:rsidR="0020006E" w:rsidRPr="00FC64BF" w:rsidRDefault="0020006E" w:rsidP="004A3B23">
      <w:pPr>
        <w:spacing w:after="0" w:line="276" w:lineRule="auto"/>
        <w:jc w:val="both"/>
        <w:rPr>
          <w:rFonts w:cs="Times New Roman"/>
          <w:i/>
          <w:szCs w:val="24"/>
        </w:rPr>
      </w:pPr>
    </w:p>
    <w:p w14:paraId="5F07280C" w14:textId="549EB4D7" w:rsidR="004A46C5" w:rsidRPr="00FC64BF" w:rsidRDefault="00B810AE" w:rsidP="00D36147">
      <w:pPr>
        <w:spacing w:after="0" w:line="276" w:lineRule="auto"/>
        <w:jc w:val="both"/>
        <w:rPr>
          <w:rFonts w:cs="Times New Roman"/>
          <w:bCs/>
          <w:i/>
          <w:szCs w:val="24"/>
        </w:rPr>
      </w:pPr>
      <w:r w:rsidRPr="00FC64BF">
        <w:rPr>
          <w:rFonts w:cs="Times New Roman"/>
          <w:i/>
          <w:szCs w:val="24"/>
        </w:rPr>
        <w:t xml:space="preserve">Aktivnost </w:t>
      </w:r>
      <w:r w:rsidRPr="00FC64BF">
        <w:rPr>
          <w:rFonts w:cs="Times New Roman"/>
          <w:bCs/>
          <w:i/>
          <w:szCs w:val="24"/>
        </w:rPr>
        <w:t>4.3.13. Sufinanciranje aktivnosti za pomoć u učenju/mentoriranje za učenike pripadnike romske nacionalne manjine te edukacije učitelja i nastavnika</w:t>
      </w:r>
    </w:p>
    <w:p w14:paraId="678C8620" w14:textId="0E85999A" w:rsidR="00B810AE" w:rsidRPr="00FC64BF" w:rsidRDefault="00B810AE" w:rsidP="00D36147">
      <w:pPr>
        <w:spacing w:after="0" w:line="276" w:lineRule="auto"/>
        <w:jc w:val="both"/>
        <w:rPr>
          <w:rFonts w:cs="Times New Roman"/>
          <w:bCs/>
          <w:i/>
          <w:szCs w:val="24"/>
        </w:rPr>
      </w:pPr>
      <w:r w:rsidRPr="00FC64BF">
        <w:rPr>
          <w:rFonts w:cs="Times New Roman"/>
          <w:bCs/>
          <w:i/>
          <w:szCs w:val="24"/>
        </w:rPr>
        <w:t xml:space="preserve">Nositelj: </w:t>
      </w:r>
      <w:r w:rsidR="00F36CF1" w:rsidRPr="00FC64BF">
        <w:rPr>
          <w:rFonts w:cs="Times New Roman"/>
          <w:bCs/>
          <w:i/>
          <w:szCs w:val="24"/>
        </w:rPr>
        <w:t>Ministarstvo znanosti, obrazovanja i mladih</w:t>
      </w:r>
    </w:p>
    <w:p w14:paraId="5CED8B55" w14:textId="18E76291" w:rsidR="00B810AE" w:rsidRPr="00FC64BF" w:rsidRDefault="00B810AE" w:rsidP="00D36147">
      <w:pPr>
        <w:spacing w:after="0" w:line="276" w:lineRule="auto"/>
        <w:jc w:val="both"/>
        <w:rPr>
          <w:rFonts w:cs="Times New Roman"/>
          <w:bCs/>
          <w:i/>
          <w:strike/>
          <w:szCs w:val="24"/>
        </w:rPr>
      </w:pPr>
      <w:r w:rsidRPr="00FC64BF">
        <w:rPr>
          <w:rFonts w:cs="Times New Roman"/>
          <w:bCs/>
          <w:i/>
          <w:szCs w:val="24"/>
        </w:rPr>
        <w:t>Partneri: Osnovne i srednje škol</w:t>
      </w:r>
      <w:r w:rsidR="00D36345" w:rsidRPr="00FC64BF">
        <w:rPr>
          <w:rFonts w:cs="Times New Roman"/>
          <w:bCs/>
          <w:i/>
          <w:szCs w:val="24"/>
        </w:rPr>
        <w:t>e</w:t>
      </w:r>
      <w:r w:rsidR="00D36345" w:rsidRPr="00FC64BF">
        <w:rPr>
          <w:rFonts w:cs="Times New Roman"/>
          <w:bCs/>
          <w:i/>
          <w:strike/>
          <w:szCs w:val="24"/>
        </w:rPr>
        <w:t xml:space="preserve"> </w:t>
      </w:r>
    </w:p>
    <w:p w14:paraId="0549C580" w14:textId="33640D20" w:rsidR="002B21AB" w:rsidRPr="00FC64BF" w:rsidRDefault="002B21AB" w:rsidP="00D36147">
      <w:pPr>
        <w:spacing w:after="0" w:line="276" w:lineRule="auto"/>
        <w:jc w:val="both"/>
        <w:rPr>
          <w:rFonts w:cs="Times New Roman"/>
          <w:i/>
          <w:szCs w:val="24"/>
        </w:rPr>
      </w:pPr>
    </w:p>
    <w:p w14:paraId="20585D1E" w14:textId="25A73298" w:rsidR="002B21AB" w:rsidRPr="00FC64BF" w:rsidRDefault="002B21AB" w:rsidP="002B21AB">
      <w:pPr>
        <w:spacing w:after="0" w:line="276" w:lineRule="auto"/>
        <w:jc w:val="both"/>
        <w:rPr>
          <w:rFonts w:cs="Times New Roman"/>
          <w:i/>
          <w:szCs w:val="24"/>
        </w:rPr>
      </w:pPr>
      <w:r w:rsidRPr="00FC64BF">
        <w:rPr>
          <w:rFonts w:cs="Times New Roman"/>
          <w:szCs w:val="24"/>
        </w:rPr>
        <w:t>Provedbom aktivnosti nastoji se omogućiti pristup kvalitetnom i uključivom obrazovnom sustavu, koje cilja na smanjenje početnih nejednakosti, eliminiranje diskriminacije, redukciju izazova s kojima se susreću djeca iz ranjivih društvenih skupina te promicanje razvoja djece. Svrha provedbe aktivnosti je podići kvalitetu i učinkovitost obrazovanja djece pripadnika romske nacionalne manjine te osigurati stjecanje potrebnih znanja i vještina. Aktivnost predviđa pružanje dodatne potpore odgojno-obrazovanim ustanovama s većim brojem pripadnika romske nacionalne manjine. Navedena potpora uključuje pružanje pomoći u učenju/mentoriranje, edukacije učitelja/nastavnika i stručnih suradnika koji rade u multikulturalnom okruženju.</w:t>
      </w:r>
      <w:r w:rsidR="002F7831">
        <w:rPr>
          <w:rFonts w:cs="Times New Roman"/>
          <w:szCs w:val="24"/>
        </w:rPr>
        <w:t xml:space="preserve"> </w:t>
      </w:r>
      <w:r w:rsidRPr="00FC64BF">
        <w:rPr>
          <w:rFonts w:eastAsia="Calibri"/>
          <w:szCs w:val="24"/>
        </w:rPr>
        <w:t>Temeljem Odluke o raspodjeli financijskih sredstava za sufinanciranje posebnih programa obrazovanja nacionalnih manjina u R</w:t>
      </w:r>
      <w:r w:rsidR="0061594B">
        <w:rPr>
          <w:rFonts w:eastAsia="Calibri"/>
          <w:szCs w:val="24"/>
        </w:rPr>
        <w:t xml:space="preserve">epublici </w:t>
      </w:r>
      <w:r w:rsidRPr="00FC64BF">
        <w:rPr>
          <w:rFonts w:eastAsia="Calibri"/>
          <w:szCs w:val="24"/>
        </w:rPr>
        <w:t>H</w:t>
      </w:r>
      <w:r w:rsidR="0061594B">
        <w:rPr>
          <w:rFonts w:eastAsia="Calibri"/>
          <w:szCs w:val="24"/>
        </w:rPr>
        <w:t>rvatskoj</w:t>
      </w:r>
      <w:r w:rsidRPr="00FC64BF">
        <w:rPr>
          <w:rFonts w:eastAsia="Calibri"/>
          <w:szCs w:val="24"/>
        </w:rPr>
        <w:t xml:space="preserve"> u 2024. </w:t>
      </w:r>
      <w:r w:rsidR="001F2E37">
        <w:rPr>
          <w:rFonts w:eastAsia="Calibri"/>
          <w:szCs w:val="24"/>
        </w:rPr>
        <w:t xml:space="preserve">godini </w:t>
      </w:r>
      <w:r w:rsidRPr="00FC64BF">
        <w:rPr>
          <w:rFonts w:eastAsia="Calibri"/>
          <w:szCs w:val="24"/>
        </w:rPr>
        <w:t xml:space="preserve">sufinancirani su i edukativni programi </w:t>
      </w:r>
      <w:r w:rsidR="001F2E37">
        <w:rPr>
          <w:rFonts w:eastAsia="Calibri"/>
          <w:szCs w:val="24"/>
        </w:rPr>
        <w:t>„</w:t>
      </w:r>
      <w:r w:rsidRPr="00FC64BF">
        <w:rPr>
          <w:rFonts w:eastAsia="Calibri"/>
          <w:szCs w:val="24"/>
        </w:rPr>
        <w:t>Dođi u REKC!”</w:t>
      </w:r>
      <w:r w:rsidR="00BD24D7">
        <w:rPr>
          <w:rFonts w:eastAsia="Calibri"/>
          <w:szCs w:val="24"/>
        </w:rPr>
        <w:t xml:space="preserve"> i</w:t>
      </w:r>
      <w:r w:rsidRPr="00FC64BF">
        <w:rPr>
          <w:rFonts w:eastAsia="Calibri"/>
          <w:szCs w:val="24"/>
        </w:rPr>
        <w:t xml:space="preserve"> </w:t>
      </w:r>
      <w:r w:rsidR="001F2E37">
        <w:rPr>
          <w:rFonts w:eastAsia="Calibri"/>
          <w:szCs w:val="24"/>
        </w:rPr>
        <w:t>„</w:t>
      </w:r>
      <w:proofErr w:type="spellStart"/>
      <w:r w:rsidRPr="00FC64BF">
        <w:rPr>
          <w:rFonts w:eastAsia="Calibri"/>
          <w:szCs w:val="24"/>
        </w:rPr>
        <w:t>Escape</w:t>
      </w:r>
      <w:proofErr w:type="spellEnd"/>
      <w:r w:rsidRPr="00FC64BF">
        <w:rPr>
          <w:rFonts w:eastAsia="Calibri"/>
          <w:szCs w:val="24"/>
        </w:rPr>
        <w:t xml:space="preserve"> Rom” </w:t>
      </w:r>
      <w:r w:rsidR="00BD24D7">
        <w:rPr>
          <w:rFonts w:eastAsia="Calibri"/>
          <w:szCs w:val="24"/>
        </w:rPr>
        <w:t>s ukupno</w:t>
      </w:r>
      <w:r w:rsidRPr="00FC64BF">
        <w:rPr>
          <w:rFonts w:eastAsia="Calibri"/>
          <w:szCs w:val="24"/>
        </w:rPr>
        <w:t xml:space="preserve"> 16.295,81 EUR. Program „Dođi u REKC“ održava se za učenike osnovnih i srednjih škola romske nacionalne manjine s ciljem upoznavanja s romskom kulturom jezikom i poviješću. Edukativne radionice osmišljene su na način da prezentiraju temeljne pojmove romske kulture kao dio kurikuluma </w:t>
      </w:r>
      <w:r w:rsidRPr="00FC64BF">
        <w:rPr>
          <w:rFonts w:eastAsia="Calibri"/>
          <w:i/>
          <w:szCs w:val="24"/>
        </w:rPr>
        <w:t xml:space="preserve">Jezik i kultura romske nacionalne manjine (Model C), </w:t>
      </w:r>
      <w:r w:rsidRPr="00FC64BF">
        <w:rPr>
          <w:rFonts w:eastAsia="Calibri"/>
          <w:szCs w:val="24"/>
        </w:rPr>
        <w:t xml:space="preserve">a u protekle dvije godine u programu su sudjelovala 1.043 učenika osnovnih škola s područja Grada Zagreba, Osječko-baranjske, Međimurske, Koprivničko-križevačke, Zagrebačke i Primorsko-goranske županije. Program </w:t>
      </w:r>
      <w:r w:rsidRPr="001F2E37">
        <w:rPr>
          <w:rFonts w:eastAsia="Calibri"/>
          <w:i/>
          <w:szCs w:val="24"/>
        </w:rPr>
        <w:t>„</w:t>
      </w:r>
      <w:proofErr w:type="spellStart"/>
      <w:r w:rsidRPr="001F2E37">
        <w:rPr>
          <w:rFonts w:eastAsia="Calibri"/>
          <w:i/>
          <w:szCs w:val="24"/>
        </w:rPr>
        <w:t>Escape</w:t>
      </w:r>
      <w:proofErr w:type="spellEnd"/>
      <w:r w:rsidRPr="001F2E37">
        <w:rPr>
          <w:rFonts w:eastAsia="Calibri"/>
          <w:i/>
          <w:szCs w:val="24"/>
        </w:rPr>
        <w:t xml:space="preserve"> Rom“</w:t>
      </w:r>
      <w:r w:rsidRPr="00FC64BF">
        <w:rPr>
          <w:rFonts w:eastAsia="Calibri"/>
          <w:i/>
          <w:szCs w:val="24"/>
        </w:rPr>
        <w:t xml:space="preserve"> </w:t>
      </w:r>
      <w:r w:rsidRPr="00FC64BF">
        <w:rPr>
          <w:rFonts w:eastAsia="Calibri"/>
          <w:szCs w:val="24"/>
        </w:rPr>
        <w:t xml:space="preserve">temelji se na edukativnom potencijalu igre „soba za bijeg“, odnosno na rješavanju zagonetki iz svakodnevnog života u kojima sudionici timski surađuju kako bi riješili niz izazova i pronašli tragove za „bijeg“ unutar zadanog vremenskog okvira, a obuhvaćaju romska nacionalna obilježja, podrijetlo i jezik, Samudaripen – stradanje u Drugom svjetskom ratu, medijsku pismenost, tradicijsku baštinu i „romske velikane“ te njihov doprinos razvoju svjetske kulture, znanosti i umjetnosti. U njemu su u 2024. </w:t>
      </w:r>
      <w:r w:rsidR="001F2E37">
        <w:rPr>
          <w:rFonts w:eastAsia="Calibri"/>
          <w:szCs w:val="24"/>
        </w:rPr>
        <w:t xml:space="preserve">godini </w:t>
      </w:r>
      <w:r w:rsidRPr="00FC64BF">
        <w:rPr>
          <w:rFonts w:eastAsia="Calibri"/>
          <w:szCs w:val="24"/>
        </w:rPr>
        <w:t xml:space="preserve">sudjelovala 262 učenika srednjih škola s područja Grada Zagreba, Varaždinske, Međimurske i Bjelovarsko-bilogorske županije. Edukativni program </w:t>
      </w:r>
      <w:r w:rsidRPr="00FC64BF">
        <w:rPr>
          <w:rFonts w:eastAsia="Calibri"/>
          <w:i/>
          <w:szCs w:val="24"/>
        </w:rPr>
        <w:t>„Putujem i čitam“</w:t>
      </w:r>
      <w:r w:rsidRPr="00FC64BF">
        <w:rPr>
          <w:rFonts w:eastAsia="Calibri"/>
          <w:szCs w:val="24"/>
        </w:rPr>
        <w:t xml:space="preserve"> ima za cilj približavanje knjiga i čitanja djeci i mladima u romskim naseljima u Hrvatskoj. U posebno opremljenom kombi vozilu nalazi se različita literatura na romskom, </w:t>
      </w:r>
      <w:proofErr w:type="spellStart"/>
      <w:r w:rsidRPr="00FC64BF">
        <w:rPr>
          <w:rFonts w:eastAsia="Calibri"/>
          <w:szCs w:val="24"/>
        </w:rPr>
        <w:t>bajaškom</w:t>
      </w:r>
      <w:proofErr w:type="spellEnd"/>
      <w:r w:rsidRPr="00FC64BF">
        <w:rPr>
          <w:rFonts w:eastAsia="Calibri"/>
          <w:szCs w:val="24"/>
        </w:rPr>
        <w:t xml:space="preserve"> </w:t>
      </w:r>
      <w:r w:rsidR="00DE0E20">
        <w:rPr>
          <w:rFonts w:eastAsia="Calibri"/>
          <w:szCs w:val="24"/>
        </w:rPr>
        <w:t xml:space="preserve">rumunjskom </w:t>
      </w:r>
      <w:r w:rsidRPr="00FC64BF">
        <w:rPr>
          <w:rFonts w:eastAsia="Calibri"/>
          <w:szCs w:val="24"/>
        </w:rPr>
        <w:t xml:space="preserve">i hrvatskom jeziku. Terenske radionice uključuju brojne programske aktivnosti: čitanje priča, umjetničko </w:t>
      </w:r>
      <w:r w:rsidRPr="00FC64BF">
        <w:rPr>
          <w:rFonts w:eastAsia="Calibri"/>
          <w:szCs w:val="24"/>
        </w:rPr>
        <w:lastRenderedPageBreak/>
        <w:t>stvaralaštvo te dramske i lutkarske izvedbe za djecu i mlade. Programom je tijekom 2024. godine bilo obuhvaćeno 17 romskih naselja u više županija.</w:t>
      </w:r>
    </w:p>
    <w:p w14:paraId="741992B4" w14:textId="3990E241" w:rsidR="00E5482D" w:rsidRPr="00FC64BF" w:rsidRDefault="00E5482D">
      <w:pPr>
        <w:rPr>
          <w:rFonts w:cs="Times New Roman"/>
        </w:rPr>
      </w:pPr>
    </w:p>
    <w:tbl>
      <w:tblPr>
        <w:tblStyle w:val="TableGrid"/>
        <w:tblW w:w="5000" w:type="pct"/>
        <w:tblLayout w:type="fixed"/>
        <w:tblLook w:val="04A0" w:firstRow="1" w:lastRow="0" w:firstColumn="1" w:lastColumn="0" w:noHBand="0" w:noVBand="1"/>
      </w:tblPr>
      <w:tblGrid>
        <w:gridCol w:w="3050"/>
        <w:gridCol w:w="2438"/>
        <w:gridCol w:w="2061"/>
        <w:gridCol w:w="1513"/>
      </w:tblGrid>
      <w:tr w:rsidR="0062352A" w:rsidRPr="0062352A" w14:paraId="31CFC74C" w14:textId="77777777" w:rsidTr="002B21AB">
        <w:trPr>
          <w:trHeight w:val="57"/>
        </w:trPr>
        <w:tc>
          <w:tcPr>
            <w:tcW w:w="1683" w:type="pct"/>
            <w:shd w:val="clear" w:color="auto" w:fill="F2F2F2" w:themeFill="background1" w:themeFillShade="F2"/>
            <w:vAlign w:val="center"/>
          </w:tcPr>
          <w:p w14:paraId="23BCFD8F" w14:textId="4782585B" w:rsidR="002B21AB" w:rsidRPr="00A86FA4" w:rsidRDefault="002B21AB" w:rsidP="002B21AB">
            <w:pPr>
              <w:rPr>
                <w:rFonts w:cs="Times New Roman"/>
                <w:b/>
                <w:sz w:val="20"/>
                <w:szCs w:val="20"/>
              </w:rPr>
            </w:pPr>
            <w:r w:rsidRPr="00A86FA4">
              <w:rPr>
                <w:rFonts w:cs="Times New Roman"/>
                <w:b/>
                <w:sz w:val="20"/>
                <w:szCs w:val="20"/>
              </w:rPr>
              <w:t>Pokazatelji provedbe i pokazatelji uspješnosti provedbe</w:t>
            </w:r>
          </w:p>
        </w:tc>
        <w:tc>
          <w:tcPr>
            <w:tcW w:w="1345" w:type="pct"/>
            <w:shd w:val="clear" w:color="auto" w:fill="F2F2F2" w:themeFill="background1" w:themeFillShade="F2"/>
          </w:tcPr>
          <w:p w14:paraId="65E46C19" w14:textId="427B3C3B" w:rsidR="002B21AB" w:rsidRPr="00A86FA4" w:rsidRDefault="002B21AB" w:rsidP="002B21AB">
            <w:pPr>
              <w:jc w:val="center"/>
              <w:rPr>
                <w:rFonts w:eastAsia="Calibri" w:cs="Times New Roman"/>
                <w:b/>
                <w:strike/>
                <w:sz w:val="20"/>
                <w:szCs w:val="20"/>
              </w:rPr>
            </w:pPr>
            <w:r w:rsidRPr="00A86FA4">
              <w:rPr>
                <w:rFonts w:cs="Times New Roman"/>
                <w:sz w:val="20"/>
                <w:szCs w:val="20"/>
              </w:rPr>
              <w:t>Broj učenika osnovnih škola koji su sudjelovali u programima</w:t>
            </w:r>
          </w:p>
        </w:tc>
        <w:tc>
          <w:tcPr>
            <w:tcW w:w="1137" w:type="pct"/>
            <w:shd w:val="clear" w:color="auto" w:fill="F2F2F2" w:themeFill="background1" w:themeFillShade="F2"/>
          </w:tcPr>
          <w:p w14:paraId="0713DBBE" w14:textId="0CC27050" w:rsidR="002B21AB" w:rsidRPr="00A86FA4" w:rsidRDefault="002B21AB" w:rsidP="002B21AB">
            <w:pPr>
              <w:jc w:val="center"/>
              <w:rPr>
                <w:rFonts w:cs="Times New Roman"/>
                <w:b/>
                <w:sz w:val="20"/>
                <w:szCs w:val="20"/>
              </w:rPr>
            </w:pPr>
            <w:r w:rsidRPr="00A86FA4">
              <w:rPr>
                <w:rFonts w:cs="Times New Roman"/>
                <w:sz w:val="20"/>
                <w:szCs w:val="20"/>
              </w:rPr>
              <w:t>Broj učenika srednjih škola koji su sudjelovali u programima</w:t>
            </w:r>
          </w:p>
        </w:tc>
        <w:tc>
          <w:tcPr>
            <w:tcW w:w="835" w:type="pct"/>
            <w:shd w:val="clear" w:color="auto" w:fill="F2F2F2" w:themeFill="background1" w:themeFillShade="F2"/>
            <w:vAlign w:val="center"/>
          </w:tcPr>
          <w:p w14:paraId="1FE1C7A4" w14:textId="77777777" w:rsidR="002B21AB" w:rsidRPr="00A86FA4" w:rsidRDefault="002B21AB" w:rsidP="002B21AB">
            <w:pPr>
              <w:jc w:val="center"/>
              <w:rPr>
                <w:rFonts w:cs="Times New Roman"/>
                <w:b/>
                <w:sz w:val="20"/>
                <w:szCs w:val="20"/>
              </w:rPr>
            </w:pPr>
            <w:r w:rsidRPr="00A86FA4">
              <w:rPr>
                <w:rFonts w:eastAsia="Calibri" w:cs="Times New Roman"/>
                <w:b/>
                <w:sz w:val="20"/>
                <w:szCs w:val="20"/>
              </w:rPr>
              <w:t>/</w:t>
            </w:r>
          </w:p>
        </w:tc>
      </w:tr>
      <w:tr w:rsidR="0062352A" w:rsidRPr="0062352A" w14:paraId="4B38D831" w14:textId="77777777" w:rsidTr="002B21AB">
        <w:trPr>
          <w:trHeight w:val="57"/>
        </w:trPr>
        <w:tc>
          <w:tcPr>
            <w:tcW w:w="1683" w:type="pct"/>
            <w:shd w:val="clear" w:color="auto" w:fill="F2F2F2" w:themeFill="background1" w:themeFillShade="F2"/>
            <w:vAlign w:val="center"/>
          </w:tcPr>
          <w:p w14:paraId="328D46AA" w14:textId="4A71606D" w:rsidR="002B21AB" w:rsidRPr="00A86FA4" w:rsidRDefault="002B21AB" w:rsidP="0061594B">
            <w:pPr>
              <w:rPr>
                <w:rFonts w:cs="Times New Roman"/>
                <w:sz w:val="20"/>
                <w:szCs w:val="20"/>
              </w:rPr>
            </w:pPr>
            <w:r w:rsidRPr="00A86FA4">
              <w:rPr>
                <w:rFonts w:cs="Times New Roman"/>
                <w:sz w:val="20"/>
                <w:szCs w:val="20"/>
              </w:rPr>
              <w:t>Planirani ishodi za pokazatelje provedbe u 2024.</w:t>
            </w:r>
          </w:p>
        </w:tc>
        <w:tc>
          <w:tcPr>
            <w:tcW w:w="1345" w:type="pct"/>
          </w:tcPr>
          <w:p w14:paraId="70DCA5F2" w14:textId="40AA07C0" w:rsidR="002B21AB" w:rsidRPr="00A86FA4" w:rsidRDefault="002B21AB" w:rsidP="002B21AB">
            <w:pPr>
              <w:jc w:val="center"/>
              <w:rPr>
                <w:rFonts w:cs="Times New Roman"/>
                <w:sz w:val="20"/>
                <w:szCs w:val="20"/>
              </w:rPr>
            </w:pPr>
            <w:r w:rsidRPr="00A86FA4">
              <w:rPr>
                <w:rFonts w:cs="Times New Roman"/>
                <w:sz w:val="20"/>
                <w:szCs w:val="20"/>
              </w:rPr>
              <w:t>1.100</w:t>
            </w:r>
          </w:p>
        </w:tc>
        <w:tc>
          <w:tcPr>
            <w:tcW w:w="1137" w:type="pct"/>
          </w:tcPr>
          <w:p w14:paraId="5BD72BF9" w14:textId="55F82AE3" w:rsidR="002B21AB" w:rsidRPr="00A86FA4" w:rsidRDefault="002B21AB" w:rsidP="002B21AB">
            <w:pPr>
              <w:jc w:val="center"/>
              <w:rPr>
                <w:rFonts w:cs="Times New Roman"/>
                <w:sz w:val="20"/>
                <w:szCs w:val="20"/>
              </w:rPr>
            </w:pPr>
            <w:r w:rsidRPr="00A86FA4">
              <w:rPr>
                <w:rFonts w:cs="Times New Roman"/>
                <w:sz w:val="20"/>
                <w:szCs w:val="20"/>
              </w:rPr>
              <w:t>300</w:t>
            </w:r>
          </w:p>
        </w:tc>
        <w:tc>
          <w:tcPr>
            <w:tcW w:w="835" w:type="pct"/>
            <w:vAlign w:val="center"/>
          </w:tcPr>
          <w:p w14:paraId="68BEE16C" w14:textId="53BECBAC" w:rsidR="002B21AB" w:rsidRPr="00A86FA4" w:rsidRDefault="002B21AB" w:rsidP="002B21AB">
            <w:pPr>
              <w:jc w:val="center"/>
              <w:rPr>
                <w:rFonts w:cs="Times New Roman"/>
                <w:sz w:val="20"/>
                <w:szCs w:val="20"/>
              </w:rPr>
            </w:pPr>
            <w:r w:rsidRPr="00A86FA4">
              <w:rPr>
                <w:rFonts w:cs="Times New Roman"/>
                <w:sz w:val="20"/>
                <w:szCs w:val="20"/>
              </w:rPr>
              <w:t>/</w:t>
            </w:r>
          </w:p>
        </w:tc>
      </w:tr>
      <w:tr w:rsidR="0062352A" w:rsidRPr="0062352A" w14:paraId="1238D79F" w14:textId="77777777" w:rsidTr="002B21AB">
        <w:trPr>
          <w:trHeight w:val="57"/>
        </w:trPr>
        <w:tc>
          <w:tcPr>
            <w:tcW w:w="1683" w:type="pct"/>
            <w:shd w:val="clear" w:color="auto" w:fill="F2F2F2" w:themeFill="background1" w:themeFillShade="F2"/>
            <w:vAlign w:val="center"/>
          </w:tcPr>
          <w:p w14:paraId="4E82E657" w14:textId="7A8D0D1C" w:rsidR="002B21AB" w:rsidRPr="00A86FA4" w:rsidRDefault="002B21AB" w:rsidP="0061594B">
            <w:pPr>
              <w:rPr>
                <w:rFonts w:cs="Times New Roman"/>
                <w:sz w:val="20"/>
                <w:szCs w:val="20"/>
              </w:rPr>
            </w:pPr>
            <w:r w:rsidRPr="00A86FA4">
              <w:rPr>
                <w:rFonts w:cs="Times New Roman"/>
                <w:sz w:val="20"/>
                <w:szCs w:val="20"/>
              </w:rPr>
              <w:t>Ostvareni ishodi za pokazatelje provedbe u 2024.</w:t>
            </w:r>
          </w:p>
        </w:tc>
        <w:tc>
          <w:tcPr>
            <w:tcW w:w="1345" w:type="pct"/>
          </w:tcPr>
          <w:p w14:paraId="140D7D40" w14:textId="7FE21FFE" w:rsidR="002B21AB" w:rsidRPr="00A86FA4" w:rsidRDefault="002B21AB" w:rsidP="002B21AB">
            <w:pPr>
              <w:jc w:val="center"/>
              <w:rPr>
                <w:rFonts w:cs="Times New Roman"/>
                <w:sz w:val="20"/>
                <w:szCs w:val="20"/>
              </w:rPr>
            </w:pPr>
            <w:r w:rsidRPr="00A86FA4">
              <w:rPr>
                <w:rFonts w:cs="Times New Roman"/>
                <w:sz w:val="20"/>
                <w:szCs w:val="20"/>
              </w:rPr>
              <w:t xml:space="preserve">1.043 </w:t>
            </w:r>
          </w:p>
        </w:tc>
        <w:tc>
          <w:tcPr>
            <w:tcW w:w="1137" w:type="pct"/>
          </w:tcPr>
          <w:p w14:paraId="5EBC9FE8" w14:textId="20F2495D" w:rsidR="002B21AB" w:rsidRPr="00A86FA4" w:rsidRDefault="002B21AB" w:rsidP="002B21AB">
            <w:pPr>
              <w:jc w:val="center"/>
              <w:rPr>
                <w:rFonts w:cs="Times New Roman"/>
                <w:sz w:val="20"/>
                <w:szCs w:val="20"/>
              </w:rPr>
            </w:pPr>
            <w:r w:rsidRPr="00A86FA4">
              <w:rPr>
                <w:rFonts w:cs="Times New Roman"/>
                <w:sz w:val="20"/>
                <w:szCs w:val="20"/>
              </w:rPr>
              <w:t>262</w:t>
            </w:r>
          </w:p>
        </w:tc>
        <w:tc>
          <w:tcPr>
            <w:tcW w:w="835" w:type="pct"/>
            <w:vAlign w:val="center"/>
          </w:tcPr>
          <w:p w14:paraId="054F7D4C" w14:textId="068AA071" w:rsidR="002B21AB" w:rsidRPr="00A86FA4" w:rsidRDefault="002B21AB" w:rsidP="002B21AB">
            <w:pPr>
              <w:jc w:val="center"/>
              <w:rPr>
                <w:rFonts w:cs="Times New Roman"/>
                <w:sz w:val="20"/>
                <w:szCs w:val="20"/>
              </w:rPr>
            </w:pPr>
            <w:r w:rsidRPr="00A86FA4">
              <w:rPr>
                <w:rFonts w:eastAsia="Calibri" w:cs="Times New Roman"/>
                <w:b/>
                <w:sz w:val="20"/>
                <w:szCs w:val="20"/>
              </w:rPr>
              <w:t>/</w:t>
            </w:r>
          </w:p>
        </w:tc>
      </w:tr>
      <w:tr w:rsidR="0062352A" w:rsidRPr="0062352A" w14:paraId="0FC5102F" w14:textId="77777777" w:rsidTr="002B21AB">
        <w:trPr>
          <w:trHeight w:val="57"/>
        </w:trPr>
        <w:tc>
          <w:tcPr>
            <w:tcW w:w="1683" w:type="pct"/>
            <w:shd w:val="clear" w:color="auto" w:fill="F2F2F2" w:themeFill="background1" w:themeFillShade="F2"/>
            <w:vAlign w:val="center"/>
          </w:tcPr>
          <w:p w14:paraId="2468381B" w14:textId="77777777" w:rsidR="002B21AB" w:rsidRPr="00A86FA4" w:rsidRDefault="002B21AB" w:rsidP="002B21AB">
            <w:pPr>
              <w:rPr>
                <w:rFonts w:cs="Times New Roman"/>
                <w:b/>
                <w:sz w:val="20"/>
                <w:szCs w:val="20"/>
              </w:rPr>
            </w:pPr>
            <w:r w:rsidRPr="00A86FA4">
              <w:rPr>
                <w:rFonts w:cs="Times New Roman"/>
                <w:b/>
                <w:sz w:val="20"/>
                <w:szCs w:val="20"/>
              </w:rPr>
              <w:t xml:space="preserve">IZVORI FINANCIRANJA </w:t>
            </w:r>
          </w:p>
        </w:tc>
        <w:tc>
          <w:tcPr>
            <w:tcW w:w="1345" w:type="pct"/>
            <w:vAlign w:val="center"/>
          </w:tcPr>
          <w:p w14:paraId="4D3D2572" w14:textId="77777777" w:rsidR="002B21AB" w:rsidRPr="00A86FA4" w:rsidRDefault="002B21AB" w:rsidP="002B21AB">
            <w:pPr>
              <w:jc w:val="center"/>
              <w:rPr>
                <w:rFonts w:cs="Times New Roman"/>
                <w:b/>
                <w:sz w:val="20"/>
                <w:szCs w:val="20"/>
              </w:rPr>
            </w:pPr>
            <w:r w:rsidRPr="00A86FA4">
              <w:rPr>
                <w:rFonts w:cs="Times New Roman"/>
                <w:b/>
                <w:sz w:val="20"/>
                <w:szCs w:val="20"/>
              </w:rPr>
              <w:t>Državni proračun (EUR)</w:t>
            </w:r>
          </w:p>
        </w:tc>
        <w:tc>
          <w:tcPr>
            <w:tcW w:w="1137" w:type="pct"/>
            <w:vAlign w:val="center"/>
          </w:tcPr>
          <w:p w14:paraId="3DD264C0" w14:textId="77777777" w:rsidR="002B21AB" w:rsidRPr="00A86FA4" w:rsidRDefault="002B21AB" w:rsidP="002B21AB">
            <w:pPr>
              <w:jc w:val="center"/>
              <w:rPr>
                <w:rFonts w:cs="Times New Roman"/>
                <w:b/>
                <w:sz w:val="20"/>
                <w:szCs w:val="20"/>
              </w:rPr>
            </w:pPr>
            <w:r w:rsidRPr="00A86FA4">
              <w:rPr>
                <w:rFonts w:cs="Times New Roman"/>
                <w:b/>
                <w:sz w:val="20"/>
                <w:szCs w:val="20"/>
              </w:rPr>
              <w:t>EU financiranje (EUR)</w:t>
            </w:r>
          </w:p>
        </w:tc>
        <w:tc>
          <w:tcPr>
            <w:tcW w:w="835" w:type="pct"/>
            <w:vAlign w:val="center"/>
          </w:tcPr>
          <w:p w14:paraId="4B6FE786" w14:textId="77777777" w:rsidR="002B21AB" w:rsidRPr="00A86FA4" w:rsidRDefault="002B21AB" w:rsidP="002B21AB">
            <w:pPr>
              <w:jc w:val="center"/>
              <w:rPr>
                <w:rFonts w:cs="Times New Roman"/>
                <w:b/>
                <w:sz w:val="20"/>
                <w:szCs w:val="20"/>
              </w:rPr>
            </w:pPr>
            <w:r w:rsidRPr="00A86FA4">
              <w:rPr>
                <w:rFonts w:cs="Times New Roman"/>
                <w:b/>
                <w:sz w:val="20"/>
                <w:szCs w:val="20"/>
              </w:rPr>
              <w:t>Drugi izvori (EUR)</w:t>
            </w:r>
          </w:p>
        </w:tc>
      </w:tr>
      <w:tr w:rsidR="0062352A" w:rsidRPr="0062352A" w14:paraId="563BA26C" w14:textId="77777777" w:rsidTr="002B21AB">
        <w:trPr>
          <w:trHeight w:val="57"/>
        </w:trPr>
        <w:tc>
          <w:tcPr>
            <w:tcW w:w="1683" w:type="pct"/>
            <w:shd w:val="clear" w:color="auto" w:fill="F2F2F2" w:themeFill="background1" w:themeFillShade="F2"/>
            <w:vAlign w:val="center"/>
          </w:tcPr>
          <w:p w14:paraId="0DF1B10A" w14:textId="103CF15F" w:rsidR="002B21AB" w:rsidRPr="00A86FA4" w:rsidRDefault="002B21AB" w:rsidP="0061594B">
            <w:pPr>
              <w:rPr>
                <w:rFonts w:cs="Times New Roman"/>
                <w:sz w:val="20"/>
                <w:szCs w:val="20"/>
              </w:rPr>
            </w:pPr>
            <w:r w:rsidRPr="00A86FA4">
              <w:rPr>
                <w:rFonts w:cs="Times New Roman"/>
                <w:sz w:val="20"/>
                <w:szCs w:val="20"/>
              </w:rPr>
              <w:t>Izvori financiranja u 2024. (proračunska pozicija i predviđeni iznos sredstava)</w:t>
            </w:r>
          </w:p>
        </w:tc>
        <w:tc>
          <w:tcPr>
            <w:tcW w:w="1345" w:type="pct"/>
            <w:vAlign w:val="center"/>
          </w:tcPr>
          <w:p w14:paraId="00F63474" w14:textId="465A8611" w:rsidR="002B21AB" w:rsidRPr="00A86FA4" w:rsidRDefault="002B21AB" w:rsidP="002B21AB">
            <w:pPr>
              <w:jc w:val="center"/>
              <w:rPr>
                <w:rFonts w:cs="Times New Roman"/>
                <w:sz w:val="20"/>
                <w:szCs w:val="20"/>
              </w:rPr>
            </w:pPr>
            <w:r w:rsidRPr="00A86FA4">
              <w:rPr>
                <w:rFonts w:cs="Times New Roman"/>
                <w:sz w:val="20"/>
                <w:szCs w:val="20"/>
              </w:rPr>
              <w:t>A767015 – Provedba programa za uključivanje Roma</w:t>
            </w:r>
          </w:p>
          <w:p w14:paraId="4A3547DC" w14:textId="7B2F7E9E" w:rsidR="002B21AB" w:rsidRPr="00A86FA4" w:rsidRDefault="002B21AB" w:rsidP="002B21AB">
            <w:pPr>
              <w:jc w:val="center"/>
              <w:rPr>
                <w:rFonts w:cs="Times New Roman"/>
                <w:sz w:val="20"/>
                <w:szCs w:val="20"/>
              </w:rPr>
            </w:pPr>
            <w:r w:rsidRPr="00A86FA4">
              <w:rPr>
                <w:rFonts w:cs="Times New Roman"/>
                <w:sz w:val="20"/>
                <w:szCs w:val="20"/>
              </w:rPr>
              <w:t>26.544,00</w:t>
            </w:r>
          </w:p>
        </w:tc>
        <w:tc>
          <w:tcPr>
            <w:tcW w:w="1137" w:type="pct"/>
            <w:vAlign w:val="center"/>
          </w:tcPr>
          <w:p w14:paraId="7912A932" w14:textId="77777777" w:rsidR="002B21AB" w:rsidRPr="00A86FA4" w:rsidRDefault="002B21AB" w:rsidP="002B21AB">
            <w:pPr>
              <w:jc w:val="center"/>
              <w:rPr>
                <w:rFonts w:cs="Times New Roman"/>
                <w:sz w:val="20"/>
                <w:szCs w:val="20"/>
              </w:rPr>
            </w:pPr>
            <w:r w:rsidRPr="00A86FA4">
              <w:rPr>
                <w:rFonts w:cs="Times New Roman"/>
                <w:sz w:val="20"/>
                <w:szCs w:val="20"/>
              </w:rPr>
              <w:t>0,00</w:t>
            </w:r>
          </w:p>
        </w:tc>
        <w:tc>
          <w:tcPr>
            <w:tcW w:w="835" w:type="pct"/>
            <w:vAlign w:val="center"/>
          </w:tcPr>
          <w:p w14:paraId="5BF1E10B" w14:textId="77777777" w:rsidR="002B21AB" w:rsidRPr="00A86FA4" w:rsidRDefault="002B21AB" w:rsidP="002B21AB">
            <w:pPr>
              <w:jc w:val="center"/>
              <w:rPr>
                <w:rFonts w:cs="Times New Roman"/>
                <w:sz w:val="20"/>
                <w:szCs w:val="20"/>
              </w:rPr>
            </w:pPr>
            <w:r w:rsidRPr="00A86FA4">
              <w:rPr>
                <w:rFonts w:cs="Times New Roman"/>
                <w:sz w:val="20"/>
                <w:szCs w:val="20"/>
              </w:rPr>
              <w:t xml:space="preserve">0,00 </w:t>
            </w:r>
          </w:p>
        </w:tc>
      </w:tr>
      <w:tr w:rsidR="0062352A" w:rsidRPr="0062352A" w14:paraId="3E02E14B" w14:textId="77777777" w:rsidTr="002B21AB">
        <w:trPr>
          <w:trHeight w:val="57"/>
        </w:trPr>
        <w:tc>
          <w:tcPr>
            <w:tcW w:w="1683" w:type="pct"/>
            <w:vMerge w:val="restart"/>
            <w:shd w:val="clear" w:color="auto" w:fill="F2F2F2" w:themeFill="background1" w:themeFillShade="F2"/>
            <w:vAlign w:val="center"/>
          </w:tcPr>
          <w:p w14:paraId="3A37A512" w14:textId="77777777" w:rsidR="002B21AB" w:rsidRPr="00A86FA4" w:rsidRDefault="002B21AB" w:rsidP="002B21AB">
            <w:pPr>
              <w:rPr>
                <w:rFonts w:cs="Times New Roman"/>
                <w:b/>
                <w:sz w:val="20"/>
                <w:szCs w:val="20"/>
              </w:rPr>
            </w:pPr>
            <w:r w:rsidRPr="00A86FA4">
              <w:rPr>
                <w:rFonts w:cs="Times New Roman"/>
                <w:b/>
                <w:sz w:val="20"/>
                <w:szCs w:val="20"/>
              </w:rPr>
              <w:t xml:space="preserve">UKUPNO UTROŠENA SREDSTVA PO IZVORU </w:t>
            </w:r>
          </w:p>
        </w:tc>
        <w:tc>
          <w:tcPr>
            <w:tcW w:w="1345" w:type="pct"/>
            <w:vAlign w:val="center"/>
          </w:tcPr>
          <w:p w14:paraId="03C46628" w14:textId="77777777" w:rsidR="002B21AB" w:rsidRPr="00A86FA4" w:rsidRDefault="002B21AB" w:rsidP="002B21AB">
            <w:pPr>
              <w:jc w:val="center"/>
              <w:rPr>
                <w:rFonts w:cs="Times New Roman"/>
                <w:b/>
                <w:sz w:val="20"/>
                <w:szCs w:val="20"/>
              </w:rPr>
            </w:pPr>
            <w:r w:rsidRPr="00A86FA4">
              <w:rPr>
                <w:rFonts w:cs="Times New Roman"/>
                <w:b/>
                <w:sz w:val="20"/>
                <w:szCs w:val="20"/>
              </w:rPr>
              <w:t>Državni proračun (EUR)</w:t>
            </w:r>
          </w:p>
        </w:tc>
        <w:tc>
          <w:tcPr>
            <w:tcW w:w="1137" w:type="pct"/>
            <w:vAlign w:val="center"/>
          </w:tcPr>
          <w:p w14:paraId="208FAC01" w14:textId="77777777" w:rsidR="002B21AB" w:rsidRPr="00A86FA4" w:rsidRDefault="002B21AB" w:rsidP="002B21AB">
            <w:pPr>
              <w:jc w:val="center"/>
              <w:rPr>
                <w:rFonts w:cs="Times New Roman"/>
                <w:b/>
                <w:sz w:val="20"/>
                <w:szCs w:val="20"/>
              </w:rPr>
            </w:pPr>
            <w:r w:rsidRPr="00A86FA4">
              <w:rPr>
                <w:rFonts w:cs="Times New Roman"/>
                <w:b/>
                <w:sz w:val="20"/>
                <w:szCs w:val="20"/>
              </w:rPr>
              <w:t>EU financiranje (EUR)</w:t>
            </w:r>
          </w:p>
        </w:tc>
        <w:tc>
          <w:tcPr>
            <w:tcW w:w="835" w:type="pct"/>
            <w:vAlign w:val="center"/>
          </w:tcPr>
          <w:p w14:paraId="42C660EE" w14:textId="77777777" w:rsidR="002B21AB" w:rsidRPr="00A86FA4" w:rsidRDefault="002B21AB" w:rsidP="002B21AB">
            <w:pPr>
              <w:jc w:val="center"/>
              <w:rPr>
                <w:rFonts w:cs="Times New Roman"/>
                <w:b/>
                <w:sz w:val="20"/>
                <w:szCs w:val="20"/>
              </w:rPr>
            </w:pPr>
            <w:r w:rsidRPr="00A86FA4">
              <w:rPr>
                <w:rFonts w:cs="Times New Roman"/>
                <w:b/>
                <w:sz w:val="20"/>
                <w:szCs w:val="20"/>
              </w:rPr>
              <w:t>Drugi izvori (EUR)</w:t>
            </w:r>
          </w:p>
        </w:tc>
      </w:tr>
      <w:tr w:rsidR="0062352A" w:rsidRPr="0062352A" w14:paraId="744B8413" w14:textId="77777777" w:rsidTr="002B21AB">
        <w:trPr>
          <w:trHeight w:val="57"/>
        </w:trPr>
        <w:tc>
          <w:tcPr>
            <w:tcW w:w="1683" w:type="pct"/>
            <w:vMerge/>
            <w:shd w:val="clear" w:color="auto" w:fill="F2F2F2" w:themeFill="background1" w:themeFillShade="F2"/>
            <w:vAlign w:val="center"/>
          </w:tcPr>
          <w:p w14:paraId="300BE580" w14:textId="77777777" w:rsidR="002B21AB" w:rsidRPr="00A86FA4" w:rsidRDefault="002B21AB" w:rsidP="002B21AB">
            <w:pPr>
              <w:rPr>
                <w:rFonts w:cs="Times New Roman"/>
                <w:b/>
                <w:sz w:val="20"/>
                <w:szCs w:val="20"/>
              </w:rPr>
            </w:pPr>
          </w:p>
        </w:tc>
        <w:tc>
          <w:tcPr>
            <w:tcW w:w="1345" w:type="pct"/>
            <w:vAlign w:val="center"/>
          </w:tcPr>
          <w:p w14:paraId="6559C714" w14:textId="68196E6E" w:rsidR="002B21AB" w:rsidRPr="00A86FA4" w:rsidRDefault="002B21AB" w:rsidP="002B21AB">
            <w:pPr>
              <w:jc w:val="center"/>
              <w:rPr>
                <w:rFonts w:eastAsia="Calibri" w:cs="Times New Roman"/>
                <w:sz w:val="20"/>
                <w:szCs w:val="20"/>
              </w:rPr>
            </w:pPr>
            <w:r w:rsidRPr="00A86FA4">
              <w:rPr>
                <w:rFonts w:eastAsia="Calibri" w:cs="Times New Roman"/>
                <w:sz w:val="20"/>
                <w:szCs w:val="20"/>
              </w:rPr>
              <w:t xml:space="preserve">A577137 – Posebni programi za provođenje programa nacionalnih manjina </w:t>
            </w:r>
          </w:p>
          <w:p w14:paraId="142666D7" w14:textId="1E9D526D" w:rsidR="002B21AB" w:rsidRPr="008339D8" w:rsidRDefault="0062352A" w:rsidP="0062352A">
            <w:pPr>
              <w:jc w:val="center"/>
              <w:rPr>
                <w:rFonts w:cs="Times New Roman"/>
                <w:b/>
                <w:sz w:val="20"/>
                <w:szCs w:val="20"/>
              </w:rPr>
            </w:pPr>
            <w:r w:rsidRPr="008339D8">
              <w:rPr>
                <w:rFonts w:eastAsia="Calibri"/>
                <w:b/>
                <w:sz w:val="20"/>
                <w:szCs w:val="20"/>
              </w:rPr>
              <w:t>16.295,81 EUR</w:t>
            </w:r>
            <w:r w:rsidRPr="008339D8">
              <w:rPr>
                <w:rFonts w:eastAsia="Calibri" w:cs="Times New Roman"/>
                <w:b/>
                <w:sz w:val="20"/>
                <w:szCs w:val="20"/>
              </w:rPr>
              <w:t xml:space="preserve"> </w:t>
            </w:r>
          </w:p>
        </w:tc>
        <w:tc>
          <w:tcPr>
            <w:tcW w:w="1137" w:type="pct"/>
            <w:vAlign w:val="center"/>
          </w:tcPr>
          <w:p w14:paraId="2043FF34" w14:textId="77777777" w:rsidR="002B21AB" w:rsidRPr="00A86FA4" w:rsidRDefault="002B21AB" w:rsidP="002B21AB">
            <w:pPr>
              <w:jc w:val="center"/>
              <w:rPr>
                <w:rFonts w:cs="Times New Roman"/>
                <w:sz w:val="20"/>
                <w:szCs w:val="20"/>
              </w:rPr>
            </w:pPr>
            <w:r w:rsidRPr="00A86FA4">
              <w:rPr>
                <w:rFonts w:cs="Times New Roman"/>
                <w:sz w:val="20"/>
                <w:szCs w:val="20"/>
              </w:rPr>
              <w:t>0,00</w:t>
            </w:r>
          </w:p>
        </w:tc>
        <w:tc>
          <w:tcPr>
            <w:tcW w:w="835" w:type="pct"/>
            <w:vAlign w:val="center"/>
          </w:tcPr>
          <w:p w14:paraId="6BA23119" w14:textId="77777777" w:rsidR="002B21AB" w:rsidRPr="00A86FA4" w:rsidRDefault="002B21AB" w:rsidP="002B21AB">
            <w:pPr>
              <w:jc w:val="center"/>
              <w:rPr>
                <w:rFonts w:cs="Times New Roman"/>
                <w:sz w:val="20"/>
                <w:szCs w:val="20"/>
              </w:rPr>
            </w:pPr>
            <w:r w:rsidRPr="00A86FA4">
              <w:rPr>
                <w:rFonts w:cs="Times New Roman"/>
                <w:sz w:val="20"/>
                <w:szCs w:val="20"/>
              </w:rPr>
              <w:t xml:space="preserve">0,00 </w:t>
            </w:r>
          </w:p>
        </w:tc>
      </w:tr>
      <w:tr w:rsidR="0062352A" w:rsidRPr="0062352A" w14:paraId="3EC276F0" w14:textId="77777777" w:rsidTr="00E5482D">
        <w:trPr>
          <w:cantSplit/>
          <w:trHeight w:val="311"/>
        </w:trPr>
        <w:tc>
          <w:tcPr>
            <w:tcW w:w="1683" w:type="pct"/>
            <w:shd w:val="clear" w:color="auto" w:fill="F2F2F2" w:themeFill="background1" w:themeFillShade="F2"/>
            <w:vAlign w:val="center"/>
          </w:tcPr>
          <w:p w14:paraId="3BA802B8" w14:textId="1264F717" w:rsidR="002B21AB" w:rsidRPr="00A86FA4" w:rsidRDefault="002B21AB" w:rsidP="002B21AB">
            <w:pPr>
              <w:rPr>
                <w:rFonts w:cs="Times New Roman"/>
                <w:sz w:val="20"/>
                <w:szCs w:val="20"/>
              </w:rPr>
            </w:pPr>
            <w:r w:rsidRPr="00A86FA4">
              <w:rPr>
                <w:rFonts w:cs="Times New Roman"/>
                <w:sz w:val="20"/>
                <w:szCs w:val="20"/>
              </w:rPr>
              <w:t>ROK PROVEDBE AKTIVNOSTI</w:t>
            </w:r>
          </w:p>
        </w:tc>
        <w:tc>
          <w:tcPr>
            <w:tcW w:w="3317" w:type="pct"/>
            <w:gridSpan w:val="3"/>
            <w:vAlign w:val="center"/>
          </w:tcPr>
          <w:p w14:paraId="377D1D05" w14:textId="77777777" w:rsidR="002B21AB" w:rsidRPr="00A86FA4" w:rsidRDefault="002B21AB" w:rsidP="002B21AB">
            <w:pPr>
              <w:rPr>
                <w:rFonts w:cs="Times New Roman"/>
                <w:sz w:val="20"/>
                <w:szCs w:val="20"/>
              </w:rPr>
            </w:pPr>
            <w:r w:rsidRPr="00A86FA4">
              <w:rPr>
                <w:rFonts w:cs="Times New Roman"/>
                <w:sz w:val="20"/>
                <w:szCs w:val="20"/>
              </w:rPr>
              <w:t xml:space="preserve">IV. kvartal 2025. </w:t>
            </w:r>
          </w:p>
        </w:tc>
      </w:tr>
    </w:tbl>
    <w:p w14:paraId="21334333" w14:textId="3A2F6963" w:rsidR="00815B24" w:rsidRDefault="00815B24" w:rsidP="00D36147">
      <w:pPr>
        <w:spacing w:after="0" w:line="276" w:lineRule="auto"/>
        <w:jc w:val="both"/>
        <w:rPr>
          <w:rFonts w:cs="Times New Roman"/>
          <w:i/>
        </w:rPr>
      </w:pPr>
    </w:p>
    <w:p w14:paraId="47EAD8B3" w14:textId="77777777" w:rsidR="0020006E" w:rsidRPr="0020006E" w:rsidRDefault="0020006E" w:rsidP="00D36147">
      <w:pPr>
        <w:spacing w:after="0" w:line="276" w:lineRule="auto"/>
        <w:jc w:val="both"/>
        <w:rPr>
          <w:rFonts w:cs="Times New Roman"/>
          <w:i/>
        </w:rPr>
      </w:pPr>
    </w:p>
    <w:p w14:paraId="52C3A3E7" w14:textId="485F17E8" w:rsidR="00A9087D" w:rsidRPr="00FC64BF" w:rsidRDefault="00B810AE" w:rsidP="004A3B23">
      <w:pPr>
        <w:spacing w:after="0" w:line="276" w:lineRule="auto"/>
        <w:jc w:val="both"/>
        <w:rPr>
          <w:rFonts w:cs="Times New Roman"/>
          <w:i/>
        </w:rPr>
      </w:pPr>
      <w:r w:rsidRPr="0020006E">
        <w:rPr>
          <w:rFonts w:cs="Times New Roman"/>
          <w:i/>
        </w:rPr>
        <w:t>A</w:t>
      </w:r>
      <w:r w:rsidRPr="00FC64BF">
        <w:rPr>
          <w:rFonts w:cs="Times New Roman"/>
          <w:i/>
        </w:rPr>
        <w:t>ktivnost 4.3.14. Izrada preporuka za smanjivanje ranog napuštanja školovanja radi maloljetničkih brakova i maloljetničkih trudnoća</w:t>
      </w:r>
    </w:p>
    <w:p w14:paraId="18620264" w14:textId="5C94C7D8" w:rsidR="004A46C5" w:rsidRPr="00FC64BF" w:rsidRDefault="00B810AE" w:rsidP="00D36147">
      <w:pPr>
        <w:spacing w:after="0" w:line="276" w:lineRule="auto"/>
        <w:jc w:val="both"/>
        <w:rPr>
          <w:rFonts w:cs="Times New Roman"/>
          <w:i/>
        </w:rPr>
      </w:pPr>
      <w:r w:rsidRPr="00FC64BF">
        <w:rPr>
          <w:rFonts w:cs="Times New Roman"/>
          <w:i/>
        </w:rPr>
        <w:t>Nositelj: Ured za ravnopravnost spolova</w:t>
      </w:r>
    </w:p>
    <w:p w14:paraId="226CB82C" w14:textId="040382D2" w:rsidR="00FD08BB" w:rsidRPr="00FC64BF" w:rsidRDefault="00D87B01" w:rsidP="00D36147">
      <w:pPr>
        <w:spacing w:after="0" w:line="276" w:lineRule="auto"/>
        <w:jc w:val="both"/>
        <w:rPr>
          <w:rFonts w:cs="Times New Roman"/>
        </w:rPr>
      </w:pPr>
      <w:r w:rsidRPr="00FC64BF">
        <w:rPr>
          <w:rFonts w:cs="Times New Roman"/>
        </w:rPr>
        <w:t>P</w:t>
      </w:r>
      <w:r w:rsidR="00C8056A" w:rsidRPr="00FC64BF">
        <w:rPr>
          <w:rFonts w:cs="Times New Roman"/>
        </w:rPr>
        <w:t xml:space="preserve">rovedba </w:t>
      </w:r>
      <w:r w:rsidRPr="00FC64BF">
        <w:rPr>
          <w:rFonts w:cs="Times New Roman"/>
        </w:rPr>
        <w:t xml:space="preserve">aktivnosti </w:t>
      </w:r>
      <w:r w:rsidR="00C8056A" w:rsidRPr="00FC64BF">
        <w:rPr>
          <w:rFonts w:cs="Times New Roman"/>
        </w:rPr>
        <w:t xml:space="preserve">predviđena </w:t>
      </w:r>
      <w:r w:rsidRPr="00FC64BF">
        <w:rPr>
          <w:rFonts w:cs="Times New Roman"/>
        </w:rPr>
        <w:t xml:space="preserve">je </w:t>
      </w:r>
      <w:r w:rsidR="00C8056A" w:rsidRPr="00FC64BF">
        <w:rPr>
          <w:rFonts w:cs="Times New Roman"/>
        </w:rPr>
        <w:t xml:space="preserve">u 2025. </w:t>
      </w:r>
      <w:r w:rsidR="001F2E37">
        <w:rPr>
          <w:rFonts w:cs="Times New Roman"/>
        </w:rPr>
        <w:t>godini.</w:t>
      </w:r>
    </w:p>
    <w:p w14:paraId="4D9CFC88" w14:textId="77777777" w:rsidR="00524406" w:rsidRPr="00FC64BF" w:rsidRDefault="00524406" w:rsidP="00D36147">
      <w:pPr>
        <w:spacing w:after="0" w:line="276" w:lineRule="auto"/>
        <w:jc w:val="both"/>
        <w:rPr>
          <w:rFonts w:cs="Times New Roman"/>
        </w:rPr>
      </w:pPr>
    </w:p>
    <w:tbl>
      <w:tblPr>
        <w:tblStyle w:val="TableGrid"/>
        <w:tblW w:w="9351" w:type="dxa"/>
        <w:tblLook w:val="04A0" w:firstRow="1" w:lastRow="0" w:firstColumn="1" w:lastColumn="0" w:noHBand="0" w:noVBand="1"/>
      </w:tblPr>
      <w:tblGrid>
        <w:gridCol w:w="3256"/>
        <w:gridCol w:w="2268"/>
        <w:gridCol w:w="2126"/>
        <w:gridCol w:w="1701"/>
      </w:tblGrid>
      <w:tr w:rsidR="00CE622A" w:rsidRPr="00F7623F" w14:paraId="33E724DD" w14:textId="77777777" w:rsidTr="00B66CD2">
        <w:trPr>
          <w:trHeight w:val="606"/>
        </w:trPr>
        <w:tc>
          <w:tcPr>
            <w:tcW w:w="3256" w:type="dxa"/>
            <w:shd w:val="clear" w:color="auto" w:fill="F2F2F2" w:themeFill="background1" w:themeFillShade="F2"/>
            <w:vAlign w:val="center"/>
          </w:tcPr>
          <w:p w14:paraId="200AC863" w14:textId="699C97B3" w:rsidR="00CA1CE4" w:rsidRPr="00A86FA4" w:rsidRDefault="007E61F3" w:rsidP="002A04BF">
            <w:pPr>
              <w:spacing w:line="276" w:lineRule="auto"/>
              <w:rPr>
                <w:rFonts w:cs="Times New Roman"/>
                <w:b/>
                <w:sz w:val="20"/>
                <w:szCs w:val="20"/>
              </w:rPr>
            </w:pPr>
            <w:r w:rsidRPr="00A86FA4">
              <w:rPr>
                <w:rFonts w:cs="Times New Roman"/>
                <w:b/>
                <w:sz w:val="20"/>
                <w:szCs w:val="20"/>
              </w:rPr>
              <w:t>Pokazatelji provedbe i pokazatelji uspješnosti provedbe</w:t>
            </w:r>
          </w:p>
        </w:tc>
        <w:tc>
          <w:tcPr>
            <w:tcW w:w="2268" w:type="dxa"/>
            <w:shd w:val="clear" w:color="auto" w:fill="F2F2F2" w:themeFill="background1" w:themeFillShade="F2"/>
            <w:vAlign w:val="center"/>
          </w:tcPr>
          <w:p w14:paraId="5E7806ED" w14:textId="3900CCB1" w:rsidR="00CA1CE4" w:rsidRPr="00A86FA4" w:rsidRDefault="00CA1CE4" w:rsidP="002A04BF">
            <w:pPr>
              <w:spacing w:line="276" w:lineRule="auto"/>
              <w:jc w:val="center"/>
              <w:rPr>
                <w:rFonts w:eastAsia="Calibri" w:cs="Times New Roman"/>
                <w:b/>
                <w:strike/>
                <w:sz w:val="20"/>
                <w:szCs w:val="20"/>
              </w:rPr>
            </w:pPr>
            <w:r w:rsidRPr="00A86FA4">
              <w:rPr>
                <w:rFonts w:eastAsia="Calibri" w:cs="Times New Roman"/>
                <w:b/>
                <w:sz w:val="20"/>
                <w:szCs w:val="20"/>
              </w:rPr>
              <w:t>Broj događanja</w:t>
            </w:r>
          </w:p>
        </w:tc>
        <w:tc>
          <w:tcPr>
            <w:tcW w:w="2126" w:type="dxa"/>
            <w:shd w:val="clear" w:color="auto" w:fill="F2F2F2" w:themeFill="background1" w:themeFillShade="F2"/>
            <w:vAlign w:val="center"/>
          </w:tcPr>
          <w:p w14:paraId="3DAE972D" w14:textId="03455873" w:rsidR="00CA1CE4" w:rsidRPr="00A86FA4" w:rsidRDefault="00CA1CE4" w:rsidP="002A04BF">
            <w:pPr>
              <w:spacing w:line="276" w:lineRule="auto"/>
              <w:jc w:val="center"/>
              <w:rPr>
                <w:rFonts w:cs="Times New Roman"/>
                <w:b/>
                <w:sz w:val="20"/>
                <w:szCs w:val="20"/>
              </w:rPr>
            </w:pPr>
            <w:r w:rsidRPr="00A86FA4">
              <w:rPr>
                <w:rFonts w:eastAsia="Calibri" w:cs="Times New Roman"/>
                <w:b/>
                <w:sz w:val="20"/>
                <w:szCs w:val="20"/>
              </w:rPr>
              <w:t>Broj sudionika događanja</w:t>
            </w:r>
          </w:p>
        </w:tc>
        <w:tc>
          <w:tcPr>
            <w:tcW w:w="1701" w:type="dxa"/>
            <w:shd w:val="clear" w:color="auto" w:fill="F2F2F2" w:themeFill="background1" w:themeFillShade="F2"/>
            <w:vAlign w:val="center"/>
          </w:tcPr>
          <w:p w14:paraId="6DEA7475" w14:textId="638DDCAD" w:rsidR="00CA1CE4" w:rsidRPr="00A86FA4" w:rsidRDefault="00CA1CE4" w:rsidP="002A04BF">
            <w:pPr>
              <w:spacing w:line="276" w:lineRule="auto"/>
              <w:jc w:val="center"/>
              <w:rPr>
                <w:rFonts w:cs="Times New Roman"/>
                <w:b/>
                <w:sz w:val="20"/>
                <w:szCs w:val="20"/>
              </w:rPr>
            </w:pPr>
            <w:r w:rsidRPr="00A86FA4">
              <w:rPr>
                <w:rFonts w:eastAsia="Calibri" w:cs="Times New Roman"/>
                <w:b/>
                <w:sz w:val="20"/>
                <w:szCs w:val="20"/>
              </w:rPr>
              <w:t>Broj izrađenih dokumenata</w:t>
            </w:r>
          </w:p>
        </w:tc>
      </w:tr>
      <w:tr w:rsidR="00CE622A" w:rsidRPr="00F7623F" w14:paraId="15976917" w14:textId="77777777" w:rsidTr="00B66CD2">
        <w:tc>
          <w:tcPr>
            <w:tcW w:w="3256" w:type="dxa"/>
            <w:shd w:val="clear" w:color="auto" w:fill="F2F2F2" w:themeFill="background1" w:themeFillShade="F2"/>
            <w:vAlign w:val="center"/>
          </w:tcPr>
          <w:p w14:paraId="6D7075C6" w14:textId="02133260" w:rsidR="00CA1CE4" w:rsidRPr="00A86FA4" w:rsidRDefault="00CA1CE4" w:rsidP="0061594B">
            <w:pPr>
              <w:spacing w:line="276" w:lineRule="auto"/>
              <w:rPr>
                <w:rFonts w:cs="Times New Roman"/>
                <w:sz w:val="20"/>
                <w:szCs w:val="20"/>
              </w:rPr>
            </w:pPr>
            <w:r w:rsidRPr="00A86FA4">
              <w:rPr>
                <w:rFonts w:cs="Times New Roman"/>
                <w:sz w:val="20"/>
                <w:szCs w:val="20"/>
              </w:rPr>
              <w:t>Planirani ishodi za pokazatelje provedbe u 202</w:t>
            </w:r>
            <w:r w:rsidR="00C55F4F" w:rsidRPr="00A86FA4">
              <w:rPr>
                <w:rFonts w:cs="Times New Roman"/>
                <w:sz w:val="20"/>
                <w:szCs w:val="20"/>
              </w:rPr>
              <w:t>4</w:t>
            </w:r>
            <w:r w:rsidRPr="00A86FA4">
              <w:rPr>
                <w:rFonts w:cs="Times New Roman"/>
                <w:sz w:val="20"/>
                <w:szCs w:val="20"/>
              </w:rPr>
              <w:t xml:space="preserve">. </w:t>
            </w:r>
          </w:p>
        </w:tc>
        <w:tc>
          <w:tcPr>
            <w:tcW w:w="2268" w:type="dxa"/>
            <w:vAlign w:val="center"/>
          </w:tcPr>
          <w:p w14:paraId="0E632EDC" w14:textId="798871B3" w:rsidR="00CA1CE4" w:rsidRPr="00A86FA4" w:rsidRDefault="00CA1CE4" w:rsidP="002A04BF">
            <w:pPr>
              <w:spacing w:line="276" w:lineRule="auto"/>
              <w:jc w:val="center"/>
              <w:rPr>
                <w:rFonts w:cs="Times New Roman"/>
                <w:sz w:val="20"/>
                <w:szCs w:val="20"/>
              </w:rPr>
            </w:pPr>
            <w:r w:rsidRPr="00A86FA4">
              <w:rPr>
                <w:rFonts w:cs="Times New Roman"/>
                <w:sz w:val="20"/>
                <w:szCs w:val="20"/>
              </w:rPr>
              <w:t>Nije primjenjivo</w:t>
            </w:r>
          </w:p>
        </w:tc>
        <w:tc>
          <w:tcPr>
            <w:tcW w:w="2126" w:type="dxa"/>
            <w:vAlign w:val="center"/>
          </w:tcPr>
          <w:p w14:paraId="0E096034" w14:textId="50444104" w:rsidR="00CA1CE4" w:rsidRPr="00A86FA4" w:rsidRDefault="00CA1CE4" w:rsidP="002A04BF">
            <w:pPr>
              <w:spacing w:line="276" w:lineRule="auto"/>
              <w:jc w:val="center"/>
              <w:rPr>
                <w:rFonts w:cs="Times New Roman"/>
                <w:sz w:val="20"/>
                <w:szCs w:val="20"/>
              </w:rPr>
            </w:pPr>
            <w:r w:rsidRPr="00A86FA4">
              <w:rPr>
                <w:rFonts w:cs="Times New Roman"/>
                <w:sz w:val="20"/>
                <w:szCs w:val="20"/>
              </w:rPr>
              <w:t>Nije primjenjivo</w:t>
            </w:r>
          </w:p>
        </w:tc>
        <w:tc>
          <w:tcPr>
            <w:tcW w:w="1701" w:type="dxa"/>
            <w:vAlign w:val="center"/>
          </w:tcPr>
          <w:p w14:paraId="18BC59CC" w14:textId="5EF42F59" w:rsidR="00CA1CE4" w:rsidRPr="00A86FA4" w:rsidRDefault="00CA1CE4" w:rsidP="002A04BF">
            <w:pPr>
              <w:spacing w:line="276" w:lineRule="auto"/>
              <w:jc w:val="center"/>
              <w:rPr>
                <w:rFonts w:cs="Times New Roman"/>
                <w:sz w:val="20"/>
                <w:szCs w:val="20"/>
              </w:rPr>
            </w:pPr>
            <w:r w:rsidRPr="00A86FA4">
              <w:rPr>
                <w:rFonts w:cs="Times New Roman"/>
                <w:sz w:val="20"/>
                <w:szCs w:val="20"/>
              </w:rPr>
              <w:t>Nije primjen</w:t>
            </w:r>
            <w:r w:rsidR="00F25346" w:rsidRPr="00A86FA4">
              <w:rPr>
                <w:rFonts w:cs="Times New Roman"/>
                <w:sz w:val="20"/>
                <w:szCs w:val="20"/>
              </w:rPr>
              <w:t>j</w:t>
            </w:r>
            <w:r w:rsidRPr="00A86FA4">
              <w:rPr>
                <w:rFonts w:cs="Times New Roman"/>
                <w:sz w:val="20"/>
                <w:szCs w:val="20"/>
              </w:rPr>
              <w:t>ivo</w:t>
            </w:r>
          </w:p>
        </w:tc>
      </w:tr>
      <w:tr w:rsidR="00CE622A" w:rsidRPr="00F7623F" w14:paraId="73D83283" w14:textId="77777777" w:rsidTr="00B66CD2">
        <w:tc>
          <w:tcPr>
            <w:tcW w:w="3256" w:type="dxa"/>
            <w:shd w:val="clear" w:color="auto" w:fill="F2F2F2" w:themeFill="background1" w:themeFillShade="F2"/>
            <w:vAlign w:val="center"/>
          </w:tcPr>
          <w:p w14:paraId="4AC0CF59" w14:textId="35804E97" w:rsidR="003A2F95" w:rsidRPr="00A86FA4" w:rsidRDefault="003A2F95" w:rsidP="0061594B">
            <w:pPr>
              <w:spacing w:line="276" w:lineRule="auto"/>
              <w:rPr>
                <w:rFonts w:cs="Times New Roman"/>
                <w:sz w:val="20"/>
                <w:szCs w:val="20"/>
              </w:rPr>
            </w:pPr>
            <w:r w:rsidRPr="00A86FA4">
              <w:rPr>
                <w:rFonts w:cs="Times New Roman"/>
                <w:sz w:val="20"/>
                <w:szCs w:val="20"/>
              </w:rPr>
              <w:t>Ostvareni ishodi za pokazatelje provedbe u 202</w:t>
            </w:r>
            <w:r w:rsidR="00C55F4F" w:rsidRPr="00A86FA4">
              <w:rPr>
                <w:rFonts w:cs="Times New Roman"/>
                <w:sz w:val="20"/>
                <w:szCs w:val="20"/>
              </w:rPr>
              <w:t>4</w:t>
            </w:r>
            <w:r w:rsidRPr="00A86FA4">
              <w:rPr>
                <w:rFonts w:cs="Times New Roman"/>
                <w:sz w:val="20"/>
                <w:szCs w:val="20"/>
              </w:rPr>
              <w:t>.</w:t>
            </w:r>
          </w:p>
        </w:tc>
        <w:tc>
          <w:tcPr>
            <w:tcW w:w="2268" w:type="dxa"/>
            <w:vAlign w:val="center"/>
          </w:tcPr>
          <w:p w14:paraId="61DF6711" w14:textId="0BE0811A" w:rsidR="003A2F95" w:rsidRPr="00A86FA4" w:rsidRDefault="003A2F95" w:rsidP="002A04BF">
            <w:pPr>
              <w:spacing w:line="276" w:lineRule="auto"/>
              <w:jc w:val="center"/>
              <w:rPr>
                <w:rFonts w:cs="Times New Roman"/>
                <w:sz w:val="20"/>
                <w:szCs w:val="20"/>
              </w:rPr>
            </w:pPr>
            <w:r w:rsidRPr="00A86FA4">
              <w:rPr>
                <w:rFonts w:cs="Times New Roman"/>
                <w:sz w:val="20"/>
                <w:szCs w:val="20"/>
              </w:rPr>
              <w:t>Nije primjenjivo</w:t>
            </w:r>
          </w:p>
        </w:tc>
        <w:tc>
          <w:tcPr>
            <w:tcW w:w="2126" w:type="dxa"/>
            <w:vAlign w:val="center"/>
          </w:tcPr>
          <w:p w14:paraId="5A9268BC" w14:textId="3EC57BB1" w:rsidR="003A2F95" w:rsidRPr="00A86FA4" w:rsidRDefault="003A2F95" w:rsidP="002A04BF">
            <w:pPr>
              <w:spacing w:line="276" w:lineRule="auto"/>
              <w:jc w:val="center"/>
              <w:rPr>
                <w:rFonts w:cs="Times New Roman"/>
                <w:sz w:val="20"/>
                <w:szCs w:val="20"/>
              </w:rPr>
            </w:pPr>
            <w:r w:rsidRPr="00A86FA4">
              <w:rPr>
                <w:rFonts w:cs="Times New Roman"/>
                <w:sz w:val="20"/>
                <w:szCs w:val="20"/>
              </w:rPr>
              <w:t>Nije primjenjivo</w:t>
            </w:r>
          </w:p>
        </w:tc>
        <w:tc>
          <w:tcPr>
            <w:tcW w:w="1701" w:type="dxa"/>
            <w:vAlign w:val="center"/>
          </w:tcPr>
          <w:p w14:paraId="3DC8D601" w14:textId="39270673" w:rsidR="003A2F95" w:rsidRPr="00A86FA4" w:rsidRDefault="003A2F95" w:rsidP="002A04BF">
            <w:pPr>
              <w:spacing w:line="276" w:lineRule="auto"/>
              <w:jc w:val="center"/>
              <w:rPr>
                <w:rFonts w:eastAsia="Calibri" w:cs="Times New Roman"/>
                <w:b/>
                <w:sz w:val="20"/>
                <w:szCs w:val="20"/>
              </w:rPr>
            </w:pPr>
            <w:r w:rsidRPr="00A86FA4">
              <w:rPr>
                <w:rFonts w:cs="Times New Roman"/>
                <w:sz w:val="20"/>
                <w:szCs w:val="20"/>
              </w:rPr>
              <w:t>Nije primjenjivo</w:t>
            </w:r>
          </w:p>
        </w:tc>
      </w:tr>
      <w:tr w:rsidR="00CE622A" w:rsidRPr="00F7623F" w14:paraId="289F904A" w14:textId="77777777" w:rsidTr="00B66CD2">
        <w:tc>
          <w:tcPr>
            <w:tcW w:w="3256" w:type="dxa"/>
            <w:shd w:val="clear" w:color="auto" w:fill="F2F2F2" w:themeFill="background1" w:themeFillShade="F2"/>
            <w:vAlign w:val="center"/>
          </w:tcPr>
          <w:p w14:paraId="4EACABE0" w14:textId="77777777" w:rsidR="003A2F95" w:rsidRPr="00A86FA4" w:rsidRDefault="003A2F95" w:rsidP="002A04BF">
            <w:pPr>
              <w:spacing w:line="276" w:lineRule="auto"/>
              <w:rPr>
                <w:rFonts w:cs="Times New Roman"/>
                <w:b/>
                <w:sz w:val="20"/>
                <w:szCs w:val="20"/>
              </w:rPr>
            </w:pPr>
            <w:r w:rsidRPr="00A86FA4">
              <w:rPr>
                <w:rFonts w:cs="Times New Roman"/>
                <w:b/>
                <w:sz w:val="20"/>
                <w:szCs w:val="20"/>
              </w:rPr>
              <w:t xml:space="preserve">IZVORI FINANCIRANJA </w:t>
            </w:r>
          </w:p>
        </w:tc>
        <w:tc>
          <w:tcPr>
            <w:tcW w:w="2268" w:type="dxa"/>
            <w:vAlign w:val="center"/>
          </w:tcPr>
          <w:p w14:paraId="514A7F93" w14:textId="77777777" w:rsidR="003A2F95" w:rsidRPr="00A86FA4" w:rsidRDefault="003A2F95" w:rsidP="002A04BF">
            <w:pPr>
              <w:spacing w:line="276" w:lineRule="auto"/>
              <w:jc w:val="center"/>
              <w:rPr>
                <w:rFonts w:cs="Times New Roman"/>
                <w:b/>
                <w:sz w:val="20"/>
                <w:szCs w:val="20"/>
              </w:rPr>
            </w:pPr>
            <w:r w:rsidRPr="00A86FA4">
              <w:rPr>
                <w:rFonts w:cs="Times New Roman"/>
                <w:b/>
                <w:sz w:val="20"/>
                <w:szCs w:val="20"/>
              </w:rPr>
              <w:t>Državni proračun (EUR)</w:t>
            </w:r>
          </w:p>
        </w:tc>
        <w:tc>
          <w:tcPr>
            <w:tcW w:w="2126" w:type="dxa"/>
            <w:vAlign w:val="center"/>
          </w:tcPr>
          <w:p w14:paraId="320D0405" w14:textId="77777777" w:rsidR="003A2F95" w:rsidRPr="00A86FA4" w:rsidRDefault="003A2F95" w:rsidP="002A04BF">
            <w:pPr>
              <w:spacing w:line="276" w:lineRule="auto"/>
              <w:jc w:val="center"/>
              <w:rPr>
                <w:rFonts w:cs="Times New Roman"/>
                <w:b/>
                <w:sz w:val="20"/>
                <w:szCs w:val="20"/>
              </w:rPr>
            </w:pPr>
            <w:r w:rsidRPr="00A86FA4">
              <w:rPr>
                <w:rFonts w:cs="Times New Roman"/>
                <w:b/>
                <w:sz w:val="20"/>
                <w:szCs w:val="20"/>
              </w:rPr>
              <w:t>EU financiranje (EUR)</w:t>
            </w:r>
          </w:p>
        </w:tc>
        <w:tc>
          <w:tcPr>
            <w:tcW w:w="1701" w:type="dxa"/>
            <w:vAlign w:val="center"/>
          </w:tcPr>
          <w:p w14:paraId="385FF096" w14:textId="77777777" w:rsidR="003A2F95" w:rsidRPr="00A86FA4" w:rsidRDefault="003A2F95" w:rsidP="002A04BF">
            <w:pPr>
              <w:spacing w:line="276" w:lineRule="auto"/>
              <w:jc w:val="center"/>
              <w:rPr>
                <w:rFonts w:cs="Times New Roman"/>
                <w:b/>
                <w:sz w:val="20"/>
                <w:szCs w:val="20"/>
              </w:rPr>
            </w:pPr>
            <w:r w:rsidRPr="00A86FA4">
              <w:rPr>
                <w:rFonts w:cs="Times New Roman"/>
                <w:b/>
                <w:sz w:val="20"/>
                <w:szCs w:val="20"/>
              </w:rPr>
              <w:t>Drugi izvori (EUR)</w:t>
            </w:r>
          </w:p>
        </w:tc>
      </w:tr>
      <w:tr w:rsidR="00CE622A" w:rsidRPr="00F7623F" w14:paraId="1E27155F" w14:textId="77777777" w:rsidTr="00B66CD2">
        <w:tc>
          <w:tcPr>
            <w:tcW w:w="3256" w:type="dxa"/>
            <w:shd w:val="clear" w:color="auto" w:fill="F2F2F2" w:themeFill="background1" w:themeFillShade="F2"/>
            <w:vAlign w:val="center"/>
          </w:tcPr>
          <w:p w14:paraId="58F3D034" w14:textId="1653B5CD" w:rsidR="003A2F95" w:rsidRPr="00A86FA4" w:rsidRDefault="003A2F95" w:rsidP="0061594B">
            <w:pPr>
              <w:spacing w:line="276" w:lineRule="auto"/>
              <w:rPr>
                <w:rFonts w:cs="Times New Roman"/>
                <w:sz w:val="20"/>
                <w:szCs w:val="20"/>
              </w:rPr>
            </w:pPr>
            <w:r w:rsidRPr="00A86FA4">
              <w:rPr>
                <w:rFonts w:cs="Times New Roman"/>
                <w:sz w:val="20"/>
                <w:szCs w:val="20"/>
              </w:rPr>
              <w:t>Izvori financiranja u 202</w:t>
            </w:r>
            <w:r w:rsidR="00C55F4F" w:rsidRPr="00A86FA4">
              <w:rPr>
                <w:rFonts w:cs="Times New Roman"/>
                <w:sz w:val="20"/>
                <w:szCs w:val="20"/>
              </w:rPr>
              <w:t>4</w:t>
            </w:r>
            <w:r w:rsidRPr="00A86FA4">
              <w:rPr>
                <w:rFonts w:cs="Times New Roman"/>
                <w:sz w:val="20"/>
                <w:szCs w:val="20"/>
              </w:rPr>
              <w:t>. (proračunska pozicija i predviđeni iznos sredstava)</w:t>
            </w:r>
          </w:p>
        </w:tc>
        <w:tc>
          <w:tcPr>
            <w:tcW w:w="2268" w:type="dxa"/>
            <w:vAlign w:val="center"/>
          </w:tcPr>
          <w:p w14:paraId="2521A1B9" w14:textId="5FFA1F84" w:rsidR="003A2F95" w:rsidRPr="00A86FA4" w:rsidRDefault="003A2F95" w:rsidP="002A04BF">
            <w:pPr>
              <w:spacing w:line="276" w:lineRule="auto"/>
              <w:jc w:val="center"/>
              <w:rPr>
                <w:rFonts w:cs="Times New Roman"/>
                <w:sz w:val="20"/>
                <w:szCs w:val="20"/>
              </w:rPr>
            </w:pPr>
            <w:r w:rsidRPr="00A86FA4">
              <w:rPr>
                <w:rFonts w:cs="Times New Roman"/>
                <w:sz w:val="20"/>
                <w:szCs w:val="20"/>
              </w:rPr>
              <w:t>n/p</w:t>
            </w:r>
          </w:p>
        </w:tc>
        <w:tc>
          <w:tcPr>
            <w:tcW w:w="2126" w:type="dxa"/>
            <w:vAlign w:val="center"/>
          </w:tcPr>
          <w:p w14:paraId="16460E07" w14:textId="361D5692" w:rsidR="003A2F95" w:rsidRPr="00A86FA4" w:rsidRDefault="003A2F95" w:rsidP="002A04BF">
            <w:pPr>
              <w:spacing w:line="276" w:lineRule="auto"/>
              <w:jc w:val="center"/>
              <w:rPr>
                <w:rFonts w:cs="Times New Roman"/>
                <w:sz w:val="20"/>
                <w:szCs w:val="20"/>
              </w:rPr>
            </w:pPr>
            <w:r w:rsidRPr="00A86FA4">
              <w:rPr>
                <w:rFonts w:cs="Times New Roman"/>
                <w:sz w:val="20"/>
                <w:szCs w:val="20"/>
              </w:rPr>
              <w:t>n/p</w:t>
            </w:r>
          </w:p>
        </w:tc>
        <w:tc>
          <w:tcPr>
            <w:tcW w:w="1701" w:type="dxa"/>
            <w:vAlign w:val="center"/>
          </w:tcPr>
          <w:p w14:paraId="1894D187" w14:textId="1EA8CBB7" w:rsidR="003A2F95" w:rsidRPr="00A86FA4" w:rsidRDefault="003A2F95" w:rsidP="002A04BF">
            <w:pPr>
              <w:spacing w:line="276" w:lineRule="auto"/>
              <w:jc w:val="center"/>
              <w:rPr>
                <w:rFonts w:cs="Times New Roman"/>
                <w:sz w:val="20"/>
                <w:szCs w:val="20"/>
              </w:rPr>
            </w:pPr>
            <w:r w:rsidRPr="00A86FA4">
              <w:rPr>
                <w:rFonts w:cs="Times New Roman"/>
                <w:sz w:val="20"/>
                <w:szCs w:val="20"/>
              </w:rPr>
              <w:t>n/p</w:t>
            </w:r>
          </w:p>
        </w:tc>
      </w:tr>
      <w:tr w:rsidR="00CE622A" w:rsidRPr="00F7623F" w14:paraId="7B8A4521" w14:textId="77777777" w:rsidTr="00B66CD2">
        <w:tc>
          <w:tcPr>
            <w:tcW w:w="3256" w:type="dxa"/>
            <w:vMerge w:val="restart"/>
            <w:shd w:val="clear" w:color="auto" w:fill="F2F2F2" w:themeFill="background1" w:themeFillShade="F2"/>
            <w:vAlign w:val="center"/>
          </w:tcPr>
          <w:p w14:paraId="72EC765B" w14:textId="77777777" w:rsidR="003A2F95" w:rsidRPr="00A86FA4" w:rsidRDefault="003A2F95" w:rsidP="002A04BF">
            <w:pPr>
              <w:spacing w:line="276" w:lineRule="auto"/>
              <w:rPr>
                <w:rFonts w:cs="Times New Roman"/>
                <w:b/>
                <w:sz w:val="20"/>
                <w:szCs w:val="20"/>
              </w:rPr>
            </w:pPr>
            <w:r w:rsidRPr="00A86FA4">
              <w:rPr>
                <w:rFonts w:cs="Times New Roman"/>
                <w:b/>
                <w:sz w:val="20"/>
                <w:szCs w:val="20"/>
              </w:rPr>
              <w:t xml:space="preserve">UKUPNO UTROŠENA SREDSTVA PO IZVORU </w:t>
            </w:r>
          </w:p>
        </w:tc>
        <w:tc>
          <w:tcPr>
            <w:tcW w:w="2268" w:type="dxa"/>
            <w:vAlign w:val="center"/>
          </w:tcPr>
          <w:p w14:paraId="74858587" w14:textId="77777777" w:rsidR="003A2F95" w:rsidRPr="00A86FA4" w:rsidRDefault="003A2F95" w:rsidP="002A04BF">
            <w:pPr>
              <w:spacing w:line="276" w:lineRule="auto"/>
              <w:jc w:val="center"/>
              <w:rPr>
                <w:rFonts w:cs="Times New Roman"/>
                <w:b/>
                <w:sz w:val="20"/>
                <w:szCs w:val="20"/>
              </w:rPr>
            </w:pPr>
            <w:r w:rsidRPr="00A86FA4">
              <w:rPr>
                <w:rFonts w:cs="Times New Roman"/>
                <w:b/>
                <w:sz w:val="20"/>
                <w:szCs w:val="20"/>
              </w:rPr>
              <w:t>Državni proračun (EUR)</w:t>
            </w:r>
          </w:p>
        </w:tc>
        <w:tc>
          <w:tcPr>
            <w:tcW w:w="2126" w:type="dxa"/>
            <w:vAlign w:val="center"/>
          </w:tcPr>
          <w:p w14:paraId="416091A4" w14:textId="77777777" w:rsidR="003A2F95" w:rsidRPr="00A86FA4" w:rsidRDefault="003A2F95" w:rsidP="002A04BF">
            <w:pPr>
              <w:spacing w:line="276" w:lineRule="auto"/>
              <w:jc w:val="center"/>
              <w:rPr>
                <w:rFonts w:cs="Times New Roman"/>
                <w:b/>
                <w:sz w:val="20"/>
                <w:szCs w:val="20"/>
              </w:rPr>
            </w:pPr>
            <w:r w:rsidRPr="00A86FA4">
              <w:rPr>
                <w:rFonts w:cs="Times New Roman"/>
                <w:b/>
                <w:sz w:val="20"/>
                <w:szCs w:val="20"/>
              </w:rPr>
              <w:t>EU financiranje (EUR)</w:t>
            </w:r>
          </w:p>
        </w:tc>
        <w:tc>
          <w:tcPr>
            <w:tcW w:w="1701" w:type="dxa"/>
            <w:vAlign w:val="center"/>
          </w:tcPr>
          <w:p w14:paraId="30C01553" w14:textId="77777777" w:rsidR="003A2F95" w:rsidRPr="00A86FA4" w:rsidRDefault="003A2F95" w:rsidP="002A04BF">
            <w:pPr>
              <w:spacing w:line="276" w:lineRule="auto"/>
              <w:jc w:val="center"/>
              <w:rPr>
                <w:rFonts w:cs="Times New Roman"/>
                <w:b/>
                <w:sz w:val="20"/>
                <w:szCs w:val="20"/>
              </w:rPr>
            </w:pPr>
            <w:r w:rsidRPr="00A86FA4">
              <w:rPr>
                <w:rFonts w:cs="Times New Roman"/>
                <w:b/>
                <w:sz w:val="20"/>
                <w:szCs w:val="20"/>
              </w:rPr>
              <w:t>Drugi izvori (EUR)</w:t>
            </w:r>
          </w:p>
        </w:tc>
      </w:tr>
      <w:tr w:rsidR="00CE622A" w:rsidRPr="00F7623F" w14:paraId="16BCB032" w14:textId="77777777" w:rsidTr="00B66CD2">
        <w:tc>
          <w:tcPr>
            <w:tcW w:w="3256" w:type="dxa"/>
            <w:vMerge/>
            <w:shd w:val="clear" w:color="auto" w:fill="F2F2F2" w:themeFill="background1" w:themeFillShade="F2"/>
            <w:vAlign w:val="center"/>
          </w:tcPr>
          <w:p w14:paraId="724B2951" w14:textId="77777777" w:rsidR="003A2F95" w:rsidRPr="00A86FA4" w:rsidRDefault="003A2F95" w:rsidP="002A04BF">
            <w:pPr>
              <w:spacing w:line="276" w:lineRule="auto"/>
              <w:rPr>
                <w:rFonts w:cs="Times New Roman"/>
                <w:b/>
                <w:sz w:val="20"/>
                <w:szCs w:val="20"/>
              </w:rPr>
            </w:pPr>
          </w:p>
        </w:tc>
        <w:tc>
          <w:tcPr>
            <w:tcW w:w="2268" w:type="dxa"/>
            <w:vAlign w:val="center"/>
          </w:tcPr>
          <w:p w14:paraId="3E36AD99" w14:textId="77777777" w:rsidR="00EB0E25" w:rsidRDefault="00EB0E25" w:rsidP="002A04BF">
            <w:pPr>
              <w:spacing w:line="276" w:lineRule="auto"/>
              <w:jc w:val="center"/>
              <w:rPr>
                <w:rFonts w:eastAsia="Calibri" w:cs="Times New Roman"/>
                <w:sz w:val="20"/>
                <w:szCs w:val="20"/>
              </w:rPr>
            </w:pPr>
            <w:r>
              <w:rPr>
                <w:rFonts w:eastAsia="Calibri" w:cs="Times New Roman"/>
                <w:sz w:val="20"/>
                <w:szCs w:val="20"/>
              </w:rPr>
              <w:t>A532004 – Administracija i upravljanje</w:t>
            </w:r>
          </w:p>
          <w:p w14:paraId="7FF1B7F5" w14:textId="666EA82D" w:rsidR="003A2F95" w:rsidRPr="00A86FA4" w:rsidRDefault="003A2F95" w:rsidP="002A04BF">
            <w:pPr>
              <w:spacing w:line="276" w:lineRule="auto"/>
              <w:jc w:val="center"/>
              <w:rPr>
                <w:rFonts w:cs="Times New Roman"/>
                <w:sz w:val="20"/>
                <w:szCs w:val="20"/>
              </w:rPr>
            </w:pPr>
            <w:r w:rsidRPr="00A86FA4">
              <w:rPr>
                <w:rFonts w:eastAsia="Calibri" w:cs="Times New Roman"/>
                <w:sz w:val="20"/>
                <w:szCs w:val="20"/>
              </w:rPr>
              <w:t>0,00</w:t>
            </w:r>
          </w:p>
        </w:tc>
        <w:tc>
          <w:tcPr>
            <w:tcW w:w="2126" w:type="dxa"/>
            <w:vAlign w:val="center"/>
          </w:tcPr>
          <w:p w14:paraId="772B386C" w14:textId="77777777" w:rsidR="003A2F95" w:rsidRPr="00A86FA4" w:rsidRDefault="003A2F95" w:rsidP="002A04BF">
            <w:pPr>
              <w:spacing w:line="276" w:lineRule="auto"/>
              <w:jc w:val="center"/>
              <w:rPr>
                <w:rFonts w:cs="Times New Roman"/>
                <w:sz w:val="20"/>
                <w:szCs w:val="20"/>
              </w:rPr>
            </w:pPr>
            <w:r w:rsidRPr="00A86FA4">
              <w:rPr>
                <w:rFonts w:cs="Times New Roman"/>
                <w:sz w:val="20"/>
                <w:szCs w:val="20"/>
              </w:rPr>
              <w:t>0,00</w:t>
            </w:r>
          </w:p>
        </w:tc>
        <w:tc>
          <w:tcPr>
            <w:tcW w:w="1701" w:type="dxa"/>
            <w:vAlign w:val="center"/>
          </w:tcPr>
          <w:p w14:paraId="50208257" w14:textId="77777777" w:rsidR="003A2F95" w:rsidRPr="00A86FA4" w:rsidRDefault="003A2F95" w:rsidP="002A04BF">
            <w:pPr>
              <w:spacing w:line="276" w:lineRule="auto"/>
              <w:jc w:val="center"/>
              <w:rPr>
                <w:rFonts w:cs="Times New Roman"/>
                <w:sz w:val="20"/>
                <w:szCs w:val="20"/>
              </w:rPr>
            </w:pPr>
            <w:r w:rsidRPr="00A86FA4">
              <w:rPr>
                <w:rFonts w:cs="Times New Roman"/>
                <w:sz w:val="20"/>
                <w:szCs w:val="20"/>
              </w:rPr>
              <w:t xml:space="preserve">0,00 </w:t>
            </w:r>
          </w:p>
        </w:tc>
      </w:tr>
      <w:tr w:rsidR="00CE622A" w:rsidRPr="00F7623F" w14:paraId="55EDE35B" w14:textId="77777777" w:rsidTr="00B022C1">
        <w:trPr>
          <w:cantSplit/>
        </w:trPr>
        <w:tc>
          <w:tcPr>
            <w:tcW w:w="3256" w:type="dxa"/>
            <w:shd w:val="clear" w:color="auto" w:fill="F2F2F2" w:themeFill="background1" w:themeFillShade="F2"/>
            <w:vAlign w:val="center"/>
          </w:tcPr>
          <w:p w14:paraId="353B531E" w14:textId="269FEA5A" w:rsidR="003A2F95" w:rsidRPr="00A86FA4" w:rsidRDefault="003A2F95" w:rsidP="002A04BF">
            <w:pPr>
              <w:spacing w:line="276" w:lineRule="auto"/>
              <w:rPr>
                <w:rFonts w:cs="Times New Roman"/>
                <w:sz w:val="20"/>
                <w:szCs w:val="20"/>
              </w:rPr>
            </w:pPr>
            <w:r w:rsidRPr="00A86FA4">
              <w:rPr>
                <w:rFonts w:cs="Times New Roman"/>
                <w:sz w:val="20"/>
                <w:szCs w:val="20"/>
              </w:rPr>
              <w:t xml:space="preserve">ROK PROVEDBE AKTIVNOSTI </w:t>
            </w:r>
          </w:p>
        </w:tc>
        <w:tc>
          <w:tcPr>
            <w:tcW w:w="6095" w:type="dxa"/>
            <w:gridSpan w:val="3"/>
            <w:vAlign w:val="center"/>
          </w:tcPr>
          <w:p w14:paraId="3FF07CE4" w14:textId="6C3908E0" w:rsidR="003A2F95" w:rsidRPr="00A86FA4" w:rsidRDefault="003A2F95" w:rsidP="002A04BF">
            <w:pPr>
              <w:spacing w:line="276" w:lineRule="auto"/>
              <w:rPr>
                <w:rFonts w:cs="Times New Roman"/>
                <w:sz w:val="20"/>
                <w:szCs w:val="20"/>
              </w:rPr>
            </w:pPr>
            <w:r w:rsidRPr="00A86FA4">
              <w:rPr>
                <w:rFonts w:cs="Times New Roman"/>
                <w:sz w:val="20"/>
                <w:szCs w:val="20"/>
              </w:rPr>
              <w:t xml:space="preserve">I. kvartal 2025. </w:t>
            </w:r>
          </w:p>
        </w:tc>
      </w:tr>
    </w:tbl>
    <w:p w14:paraId="530354E2" w14:textId="77777777" w:rsidR="007D7567" w:rsidRPr="00FC64BF" w:rsidRDefault="007D7567" w:rsidP="004A3B23">
      <w:pPr>
        <w:spacing w:after="0" w:line="276" w:lineRule="auto"/>
        <w:jc w:val="both"/>
        <w:rPr>
          <w:rFonts w:cs="Times New Roman"/>
          <w:i/>
          <w:iCs/>
        </w:rPr>
      </w:pPr>
    </w:p>
    <w:p w14:paraId="2A36014D" w14:textId="7488E580" w:rsidR="003B4009" w:rsidRPr="00FC64BF" w:rsidRDefault="003B4009" w:rsidP="00D36147">
      <w:pPr>
        <w:spacing w:after="0" w:line="276" w:lineRule="auto"/>
        <w:jc w:val="both"/>
        <w:rPr>
          <w:rFonts w:cs="Times New Roman"/>
          <w:i/>
          <w:iCs/>
        </w:rPr>
      </w:pPr>
      <w:r w:rsidRPr="00FC64BF">
        <w:rPr>
          <w:rFonts w:cs="Times New Roman"/>
          <w:i/>
          <w:iCs/>
        </w:rPr>
        <w:lastRenderedPageBreak/>
        <w:t>Aktivnost 4.3.15. Financijska pomoć za školarine</w:t>
      </w:r>
    </w:p>
    <w:p w14:paraId="74DCB1E6" w14:textId="021FED54" w:rsidR="003B4009" w:rsidRPr="00FC64BF" w:rsidRDefault="003B4009" w:rsidP="00D36147">
      <w:pPr>
        <w:spacing w:after="0" w:line="276" w:lineRule="auto"/>
        <w:jc w:val="both"/>
        <w:rPr>
          <w:rFonts w:cs="Times New Roman"/>
          <w:i/>
          <w:iCs/>
        </w:rPr>
      </w:pPr>
      <w:r w:rsidRPr="00FC64BF">
        <w:rPr>
          <w:rFonts w:cs="Times New Roman"/>
          <w:i/>
          <w:iCs/>
        </w:rPr>
        <w:t xml:space="preserve">Nositelj provedbe: Ured </w:t>
      </w:r>
      <w:r w:rsidR="0061594B">
        <w:rPr>
          <w:rFonts w:cs="Times New Roman"/>
          <w:i/>
          <w:iCs/>
        </w:rPr>
        <w:t>za ljudska prava  i prava nacionalnih manjina</w:t>
      </w:r>
    </w:p>
    <w:p w14:paraId="7002F3AA" w14:textId="77777777" w:rsidR="00524406" w:rsidRPr="00FC64BF" w:rsidRDefault="00524406" w:rsidP="00D36147">
      <w:pPr>
        <w:spacing w:after="0" w:line="276" w:lineRule="auto"/>
        <w:jc w:val="both"/>
        <w:rPr>
          <w:rFonts w:cs="Times New Roman"/>
          <w:i/>
          <w:iCs/>
        </w:rPr>
      </w:pPr>
    </w:p>
    <w:p w14:paraId="05F8AD5D" w14:textId="5FCCCD93" w:rsidR="00694711" w:rsidRPr="008C24C7" w:rsidRDefault="00686F07" w:rsidP="00D36147">
      <w:pPr>
        <w:spacing w:after="0" w:line="276" w:lineRule="auto"/>
        <w:jc w:val="both"/>
        <w:rPr>
          <w:rFonts w:eastAsia="Times New Roman" w:cs="Times New Roman"/>
          <w:szCs w:val="24"/>
          <w:lang w:eastAsia="hr-HR"/>
        </w:rPr>
      </w:pPr>
      <w:r w:rsidRPr="00FC64BF">
        <w:rPr>
          <w:rFonts w:eastAsia="Times New Roman" w:cs="Times New Roman"/>
          <w:szCs w:val="24"/>
          <w:lang w:eastAsia="hr-HR"/>
        </w:rPr>
        <w:t>Povjerenstvo u okviru svojih zadaća tijekom 202</w:t>
      </w:r>
      <w:r w:rsidR="00591FAD" w:rsidRPr="00FC64BF">
        <w:rPr>
          <w:rFonts w:eastAsia="Times New Roman" w:cs="Times New Roman"/>
          <w:szCs w:val="24"/>
          <w:lang w:eastAsia="hr-HR"/>
        </w:rPr>
        <w:t>4</w:t>
      </w:r>
      <w:r w:rsidRPr="00FC64BF">
        <w:rPr>
          <w:rFonts w:eastAsia="Times New Roman" w:cs="Times New Roman"/>
          <w:szCs w:val="24"/>
          <w:lang w:eastAsia="hr-HR"/>
        </w:rPr>
        <w:t>.</w:t>
      </w:r>
      <w:r w:rsidR="001F2E37">
        <w:rPr>
          <w:rFonts w:eastAsia="Times New Roman" w:cs="Times New Roman"/>
          <w:szCs w:val="24"/>
          <w:lang w:eastAsia="hr-HR"/>
        </w:rPr>
        <w:t xml:space="preserve"> godine</w:t>
      </w:r>
      <w:r w:rsidRPr="00FC64BF">
        <w:rPr>
          <w:rFonts w:eastAsia="Times New Roman" w:cs="Times New Roman"/>
          <w:szCs w:val="24"/>
          <w:lang w:eastAsia="hr-HR"/>
        </w:rPr>
        <w:t xml:space="preserve"> </w:t>
      </w:r>
      <w:r w:rsidR="00591FAD" w:rsidRPr="001F2E37">
        <w:rPr>
          <w:rFonts w:eastAsia="Times New Roman" w:cs="Times New Roman"/>
          <w:b/>
          <w:szCs w:val="24"/>
          <w:lang w:eastAsia="hr-HR"/>
        </w:rPr>
        <w:t>z</w:t>
      </w:r>
      <w:r w:rsidR="00591FAD" w:rsidRPr="00F7623F">
        <w:rPr>
          <w:b/>
          <w:szCs w:val="24"/>
        </w:rPr>
        <w:t xml:space="preserve">a su/financiranje </w:t>
      </w:r>
      <w:r w:rsidR="00591FAD" w:rsidRPr="006B4734">
        <w:rPr>
          <w:b/>
          <w:szCs w:val="24"/>
        </w:rPr>
        <w:t xml:space="preserve">potreba odgojno-obrazovnih ustanova za obrazovanje odraslih ukupno </w:t>
      </w:r>
      <w:r w:rsidR="00427821">
        <w:rPr>
          <w:b/>
          <w:szCs w:val="24"/>
        </w:rPr>
        <w:t>financiralo</w:t>
      </w:r>
      <w:r w:rsidR="00591FAD" w:rsidRPr="006B4734">
        <w:rPr>
          <w:b/>
          <w:szCs w:val="24"/>
        </w:rPr>
        <w:t>8 zamolbi u ukupnom iznosu od 23.208,76 EUR</w:t>
      </w:r>
      <w:r w:rsidR="00591FAD">
        <w:rPr>
          <w:b/>
          <w:szCs w:val="24"/>
        </w:rPr>
        <w:t xml:space="preserve">. </w:t>
      </w:r>
      <w:r w:rsidR="00591FAD" w:rsidRPr="006B4734">
        <w:rPr>
          <w:szCs w:val="24"/>
        </w:rPr>
        <w:t>Financirane su školarine za 30 osoba, od čega je 15 zamolbi za financiranje obrazovanja odobreno pripadnicama romske nacionalne manjine, u ukupnom iznosu od 11.650,00 EUR</w:t>
      </w:r>
      <w:r w:rsidR="00694711" w:rsidRPr="00CE622A">
        <w:rPr>
          <w:rFonts w:eastAsia="Times New Roman" w:cs="Times New Roman"/>
          <w:color w:val="FF0000"/>
          <w:szCs w:val="24"/>
          <w:lang w:eastAsia="hr-HR"/>
        </w:rPr>
        <w:t xml:space="preserve"> </w:t>
      </w:r>
    </w:p>
    <w:p w14:paraId="07B17A2F" w14:textId="3A83A0B2" w:rsidR="00591FAD" w:rsidRPr="006B4734" w:rsidRDefault="00591FAD" w:rsidP="00591FAD">
      <w:pPr>
        <w:pStyle w:val="ListParagraph"/>
        <w:numPr>
          <w:ilvl w:val="0"/>
          <w:numId w:val="34"/>
        </w:numPr>
        <w:spacing w:after="160" w:line="259" w:lineRule="auto"/>
        <w:jc w:val="both"/>
        <w:rPr>
          <w:iCs/>
        </w:rPr>
      </w:pPr>
      <w:r w:rsidRPr="006B4734">
        <w:t xml:space="preserve">Temeljem članka 3. točka 3. a. Kriterija – su/financiranje projekata i/ili potrebe dječjih vrtića te osnovnih i srednjih škola s </w:t>
      </w:r>
      <w:r w:rsidRPr="00531C2F">
        <w:t xml:space="preserve">ciljem unaprjeđenja integracije djece i učenika pripadnika romske nacionalne manjine, Povjerenstvo </w:t>
      </w:r>
      <w:r w:rsidRPr="00FC3E5A">
        <w:t xml:space="preserve">je </w:t>
      </w:r>
      <w:r w:rsidRPr="00957968">
        <w:t xml:space="preserve">financiralo </w:t>
      </w:r>
      <w:r w:rsidRPr="00531C2F">
        <w:t>zamolbu</w:t>
      </w:r>
      <w:r w:rsidRPr="00FC3E5A">
        <w:t xml:space="preserve"> </w:t>
      </w:r>
      <w:r w:rsidRPr="006B4734">
        <w:rPr>
          <w:iCs/>
        </w:rPr>
        <w:t xml:space="preserve">Privatne umjetničke gimnazije u iznosu 245,00 EUR za naknadu dijela troškova stručnog putovanja. </w:t>
      </w:r>
    </w:p>
    <w:p w14:paraId="3EA90636" w14:textId="300951E8" w:rsidR="00591FAD" w:rsidRPr="006B4734" w:rsidRDefault="00591FAD" w:rsidP="00591FAD">
      <w:pPr>
        <w:pStyle w:val="ListParagraph"/>
        <w:numPr>
          <w:ilvl w:val="0"/>
          <w:numId w:val="34"/>
        </w:numPr>
        <w:spacing w:after="160" w:line="259" w:lineRule="auto"/>
        <w:jc w:val="both"/>
      </w:pPr>
      <w:r w:rsidRPr="006B4734">
        <w:t>Temeljem članka 3. točka 3. Kriterija - su/financiranje potreba odgojno-obrazovnih ustanova te ustanova za obrazovanje odraslih -</w:t>
      </w:r>
      <w:r w:rsidR="002F7831">
        <w:t xml:space="preserve"> </w:t>
      </w:r>
      <w:r w:rsidRPr="006B4734">
        <w:t>d. upisnine i školarine polaznika uključenih u programe obrazovanja i osposobljavanja odraslih u svrhu poboljšanja zapošljivosti i/ili nastavka visokog obrazovanja, Povjerenstvo je jednoglasno usvojilo šest zamolbi: zamolbu Pučkog otvorenog učilišta Auto moto centra Nova Gradiška u iznosu od 796,34 EUR; zamolbu Pučkog otvorenog učilišta Zagreb u iznosu 860,00 EUR; zamolbu Pučkog otvorenog učilišta Brod u iznosu 1.950,00 EUR; zamolbu Pučkog otvorenog učilišta Novak u iznosu 8.921,42 EUR; zamolbu Učilišta za cestovni promet u iznosu 896,00 EUR</w:t>
      </w:r>
      <w:r>
        <w:t xml:space="preserve"> te</w:t>
      </w:r>
      <w:r w:rsidRPr="006B4734">
        <w:t xml:space="preserve"> zamolbu Pučkog otvorenog učilišta Novak u iznosu 7.040,00 EUR.</w:t>
      </w:r>
    </w:p>
    <w:p w14:paraId="756014BD" w14:textId="7097F444" w:rsidR="00591FAD" w:rsidRPr="006B4734" w:rsidRDefault="00591FAD" w:rsidP="00591FAD">
      <w:pPr>
        <w:pStyle w:val="ListParagraph"/>
        <w:numPr>
          <w:ilvl w:val="0"/>
          <w:numId w:val="34"/>
        </w:numPr>
        <w:jc w:val="both"/>
      </w:pPr>
      <w:r w:rsidRPr="006B4734">
        <w:rPr>
          <w:bCs/>
          <w:iCs/>
        </w:rPr>
        <w:t>Temeljem članka 3. točka 3. e Kriterija - su/financiranje potreba odgojno-obrazovnih ustanova te ustanova za obrazovanje odraslih - upisnine i školarine na ustanovama visokog obrazovanja u Republici Hrvatskoj do iznosa 2.500,00 EUR, Povjerenstvo je jednoglasno usvojilo zamolbu Zdravstvenog veleučilišta Zagreb u iznosu 2.500,00 EUR.</w:t>
      </w:r>
    </w:p>
    <w:p w14:paraId="02088FAC" w14:textId="77777777" w:rsidR="00591FAD" w:rsidRPr="00F7623F" w:rsidRDefault="00591FAD" w:rsidP="00591FAD">
      <w:pPr>
        <w:pStyle w:val="ListParagraph"/>
        <w:jc w:val="both"/>
      </w:pPr>
    </w:p>
    <w:p w14:paraId="7C613959" w14:textId="77777777" w:rsidR="00D36345" w:rsidRPr="00FC64BF" w:rsidRDefault="00D36345" w:rsidP="004A3B23">
      <w:pPr>
        <w:pStyle w:val="ListParagraph"/>
        <w:spacing w:line="276" w:lineRule="auto"/>
        <w:ind w:left="360"/>
        <w:jc w:val="both"/>
      </w:pPr>
    </w:p>
    <w:tbl>
      <w:tblPr>
        <w:tblStyle w:val="TableGrid"/>
        <w:tblW w:w="0" w:type="auto"/>
        <w:tblLook w:val="04A0" w:firstRow="1" w:lastRow="0" w:firstColumn="1" w:lastColumn="0" w:noHBand="0" w:noVBand="1"/>
      </w:tblPr>
      <w:tblGrid>
        <w:gridCol w:w="3167"/>
        <w:gridCol w:w="2110"/>
        <w:gridCol w:w="1969"/>
        <w:gridCol w:w="1816"/>
      </w:tblGrid>
      <w:tr w:rsidR="00CE622A" w:rsidRPr="00F7623F" w14:paraId="0D4059BA" w14:textId="77777777" w:rsidTr="002A04BF">
        <w:trPr>
          <w:trHeight w:val="606"/>
        </w:trPr>
        <w:tc>
          <w:tcPr>
            <w:tcW w:w="3167" w:type="dxa"/>
            <w:shd w:val="clear" w:color="auto" w:fill="F2F2F2" w:themeFill="background1" w:themeFillShade="F2"/>
            <w:vAlign w:val="center"/>
          </w:tcPr>
          <w:p w14:paraId="5ED1681C" w14:textId="1086B38B" w:rsidR="00C75B7D" w:rsidRPr="003379F1" w:rsidRDefault="007E61F3" w:rsidP="002A04BF">
            <w:pPr>
              <w:rPr>
                <w:rFonts w:cs="Times New Roman"/>
                <w:b/>
                <w:sz w:val="20"/>
                <w:szCs w:val="20"/>
              </w:rPr>
            </w:pPr>
            <w:r w:rsidRPr="003379F1">
              <w:rPr>
                <w:rFonts w:cs="Times New Roman"/>
                <w:b/>
                <w:sz w:val="20"/>
                <w:szCs w:val="20"/>
              </w:rPr>
              <w:t>Pokazatelji provedbe i pokazatelji uspješnosti provedbe</w:t>
            </w:r>
          </w:p>
        </w:tc>
        <w:tc>
          <w:tcPr>
            <w:tcW w:w="2110" w:type="dxa"/>
            <w:shd w:val="clear" w:color="auto" w:fill="F2F2F2" w:themeFill="background1" w:themeFillShade="F2"/>
            <w:vAlign w:val="center"/>
          </w:tcPr>
          <w:p w14:paraId="2293E09A" w14:textId="2953DDDE" w:rsidR="00C75B7D" w:rsidRPr="003379F1" w:rsidRDefault="00663BFA" w:rsidP="002A04BF">
            <w:pPr>
              <w:jc w:val="center"/>
              <w:rPr>
                <w:rFonts w:eastAsia="Calibri" w:cs="Times New Roman"/>
                <w:b/>
                <w:strike/>
                <w:sz w:val="20"/>
                <w:szCs w:val="20"/>
              </w:rPr>
            </w:pPr>
            <w:r w:rsidRPr="003379F1">
              <w:rPr>
                <w:rFonts w:eastAsia="Calibri" w:cs="Times New Roman"/>
                <w:b/>
                <w:sz w:val="20"/>
                <w:szCs w:val="20"/>
              </w:rPr>
              <w:t>Broj odobrenih zahtjeva</w:t>
            </w:r>
          </w:p>
        </w:tc>
        <w:tc>
          <w:tcPr>
            <w:tcW w:w="1969" w:type="dxa"/>
            <w:shd w:val="clear" w:color="auto" w:fill="F2F2F2" w:themeFill="background1" w:themeFillShade="F2"/>
            <w:vAlign w:val="center"/>
          </w:tcPr>
          <w:p w14:paraId="3BAD1BB3" w14:textId="77777777" w:rsidR="00663BFA" w:rsidRPr="003379F1" w:rsidRDefault="00663BFA" w:rsidP="002A04BF">
            <w:pPr>
              <w:jc w:val="center"/>
              <w:rPr>
                <w:rFonts w:eastAsia="Calibri" w:cs="Times New Roman"/>
                <w:b/>
                <w:sz w:val="20"/>
                <w:szCs w:val="20"/>
              </w:rPr>
            </w:pPr>
            <w:r w:rsidRPr="003379F1">
              <w:rPr>
                <w:rFonts w:eastAsia="Calibri" w:cs="Times New Roman"/>
                <w:b/>
                <w:sz w:val="20"/>
                <w:szCs w:val="20"/>
              </w:rPr>
              <w:t>Iznos odobrenih</w:t>
            </w:r>
          </w:p>
          <w:p w14:paraId="1E1C330A" w14:textId="0B2730F3" w:rsidR="00C75B7D" w:rsidRPr="003379F1" w:rsidRDefault="00663BFA" w:rsidP="002A04BF">
            <w:pPr>
              <w:jc w:val="center"/>
              <w:rPr>
                <w:rFonts w:cs="Times New Roman"/>
                <w:b/>
                <w:sz w:val="20"/>
                <w:szCs w:val="20"/>
              </w:rPr>
            </w:pPr>
            <w:r w:rsidRPr="003379F1">
              <w:rPr>
                <w:rFonts w:eastAsia="Calibri" w:cs="Times New Roman"/>
                <w:b/>
                <w:sz w:val="20"/>
                <w:szCs w:val="20"/>
              </w:rPr>
              <w:t xml:space="preserve">sredstava </w:t>
            </w:r>
          </w:p>
        </w:tc>
        <w:tc>
          <w:tcPr>
            <w:tcW w:w="1816" w:type="dxa"/>
            <w:shd w:val="clear" w:color="auto" w:fill="F2F2F2" w:themeFill="background1" w:themeFillShade="F2"/>
            <w:vAlign w:val="center"/>
          </w:tcPr>
          <w:p w14:paraId="3ADEB7DD" w14:textId="453FDF4F" w:rsidR="00C75B7D" w:rsidRPr="003379F1" w:rsidRDefault="00C75B7D" w:rsidP="002A04BF">
            <w:pPr>
              <w:jc w:val="center"/>
              <w:rPr>
                <w:rFonts w:cs="Times New Roman"/>
                <w:b/>
                <w:sz w:val="20"/>
                <w:szCs w:val="20"/>
              </w:rPr>
            </w:pPr>
          </w:p>
        </w:tc>
      </w:tr>
      <w:tr w:rsidR="00CE622A" w:rsidRPr="00F7623F" w14:paraId="53744447" w14:textId="77777777" w:rsidTr="002A04BF">
        <w:tc>
          <w:tcPr>
            <w:tcW w:w="3167" w:type="dxa"/>
            <w:shd w:val="clear" w:color="auto" w:fill="F2F2F2" w:themeFill="background1" w:themeFillShade="F2"/>
            <w:vAlign w:val="center"/>
          </w:tcPr>
          <w:p w14:paraId="78BEF023" w14:textId="4C38CC2E" w:rsidR="00C75B7D" w:rsidRPr="003379F1" w:rsidRDefault="00C75B7D" w:rsidP="0061594B">
            <w:pPr>
              <w:rPr>
                <w:rFonts w:cs="Times New Roman"/>
                <w:sz w:val="20"/>
                <w:szCs w:val="20"/>
              </w:rPr>
            </w:pPr>
            <w:r w:rsidRPr="003379F1">
              <w:rPr>
                <w:rFonts w:cs="Times New Roman"/>
                <w:sz w:val="20"/>
                <w:szCs w:val="20"/>
              </w:rPr>
              <w:t>Planirani ishodi za pokazatelje provedbe u 202</w:t>
            </w:r>
            <w:r w:rsidR="002B21AB" w:rsidRPr="003379F1">
              <w:rPr>
                <w:rFonts w:cs="Times New Roman"/>
                <w:sz w:val="20"/>
                <w:szCs w:val="20"/>
              </w:rPr>
              <w:t>4</w:t>
            </w:r>
            <w:r w:rsidRPr="003379F1">
              <w:rPr>
                <w:rFonts w:cs="Times New Roman"/>
                <w:sz w:val="20"/>
                <w:szCs w:val="20"/>
              </w:rPr>
              <w:t xml:space="preserve">. </w:t>
            </w:r>
          </w:p>
        </w:tc>
        <w:tc>
          <w:tcPr>
            <w:tcW w:w="2110" w:type="dxa"/>
            <w:vAlign w:val="center"/>
          </w:tcPr>
          <w:p w14:paraId="500F5810" w14:textId="5DB68B4D" w:rsidR="00C75B7D" w:rsidRPr="003379F1" w:rsidRDefault="00663BFA" w:rsidP="002A04BF">
            <w:pPr>
              <w:jc w:val="center"/>
              <w:rPr>
                <w:rFonts w:cs="Times New Roman"/>
                <w:sz w:val="20"/>
                <w:szCs w:val="20"/>
              </w:rPr>
            </w:pPr>
            <w:r w:rsidRPr="003379F1">
              <w:rPr>
                <w:rFonts w:cs="Times New Roman"/>
                <w:sz w:val="20"/>
                <w:szCs w:val="20"/>
              </w:rPr>
              <w:t>30</w:t>
            </w:r>
          </w:p>
        </w:tc>
        <w:tc>
          <w:tcPr>
            <w:tcW w:w="1969" w:type="dxa"/>
            <w:vAlign w:val="center"/>
          </w:tcPr>
          <w:p w14:paraId="77B246A2" w14:textId="58866BC0" w:rsidR="00C75B7D" w:rsidRPr="003379F1" w:rsidRDefault="00C75B7D" w:rsidP="002A04BF">
            <w:pPr>
              <w:jc w:val="center"/>
              <w:rPr>
                <w:rFonts w:cs="Times New Roman"/>
                <w:sz w:val="20"/>
                <w:szCs w:val="20"/>
              </w:rPr>
            </w:pPr>
          </w:p>
        </w:tc>
        <w:tc>
          <w:tcPr>
            <w:tcW w:w="1816" w:type="dxa"/>
            <w:vAlign w:val="center"/>
          </w:tcPr>
          <w:p w14:paraId="0D4CB97A" w14:textId="341C1134" w:rsidR="00C75B7D" w:rsidRPr="003379F1" w:rsidRDefault="00C75B7D" w:rsidP="002A04BF">
            <w:pPr>
              <w:jc w:val="center"/>
              <w:rPr>
                <w:rFonts w:cs="Times New Roman"/>
                <w:sz w:val="20"/>
                <w:szCs w:val="20"/>
              </w:rPr>
            </w:pPr>
          </w:p>
        </w:tc>
      </w:tr>
      <w:tr w:rsidR="00CE622A" w:rsidRPr="00F7623F" w14:paraId="7246E589" w14:textId="77777777" w:rsidTr="002A04BF">
        <w:tc>
          <w:tcPr>
            <w:tcW w:w="3167" w:type="dxa"/>
            <w:shd w:val="clear" w:color="auto" w:fill="F2F2F2" w:themeFill="background1" w:themeFillShade="F2"/>
            <w:vAlign w:val="center"/>
          </w:tcPr>
          <w:p w14:paraId="2E6C3228" w14:textId="39FDE2B8" w:rsidR="00C75B7D" w:rsidRPr="003379F1" w:rsidRDefault="00C75B7D" w:rsidP="0061594B">
            <w:pPr>
              <w:rPr>
                <w:rFonts w:cs="Times New Roman"/>
                <w:sz w:val="20"/>
                <w:szCs w:val="20"/>
              </w:rPr>
            </w:pPr>
            <w:r w:rsidRPr="003379F1">
              <w:rPr>
                <w:rFonts w:cs="Times New Roman"/>
                <w:sz w:val="20"/>
                <w:szCs w:val="20"/>
              </w:rPr>
              <w:t>Ostvareni ishodi za pokazatelje provedbe u 202</w:t>
            </w:r>
            <w:r w:rsidR="00F7623F" w:rsidRPr="003379F1">
              <w:rPr>
                <w:rFonts w:cs="Times New Roman"/>
                <w:sz w:val="20"/>
                <w:szCs w:val="20"/>
              </w:rPr>
              <w:t>4</w:t>
            </w:r>
            <w:r w:rsidRPr="003379F1">
              <w:rPr>
                <w:rFonts w:cs="Times New Roman"/>
                <w:sz w:val="20"/>
                <w:szCs w:val="20"/>
              </w:rPr>
              <w:t xml:space="preserve">. </w:t>
            </w:r>
          </w:p>
        </w:tc>
        <w:tc>
          <w:tcPr>
            <w:tcW w:w="2110" w:type="dxa"/>
            <w:vAlign w:val="center"/>
          </w:tcPr>
          <w:p w14:paraId="07CD049F" w14:textId="69B3DB3F" w:rsidR="00C75B7D" w:rsidRPr="003379F1" w:rsidRDefault="00F7623F">
            <w:pPr>
              <w:jc w:val="center"/>
              <w:rPr>
                <w:rFonts w:cs="Times New Roman"/>
                <w:sz w:val="20"/>
                <w:szCs w:val="20"/>
              </w:rPr>
            </w:pPr>
            <w:r w:rsidRPr="003379F1">
              <w:rPr>
                <w:rFonts w:cs="Times New Roman"/>
                <w:sz w:val="20"/>
                <w:szCs w:val="20"/>
              </w:rPr>
              <w:t>30</w:t>
            </w:r>
          </w:p>
        </w:tc>
        <w:tc>
          <w:tcPr>
            <w:tcW w:w="1969" w:type="dxa"/>
            <w:vAlign w:val="center"/>
          </w:tcPr>
          <w:p w14:paraId="5F37044D" w14:textId="7E4CF6BC" w:rsidR="00C75B7D" w:rsidRPr="003379F1" w:rsidRDefault="00DB5386" w:rsidP="002A04BF">
            <w:pPr>
              <w:jc w:val="center"/>
              <w:rPr>
                <w:rFonts w:cs="Times New Roman"/>
                <w:sz w:val="20"/>
                <w:szCs w:val="20"/>
              </w:rPr>
            </w:pPr>
            <w:r w:rsidRPr="003379F1">
              <w:rPr>
                <w:rFonts w:cs="Times New Roman"/>
                <w:sz w:val="20"/>
                <w:szCs w:val="20"/>
              </w:rPr>
              <w:t>47.722,03</w:t>
            </w:r>
          </w:p>
        </w:tc>
        <w:tc>
          <w:tcPr>
            <w:tcW w:w="1816" w:type="dxa"/>
            <w:vAlign w:val="center"/>
          </w:tcPr>
          <w:p w14:paraId="5CACF52F" w14:textId="2518E870" w:rsidR="00C75B7D" w:rsidRPr="003379F1" w:rsidRDefault="00C75B7D" w:rsidP="002A04BF">
            <w:pPr>
              <w:jc w:val="center"/>
              <w:rPr>
                <w:rFonts w:eastAsia="Calibri" w:cs="Times New Roman"/>
                <w:b/>
                <w:sz w:val="20"/>
                <w:szCs w:val="20"/>
              </w:rPr>
            </w:pPr>
          </w:p>
        </w:tc>
      </w:tr>
      <w:tr w:rsidR="00CE622A" w:rsidRPr="00F7623F" w14:paraId="022FA850" w14:textId="77777777" w:rsidTr="002A04BF">
        <w:tc>
          <w:tcPr>
            <w:tcW w:w="3167" w:type="dxa"/>
            <w:shd w:val="clear" w:color="auto" w:fill="F2F2F2" w:themeFill="background1" w:themeFillShade="F2"/>
            <w:vAlign w:val="center"/>
          </w:tcPr>
          <w:p w14:paraId="24E0B454" w14:textId="77777777" w:rsidR="00C75B7D" w:rsidRPr="003379F1" w:rsidRDefault="00C75B7D" w:rsidP="002A04BF">
            <w:pPr>
              <w:rPr>
                <w:rFonts w:cs="Times New Roman"/>
                <w:b/>
                <w:sz w:val="20"/>
                <w:szCs w:val="20"/>
              </w:rPr>
            </w:pPr>
            <w:r w:rsidRPr="003379F1">
              <w:rPr>
                <w:rFonts w:cs="Times New Roman"/>
                <w:b/>
                <w:sz w:val="20"/>
                <w:szCs w:val="20"/>
              </w:rPr>
              <w:t xml:space="preserve">IZVORI FINANCIRANJA </w:t>
            </w:r>
          </w:p>
        </w:tc>
        <w:tc>
          <w:tcPr>
            <w:tcW w:w="2110" w:type="dxa"/>
            <w:vAlign w:val="center"/>
          </w:tcPr>
          <w:p w14:paraId="5B72C238" w14:textId="77777777" w:rsidR="00C75B7D" w:rsidRPr="003379F1" w:rsidRDefault="00C75B7D" w:rsidP="002A04BF">
            <w:pPr>
              <w:jc w:val="center"/>
              <w:rPr>
                <w:rFonts w:cs="Times New Roman"/>
                <w:b/>
                <w:sz w:val="20"/>
                <w:szCs w:val="20"/>
              </w:rPr>
            </w:pPr>
            <w:r w:rsidRPr="003379F1">
              <w:rPr>
                <w:rFonts w:cs="Times New Roman"/>
                <w:b/>
                <w:sz w:val="20"/>
                <w:szCs w:val="20"/>
              </w:rPr>
              <w:t>Državni proračun (EUR)</w:t>
            </w:r>
          </w:p>
        </w:tc>
        <w:tc>
          <w:tcPr>
            <w:tcW w:w="1969" w:type="dxa"/>
            <w:vAlign w:val="center"/>
          </w:tcPr>
          <w:p w14:paraId="5C91D807" w14:textId="77777777" w:rsidR="00C75B7D" w:rsidRPr="003379F1" w:rsidRDefault="00C75B7D" w:rsidP="002A04BF">
            <w:pPr>
              <w:jc w:val="center"/>
              <w:rPr>
                <w:rFonts w:cs="Times New Roman"/>
                <w:b/>
                <w:sz w:val="20"/>
                <w:szCs w:val="20"/>
              </w:rPr>
            </w:pPr>
            <w:r w:rsidRPr="003379F1">
              <w:rPr>
                <w:rFonts w:cs="Times New Roman"/>
                <w:b/>
                <w:sz w:val="20"/>
                <w:szCs w:val="20"/>
              </w:rPr>
              <w:t>EU financiranje (EUR)</w:t>
            </w:r>
          </w:p>
        </w:tc>
        <w:tc>
          <w:tcPr>
            <w:tcW w:w="1816" w:type="dxa"/>
            <w:vAlign w:val="center"/>
          </w:tcPr>
          <w:p w14:paraId="62195DC8" w14:textId="77777777" w:rsidR="00C75B7D" w:rsidRPr="003379F1" w:rsidRDefault="00C75B7D" w:rsidP="002A04BF">
            <w:pPr>
              <w:jc w:val="center"/>
              <w:rPr>
                <w:rFonts w:cs="Times New Roman"/>
                <w:b/>
                <w:sz w:val="20"/>
                <w:szCs w:val="20"/>
              </w:rPr>
            </w:pPr>
            <w:r w:rsidRPr="003379F1">
              <w:rPr>
                <w:rFonts w:cs="Times New Roman"/>
                <w:b/>
                <w:sz w:val="20"/>
                <w:szCs w:val="20"/>
              </w:rPr>
              <w:t>Drugi izvori (EUR)</w:t>
            </w:r>
          </w:p>
        </w:tc>
      </w:tr>
      <w:tr w:rsidR="00CE622A" w:rsidRPr="00F7623F" w14:paraId="51F844E7" w14:textId="77777777" w:rsidTr="002A04BF">
        <w:tc>
          <w:tcPr>
            <w:tcW w:w="3167" w:type="dxa"/>
            <w:shd w:val="clear" w:color="auto" w:fill="F2F2F2" w:themeFill="background1" w:themeFillShade="F2"/>
            <w:vAlign w:val="center"/>
          </w:tcPr>
          <w:p w14:paraId="7958B2B1" w14:textId="5BEF76CC" w:rsidR="00C75B7D" w:rsidRPr="003379F1" w:rsidRDefault="00C75B7D" w:rsidP="0061594B">
            <w:pPr>
              <w:rPr>
                <w:rFonts w:cs="Times New Roman"/>
                <w:sz w:val="20"/>
                <w:szCs w:val="20"/>
              </w:rPr>
            </w:pPr>
            <w:r w:rsidRPr="003379F1">
              <w:rPr>
                <w:rFonts w:cs="Times New Roman"/>
                <w:sz w:val="20"/>
                <w:szCs w:val="20"/>
              </w:rPr>
              <w:t>Izvori financiranja u 202</w:t>
            </w:r>
            <w:r w:rsidR="002B21AB" w:rsidRPr="003379F1">
              <w:rPr>
                <w:rFonts w:cs="Times New Roman"/>
                <w:sz w:val="20"/>
                <w:szCs w:val="20"/>
              </w:rPr>
              <w:t>4</w:t>
            </w:r>
            <w:r w:rsidRPr="003379F1">
              <w:rPr>
                <w:rFonts w:cs="Times New Roman"/>
                <w:sz w:val="20"/>
                <w:szCs w:val="20"/>
              </w:rPr>
              <w:t>. (proračunska pozicija i predviđeni iznos sredstava)</w:t>
            </w:r>
          </w:p>
        </w:tc>
        <w:tc>
          <w:tcPr>
            <w:tcW w:w="2110" w:type="dxa"/>
            <w:vAlign w:val="center"/>
          </w:tcPr>
          <w:p w14:paraId="42981094" w14:textId="77777777" w:rsidR="00C75B7D" w:rsidRPr="003379F1" w:rsidRDefault="00663BFA" w:rsidP="008C24C7">
            <w:pPr>
              <w:jc w:val="center"/>
              <w:rPr>
                <w:rFonts w:cs="Times New Roman"/>
                <w:sz w:val="20"/>
                <w:szCs w:val="20"/>
              </w:rPr>
            </w:pPr>
            <w:r w:rsidRPr="003379F1">
              <w:rPr>
                <w:rFonts w:cs="Times New Roman"/>
                <w:sz w:val="20"/>
                <w:szCs w:val="20"/>
              </w:rPr>
              <w:t>A513041</w:t>
            </w:r>
            <w:r w:rsidR="00E63507" w:rsidRPr="003379F1">
              <w:rPr>
                <w:rFonts w:cs="Times New Roman"/>
                <w:sz w:val="20"/>
                <w:szCs w:val="20"/>
              </w:rPr>
              <w:t xml:space="preserve"> - </w:t>
            </w:r>
            <w:r w:rsidRPr="003379F1">
              <w:rPr>
                <w:rFonts w:cs="Times New Roman"/>
                <w:sz w:val="20"/>
                <w:szCs w:val="20"/>
              </w:rPr>
              <w:t>NPUR</w:t>
            </w:r>
            <w:r w:rsidR="00E63507" w:rsidRPr="003379F1">
              <w:rPr>
                <w:rFonts w:cs="Times New Roman"/>
                <w:sz w:val="20"/>
                <w:szCs w:val="20"/>
              </w:rPr>
              <w:t xml:space="preserve"> </w:t>
            </w:r>
          </w:p>
          <w:p w14:paraId="5ACC21E5" w14:textId="1CD7B585" w:rsidR="008C24C7" w:rsidRPr="003379F1" w:rsidRDefault="008C24C7" w:rsidP="008C24C7">
            <w:pPr>
              <w:jc w:val="center"/>
              <w:rPr>
                <w:rFonts w:cs="Times New Roman"/>
                <w:sz w:val="20"/>
                <w:szCs w:val="20"/>
              </w:rPr>
            </w:pPr>
            <w:r w:rsidRPr="003379F1">
              <w:rPr>
                <w:rFonts w:cs="Times New Roman"/>
                <w:sz w:val="20"/>
                <w:szCs w:val="20"/>
              </w:rPr>
              <w:t>55.922,00</w:t>
            </w:r>
          </w:p>
        </w:tc>
        <w:tc>
          <w:tcPr>
            <w:tcW w:w="1969" w:type="dxa"/>
            <w:vAlign w:val="center"/>
          </w:tcPr>
          <w:p w14:paraId="643D26D4" w14:textId="77717EC1" w:rsidR="00C75B7D" w:rsidRPr="003379F1" w:rsidRDefault="00663BFA" w:rsidP="002A04BF">
            <w:pPr>
              <w:jc w:val="center"/>
              <w:rPr>
                <w:rFonts w:cs="Times New Roman"/>
                <w:sz w:val="20"/>
                <w:szCs w:val="20"/>
              </w:rPr>
            </w:pPr>
            <w:r w:rsidRPr="003379F1">
              <w:rPr>
                <w:rFonts w:cs="Times New Roman"/>
                <w:sz w:val="20"/>
                <w:szCs w:val="20"/>
              </w:rPr>
              <w:t>0,00</w:t>
            </w:r>
          </w:p>
        </w:tc>
        <w:tc>
          <w:tcPr>
            <w:tcW w:w="1816" w:type="dxa"/>
            <w:vAlign w:val="center"/>
          </w:tcPr>
          <w:p w14:paraId="19078EA6" w14:textId="2F7A3F47" w:rsidR="00C75B7D" w:rsidRPr="003379F1" w:rsidRDefault="00663BFA" w:rsidP="002A04BF">
            <w:pPr>
              <w:jc w:val="center"/>
              <w:rPr>
                <w:rFonts w:cs="Times New Roman"/>
                <w:sz w:val="20"/>
                <w:szCs w:val="20"/>
              </w:rPr>
            </w:pPr>
            <w:r w:rsidRPr="003379F1">
              <w:rPr>
                <w:rFonts w:cs="Times New Roman"/>
                <w:sz w:val="20"/>
                <w:szCs w:val="20"/>
              </w:rPr>
              <w:t>0,00</w:t>
            </w:r>
          </w:p>
        </w:tc>
      </w:tr>
      <w:tr w:rsidR="00CE622A" w:rsidRPr="00F7623F" w14:paraId="0D59DF0A" w14:textId="77777777" w:rsidTr="002A04BF">
        <w:tc>
          <w:tcPr>
            <w:tcW w:w="3167" w:type="dxa"/>
            <w:vMerge w:val="restart"/>
            <w:shd w:val="clear" w:color="auto" w:fill="F2F2F2" w:themeFill="background1" w:themeFillShade="F2"/>
            <w:vAlign w:val="center"/>
          </w:tcPr>
          <w:p w14:paraId="3C784083" w14:textId="77777777" w:rsidR="00C75B7D" w:rsidRPr="003379F1" w:rsidRDefault="00C75B7D" w:rsidP="002A04BF">
            <w:pPr>
              <w:rPr>
                <w:rFonts w:cs="Times New Roman"/>
                <w:b/>
                <w:sz w:val="20"/>
                <w:szCs w:val="20"/>
              </w:rPr>
            </w:pPr>
            <w:r w:rsidRPr="003379F1">
              <w:rPr>
                <w:rFonts w:cs="Times New Roman"/>
                <w:b/>
                <w:sz w:val="20"/>
                <w:szCs w:val="20"/>
              </w:rPr>
              <w:t xml:space="preserve">UKUPNO UTROŠENA SREDSTVA PO IZVORU </w:t>
            </w:r>
          </w:p>
        </w:tc>
        <w:tc>
          <w:tcPr>
            <w:tcW w:w="2110" w:type="dxa"/>
            <w:vAlign w:val="center"/>
          </w:tcPr>
          <w:p w14:paraId="6C4FBF53" w14:textId="77777777" w:rsidR="00C75B7D" w:rsidRPr="003379F1" w:rsidRDefault="00C75B7D" w:rsidP="002A04BF">
            <w:pPr>
              <w:jc w:val="center"/>
              <w:rPr>
                <w:rFonts w:cs="Times New Roman"/>
                <w:b/>
                <w:sz w:val="20"/>
                <w:szCs w:val="20"/>
              </w:rPr>
            </w:pPr>
            <w:r w:rsidRPr="003379F1">
              <w:rPr>
                <w:rFonts w:cs="Times New Roman"/>
                <w:b/>
                <w:sz w:val="20"/>
                <w:szCs w:val="20"/>
              </w:rPr>
              <w:t>Državni proračun (EUR)</w:t>
            </w:r>
          </w:p>
        </w:tc>
        <w:tc>
          <w:tcPr>
            <w:tcW w:w="1969" w:type="dxa"/>
            <w:vAlign w:val="center"/>
          </w:tcPr>
          <w:p w14:paraId="4A6BB5E8" w14:textId="77777777" w:rsidR="00C75B7D" w:rsidRPr="003379F1" w:rsidRDefault="00C75B7D" w:rsidP="002A04BF">
            <w:pPr>
              <w:jc w:val="center"/>
              <w:rPr>
                <w:rFonts w:cs="Times New Roman"/>
                <w:b/>
                <w:sz w:val="20"/>
                <w:szCs w:val="20"/>
              </w:rPr>
            </w:pPr>
            <w:r w:rsidRPr="003379F1">
              <w:rPr>
                <w:rFonts w:cs="Times New Roman"/>
                <w:b/>
                <w:sz w:val="20"/>
                <w:szCs w:val="20"/>
              </w:rPr>
              <w:t>EU financiranje (EUR)</w:t>
            </w:r>
          </w:p>
        </w:tc>
        <w:tc>
          <w:tcPr>
            <w:tcW w:w="1816" w:type="dxa"/>
            <w:vAlign w:val="center"/>
          </w:tcPr>
          <w:p w14:paraId="212E6EB5" w14:textId="77777777" w:rsidR="00C75B7D" w:rsidRPr="003379F1" w:rsidRDefault="00C75B7D" w:rsidP="002A04BF">
            <w:pPr>
              <w:jc w:val="center"/>
              <w:rPr>
                <w:rFonts w:cs="Times New Roman"/>
                <w:b/>
                <w:sz w:val="20"/>
                <w:szCs w:val="20"/>
              </w:rPr>
            </w:pPr>
            <w:r w:rsidRPr="003379F1">
              <w:rPr>
                <w:rFonts w:cs="Times New Roman"/>
                <w:b/>
                <w:sz w:val="20"/>
                <w:szCs w:val="20"/>
              </w:rPr>
              <w:t>Drugi izvori (EUR)</w:t>
            </w:r>
          </w:p>
        </w:tc>
      </w:tr>
      <w:tr w:rsidR="00CE622A" w:rsidRPr="00F7623F" w14:paraId="369AA267" w14:textId="77777777" w:rsidTr="002A04BF">
        <w:tc>
          <w:tcPr>
            <w:tcW w:w="3167" w:type="dxa"/>
            <w:vMerge/>
            <w:shd w:val="clear" w:color="auto" w:fill="F2F2F2" w:themeFill="background1" w:themeFillShade="F2"/>
            <w:vAlign w:val="center"/>
          </w:tcPr>
          <w:p w14:paraId="4BCE2879" w14:textId="77777777" w:rsidR="00C75B7D" w:rsidRPr="003379F1" w:rsidRDefault="00C75B7D" w:rsidP="002A04BF">
            <w:pPr>
              <w:rPr>
                <w:rFonts w:cs="Times New Roman"/>
                <w:b/>
                <w:sz w:val="20"/>
                <w:szCs w:val="20"/>
              </w:rPr>
            </w:pPr>
          </w:p>
        </w:tc>
        <w:tc>
          <w:tcPr>
            <w:tcW w:w="2110" w:type="dxa"/>
            <w:vAlign w:val="center"/>
          </w:tcPr>
          <w:p w14:paraId="3EF37962" w14:textId="7218DD30" w:rsidR="00C75B7D" w:rsidRPr="003379F1" w:rsidRDefault="00B022C1">
            <w:pPr>
              <w:jc w:val="center"/>
              <w:rPr>
                <w:rFonts w:eastAsia="Calibri" w:cs="Times New Roman"/>
                <w:sz w:val="20"/>
                <w:szCs w:val="20"/>
              </w:rPr>
            </w:pPr>
            <w:r w:rsidRPr="003379F1">
              <w:rPr>
                <w:rFonts w:eastAsia="Calibri" w:cs="Times New Roman"/>
                <w:sz w:val="20"/>
                <w:szCs w:val="20"/>
              </w:rPr>
              <w:t>A513041, NPUR</w:t>
            </w:r>
            <w:r w:rsidR="00E63507" w:rsidRPr="003379F1">
              <w:rPr>
                <w:rFonts w:eastAsia="Calibri" w:cs="Times New Roman"/>
                <w:sz w:val="20"/>
                <w:szCs w:val="20"/>
              </w:rPr>
              <w:t xml:space="preserve"> -</w:t>
            </w:r>
            <w:r w:rsidR="002F7831">
              <w:rPr>
                <w:rFonts w:eastAsia="Calibri" w:cs="Times New Roman"/>
                <w:sz w:val="20"/>
                <w:szCs w:val="20"/>
              </w:rPr>
              <w:t xml:space="preserve"> </w:t>
            </w:r>
            <w:r w:rsidR="00F7623F" w:rsidRPr="004610D8">
              <w:rPr>
                <w:rFonts w:eastAsia="Calibri" w:cs="Times New Roman"/>
                <w:b/>
                <w:sz w:val="20"/>
                <w:szCs w:val="20"/>
              </w:rPr>
              <w:t>23</w:t>
            </w:r>
            <w:r w:rsidR="002B21AB" w:rsidRPr="004610D8">
              <w:rPr>
                <w:rFonts w:eastAsia="Calibri" w:cs="Times New Roman"/>
                <w:b/>
                <w:sz w:val="20"/>
                <w:szCs w:val="20"/>
              </w:rPr>
              <w:t>.</w:t>
            </w:r>
            <w:r w:rsidR="00F7623F" w:rsidRPr="004610D8">
              <w:rPr>
                <w:rFonts w:eastAsia="Calibri" w:cs="Times New Roman"/>
                <w:b/>
                <w:sz w:val="20"/>
                <w:szCs w:val="20"/>
              </w:rPr>
              <w:t>208,76</w:t>
            </w:r>
          </w:p>
        </w:tc>
        <w:tc>
          <w:tcPr>
            <w:tcW w:w="1969" w:type="dxa"/>
            <w:vAlign w:val="center"/>
          </w:tcPr>
          <w:p w14:paraId="1D846CC3" w14:textId="77777777" w:rsidR="00C75B7D" w:rsidRPr="003379F1" w:rsidRDefault="00C75B7D" w:rsidP="002A04BF">
            <w:pPr>
              <w:jc w:val="center"/>
              <w:rPr>
                <w:rFonts w:cs="Times New Roman"/>
                <w:sz w:val="20"/>
                <w:szCs w:val="20"/>
              </w:rPr>
            </w:pPr>
            <w:r w:rsidRPr="003379F1">
              <w:rPr>
                <w:rFonts w:cs="Times New Roman"/>
                <w:sz w:val="20"/>
                <w:szCs w:val="20"/>
              </w:rPr>
              <w:t>0,00</w:t>
            </w:r>
          </w:p>
        </w:tc>
        <w:tc>
          <w:tcPr>
            <w:tcW w:w="1816" w:type="dxa"/>
            <w:vAlign w:val="center"/>
          </w:tcPr>
          <w:p w14:paraId="7C4D253D" w14:textId="77777777" w:rsidR="00C75B7D" w:rsidRPr="003379F1" w:rsidRDefault="00C75B7D" w:rsidP="002A04BF">
            <w:pPr>
              <w:jc w:val="center"/>
              <w:rPr>
                <w:rFonts w:cs="Times New Roman"/>
                <w:sz w:val="20"/>
                <w:szCs w:val="20"/>
              </w:rPr>
            </w:pPr>
            <w:r w:rsidRPr="003379F1">
              <w:rPr>
                <w:rFonts w:cs="Times New Roman"/>
                <w:sz w:val="20"/>
                <w:szCs w:val="20"/>
              </w:rPr>
              <w:t xml:space="preserve">0,00 </w:t>
            </w:r>
          </w:p>
        </w:tc>
      </w:tr>
      <w:tr w:rsidR="00CE622A" w:rsidRPr="00F7623F" w14:paraId="4FAEBB97" w14:textId="77777777" w:rsidTr="002A04BF">
        <w:trPr>
          <w:cantSplit/>
        </w:trPr>
        <w:tc>
          <w:tcPr>
            <w:tcW w:w="3167" w:type="dxa"/>
            <w:shd w:val="clear" w:color="auto" w:fill="F2F2F2" w:themeFill="background1" w:themeFillShade="F2"/>
            <w:vAlign w:val="center"/>
          </w:tcPr>
          <w:p w14:paraId="65550C07" w14:textId="77777777" w:rsidR="00C75B7D" w:rsidRPr="003379F1" w:rsidRDefault="00C75B7D" w:rsidP="002A04BF">
            <w:pPr>
              <w:rPr>
                <w:rFonts w:cs="Times New Roman"/>
                <w:sz w:val="20"/>
                <w:szCs w:val="20"/>
              </w:rPr>
            </w:pPr>
            <w:r w:rsidRPr="003379F1">
              <w:rPr>
                <w:rFonts w:cs="Times New Roman"/>
                <w:sz w:val="20"/>
                <w:szCs w:val="20"/>
              </w:rPr>
              <w:t xml:space="preserve">ROK PROVEDBE AKTIVNOSTI : </w:t>
            </w:r>
          </w:p>
        </w:tc>
        <w:tc>
          <w:tcPr>
            <w:tcW w:w="5895" w:type="dxa"/>
            <w:gridSpan w:val="3"/>
            <w:vAlign w:val="center"/>
          </w:tcPr>
          <w:p w14:paraId="0ABB54BE" w14:textId="7F4E0AEC" w:rsidR="00C75B7D" w:rsidRPr="003379F1" w:rsidRDefault="00C75B7D" w:rsidP="002A04BF">
            <w:pPr>
              <w:rPr>
                <w:rFonts w:cs="Times New Roman"/>
                <w:sz w:val="20"/>
                <w:szCs w:val="20"/>
              </w:rPr>
            </w:pPr>
            <w:r w:rsidRPr="003379F1">
              <w:rPr>
                <w:rFonts w:cs="Times New Roman"/>
                <w:sz w:val="20"/>
                <w:szCs w:val="20"/>
              </w:rPr>
              <w:t>I</w:t>
            </w:r>
            <w:r w:rsidR="00663BFA" w:rsidRPr="003379F1">
              <w:rPr>
                <w:rFonts w:cs="Times New Roman"/>
                <w:sz w:val="20"/>
                <w:szCs w:val="20"/>
              </w:rPr>
              <w:t>V.</w:t>
            </w:r>
            <w:r w:rsidRPr="003379F1">
              <w:rPr>
                <w:rFonts w:cs="Times New Roman"/>
                <w:sz w:val="20"/>
                <w:szCs w:val="20"/>
              </w:rPr>
              <w:t xml:space="preserve"> kvartal 2025. </w:t>
            </w:r>
          </w:p>
        </w:tc>
      </w:tr>
    </w:tbl>
    <w:p w14:paraId="4C07411C" w14:textId="149A02FC" w:rsidR="005612A7" w:rsidRPr="00FC64BF" w:rsidRDefault="005612A7" w:rsidP="00D36147">
      <w:pPr>
        <w:spacing w:after="0" w:line="276" w:lineRule="auto"/>
        <w:rPr>
          <w:rFonts w:cs="Times New Roman"/>
        </w:rPr>
      </w:pPr>
    </w:p>
    <w:p w14:paraId="1C58B468" w14:textId="79802B02" w:rsidR="002D20C6" w:rsidRPr="00FC64BF" w:rsidRDefault="002D20C6" w:rsidP="00D36147">
      <w:pPr>
        <w:pStyle w:val="Heading2"/>
        <w:spacing w:before="0" w:line="276" w:lineRule="auto"/>
        <w:rPr>
          <w:rFonts w:cs="Times New Roman"/>
        </w:rPr>
      </w:pPr>
      <w:r w:rsidRPr="00FC64BF">
        <w:rPr>
          <w:rFonts w:cs="Times New Roman"/>
        </w:rPr>
        <w:t>Mjera 4.4. Povećanje udjela mladih Roma u visokom obrazovanju</w:t>
      </w:r>
    </w:p>
    <w:p w14:paraId="5C478FC8" w14:textId="77777777" w:rsidR="00277C25" w:rsidRPr="00FC64BF" w:rsidRDefault="00277C25" w:rsidP="004A3B23">
      <w:pPr>
        <w:spacing w:after="0" w:line="276" w:lineRule="auto"/>
        <w:jc w:val="both"/>
        <w:rPr>
          <w:rFonts w:cs="Times New Roman"/>
          <w:i/>
          <w:iCs/>
        </w:rPr>
      </w:pPr>
    </w:p>
    <w:p w14:paraId="4B073700" w14:textId="789C7298" w:rsidR="00CA388F" w:rsidRPr="00FC64BF" w:rsidRDefault="002D20C6" w:rsidP="00D36147">
      <w:pPr>
        <w:spacing w:after="0" w:line="276" w:lineRule="auto"/>
        <w:jc w:val="both"/>
        <w:rPr>
          <w:rFonts w:cs="Times New Roman"/>
          <w:i/>
          <w:iCs/>
        </w:rPr>
      </w:pPr>
      <w:r w:rsidRPr="00FC64BF">
        <w:rPr>
          <w:rFonts w:cs="Times New Roman"/>
          <w:i/>
          <w:iCs/>
        </w:rPr>
        <w:lastRenderedPageBreak/>
        <w:t xml:space="preserve">Aktivnost 4.4.1. Osiguravanje stipendija studentima pripadnicima romske nacionalne manjine </w:t>
      </w:r>
      <w:r w:rsidR="00CA388F" w:rsidRPr="00FC64BF">
        <w:rPr>
          <w:rFonts w:cs="Times New Roman"/>
          <w:i/>
          <w:iCs/>
        </w:rPr>
        <w:t xml:space="preserve">Nositelj provedbe: </w:t>
      </w:r>
      <w:r w:rsidR="00F36CF1" w:rsidRPr="00FC64BF">
        <w:rPr>
          <w:rFonts w:cs="Times New Roman"/>
          <w:i/>
          <w:iCs/>
        </w:rPr>
        <w:t>Ministarstvo znanosti, obrazovanja i mladih</w:t>
      </w:r>
      <w:r w:rsidR="00CA388F" w:rsidRPr="00FC64BF">
        <w:rPr>
          <w:rFonts w:cs="Times New Roman"/>
          <w:i/>
          <w:iCs/>
        </w:rPr>
        <w:t xml:space="preserve"> </w:t>
      </w:r>
    </w:p>
    <w:p w14:paraId="48CF495B" w14:textId="4FFD0243" w:rsidR="002D20C6" w:rsidRPr="00FC64BF" w:rsidRDefault="00CA388F" w:rsidP="00D36147">
      <w:pPr>
        <w:spacing w:after="0" w:line="276" w:lineRule="auto"/>
        <w:jc w:val="both"/>
        <w:rPr>
          <w:rFonts w:cs="Times New Roman"/>
          <w:i/>
          <w:iCs/>
        </w:rPr>
      </w:pPr>
      <w:r w:rsidRPr="00FC64BF">
        <w:rPr>
          <w:rFonts w:cs="Times New Roman"/>
          <w:i/>
          <w:iCs/>
        </w:rPr>
        <w:t xml:space="preserve">Partneri: </w:t>
      </w:r>
      <w:r w:rsidR="003F6850" w:rsidRPr="00FC64BF">
        <w:rPr>
          <w:rFonts w:cs="Times New Roman"/>
          <w:i/>
          <w:iCs/>
        </w:rPr>
        <w:t>V</w:t>
      </w:r>
      <w:r w:rsidRPr="00FC64BF">
        <w:rPr>
          <w:rFonts w:cs="Times New Roman"/>
          <w:i/>
          <w:iCs/>
        </w:rPr>
        <w:t>isoka učilišta</w:t>
      </w:r>
    </w:p>
    <w:p w14:paraId="2908E458" w14:textId="4AF45B8F" w:rsidR="002B21AB" w:rsidRPr="00802CE3" w:rsidRDefault="002B21AB" w:rsidP="00D36147">
      <w:pPr>
        <w:spacing w:after="0" w:line="276" w:lineRule="auto"/>
        <w:jc w:val="both"/>
        <w:rPr>
          <w:rFonts w:cs="Times New Roman"/>
          <w:i/>
          <w:iCs/>
          <w:szCs w:val="24"/>
        </w:rPr>
      </w:pPr>
    </w:p>
    <w:p w14:paraId="1B696B2C" w14:textId="69479E5E" w:rsidR="002B21AB" w:rsidRPr="00802CE3" w:rsidRDefault="002B21AB" w:rsidP="00D36147">
      <w:pPr>
        <w:spacing w:after="0" w:line="276" w:lineRule="auto"/>
        <w:jc w:val="both"/>
        <w:rPr>
          <w:rFonts w:cs="Times New Roman"/>
          <w:i/>
          <w:iCs/>
          <w:szCs w:val="24"/>
        </w:rPr>
      </w:pPr>
      <w:r w:rsidRPr="00A86FA4">
        <w:rPr>
          <w:rFonts w:cs="Times New Roman"/>
          <w:szCs w:val="24"/>
        </w:rPr>
        <w:t>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Ministarstvo znanosti, obrazovanja i mladih osigurava stipendije studentima pripadnicima romske nacionalne manjine. Stipendija iznosi 360,00 EUR mjesečno, dok za studente koji ne upisuju višu godinu tj. imaju zaostajanja u studiju/ponavljaju godinu iznosi 292,00 EUR. Stipendije se dodjeljuju za razdoblje od 10 mjeseci (od listopada prošle do srpnja tekuće godine). Ministarstvo znanosti, obrazovanja i mladih je temeljem Javnog natječaja za dodjelu državnih stipendija za studente pripadnike romske nacionalne manjine upisane na sveučilišne, stručne i poslijediplomske studije na visokim učilištima u Republici Hrvatskoj, za akademsku godinu 2023./2024. osiguralo stipendije za 55 studenata.</w:t>
      </w:r>
    </w:p>
    <w:p w14:paraId="412D572E" w14:textId="1ECA3439" w:rsidR="00330FAE" w:rsidRPr="006F76BA" w:rsidRDefault="00330FAE">
      <w:pPr>
        <w:rPr>
          <w:rFonts w:eastAsia="Calibri" w:cs="Times New Roman"/>
          <w:szCs w:val="24"/>
        </w:rPr>
      </w:pPr>
    </w:p>
    <w:tbl>
      <w:tblPr>
        <w:tblStyle w:val="TableGrid"/>
        <w:tblW w:w="5000" w:type="pct"/>
        <w:tblLayout w:type="fixed"/>
        <w:tblLook w:val="04A0" w:firstRow="1" w:lastRow="0" w:firstColumn="1" w:lastColumn="0" w:noHBand="0" w:noVBand="1"/>
      </w:tblPr>
      <w:tblGrid>
        <w:gridCol w:w="2874"/>
        <w:gridCol w:w="2365"/>
        <w:gridCol w:w="1985"/>
        <w:gridCol w:w="1838"/>
      </w:tblGrid>
      <w:tr w:rsidR="002B21AB" w:rsidRPr="002B21AB" w14:paraId="592DF8B9" w14:textId="77777777" w:rsidTr="002A04BF">
        <w:trPr>
          <w:trHeight w:val="606"/>
        </w:trPr>
        <w:tc>
          <w:tcPr>
            <w:tcW w:w="1586" w:type="pct"/>
            <w:shd w:val="clear" w:color="auto" w:fill="F2F2F2" w:themeFill="background1" w:themeFillShade="F2"/>
            <w:vAlign w:val="center"/>
          </w:tcPr>
          <w:p w14:paraId="04D5703F" w14:textId="77777777" w:rsidR="00A501B8" w:rsidRPr="00FC64BF" w:rsidRDefault="00A501B8" w:rsidP="002A04BF">
            <w:pPr>
              <w:rPr>
                <w:rFonts w:cs="Times New Roman"/>
                <w:b/>
                <w:sz w:val="20"/>
                <w:szCs w:val="18"/>
              </w:rPr>
            </w:pPr>
            <w:r w:rsidRPr="00FC64BF">
              <w:rPr>
                <w:rFonts w:cs="Times New Roman"/>
                <w:b/>
                <w:sz w:val="20"/>
                <w:szCs w:val="18"/>
              </w:rPr>
              <w:t>Pokazatelji provedbe i pokazatelji uspješnosti provedbe</w:t>
            </w:r>
          </w:p>
        </w:tc>
        <w:tc>
          <w:tcPr>
            <w:tcW w:w="1305" w:type="pct"/>
            <w:shd w:val="clear" w:color="auto" w:fill="F2F2F2" w:themeFill="background1" w:themeFillShade="F2"/>
            <w:vAlign w:val="center"/>
          </w:tcPr>
          <w:p w14:paraId="0B3FCCE0" w14:textId="4DB06059" w:rsidR="00A501B8" w:rsidRPr="00FC64BF" w:rsidRDefault="00A501B8" w:rsidP="002A04BF">
            <w:pPr>
              <w:jc w:val="center"/>
              <w:rPr>
                <w:rFonts w:eastAsia="Calibri" w:cs="Times New Roman"/>
                <w:b/>
                <w:strike/>
                <w:sz w:val="20"/>
                <w:szCs w:val="18"/>
              </w:rPr>
            </w:pPr>
            <w:r w:rsidRPr="00FC64BF">
              <w:rPr>
                <w:rFonts w:eastAsia="Calibri" w:cs="Times New Roman"/>
                <w:b/>
                <w:sz w:val="20"/>
                <w:szCs w:val="18"/>
              </w:rPr>
              <w:t>Broj studenata 1. godine upisanih na visoka učilišta</w:t>
            </w:r>
          </w:p>
        </w:tc>
        <w:tc>
          <w:tcPr>
            <w:tcW w:w="1095" w:type="pct"/>
            <w:shd w:val="clear" w:color="auto" w:fill="F2F2F2" w:themeFill="background1" w:themeFillShade="F2"/>
            <w:vAlign w:val="center"/>
          </w:tcPr>
          <w:p w14:paraId="799C95D3" w14:textId="1F133449" w:rsidR="00A501B8" w:rsidRPr="00FC64BF" w:rsidRDefault="00A501B8" w:rsidP="002A04BF">
            <w:pPr>
              <w:jc w:val="center"/>
              <w:rPr>
                <w:rFonts w:cs="Times New Roman"/>
                <w:b/>
                <w:sz w:val="20"/>
                <w:szCs w:val="18"/>
              </w:rPr>
            </w:pPr>
            <w:r w:rsidRPr="00FC64BF">
              <w:rPr>
                <w:rFonts w:eastAsia="Calibri" w:cs="Times New Roman"/>
                <w:b/>
                <w:sz w:val="20"/>
                <w:szCs w:val="18"/>
              </w:rPr>
              <w:t>Broj studenata viših godina kojima je osigurana stipendija</w:t>
            </w:r>
          </w:p>
        </w:tc>
        <w:tc>
          <w:tcPr>
            <w:tcW w:w="1014" w:type="pct"/>
            <w:shd w:val="clear" w:color="auto" w:fill="F2F2F2" w:themeFill="background1" w:themeFillShade="F2"/>
            <w:vAlign w:val="center"/>
          </w:tcPr>
          <w:p w14:paraId="072CB525" w14:textId="092E6C24" w:rsidR="00A501B8" w:rsidRPr="00FC64BF" w:rsidRDefault="00A501B8" w:rsidP="002A04BF">
            <w:pPr>
              <w:jc w:val="center"/>
              <w:rPr>
                <w:rFonts w:cs="Times New Roman"/>
                <w:b/>
                <w:sz w:val="20"/>
                <w:szCs w:val="18"/>
              </w:rPr>
            </w:pPr>
            <w:r w:rsidRPr="00FC64BF">
              <w:rPr>
                <w:rFonts w:cs="Times New Roman"/>
                <w:b/>
                <w:sz w:val="20"/>
                <w:szCs w:val="18"/>
              </w:rPr>
              <w:t>Ukupan broj studenata kojima je osigurana stipendija</w:t>
            </w:r>
          </w:p>
        </w:tc>
      </w:tr>
      <w:tr w:rsidR="002B21AB" w:rsidRPr="002B21AB" w14:paraId="2B435E8C" w14:textId="77777777" w:rsidTr="0062352A">
        <w:tc>
          <w:tcPr>
            <w:tcW w:w="1586" w:type="pct"/>
            <w:shd w:val="clear" w:color="auto" w:fill="F2F2F2" w:themeFill="background1" w:themeFillShade="F2"/>
            <w:vAlign w:val="center"/>
          </w:tcPr>
          <w:p w14:paraId="53ABB875" w14:textId="7095CE74" w:rsidR="002B21AB" w:rsidRPr="00FC64BF" w:rsidRDefault="002B21AB" w:rsidP="0061594B">
            <w:pPr>
              <w:rPr>
                <w:rFonts w:cs="Times New Roman"/>
                <w:sz w:val="20"/>
                <w:szCs w:val="18"/>
              </w:rPr>
            </w:pPr>
            <w:r w:rsidRPr="00FC64BF">
              <w:rPr>
                <w:rFonts w:cs="Times New Roman"/>
                <w:sz w:val="20"/>
                <w:szCs w:val="18"/>
              </w:rPr>
              <w:t>Planirani ishodi za pokazatelje provedbe u 2024.</w:t>
            </w:r>
          </w:p>
        </w:tc>
        <w:tc>
          <w:tcPr>
            <w:tcW w:w="1305" w:type="pct"/>
          </w:tcPr>
          <w:p w14:paraId="7DD045E1" w14:textId="7EAE2CA0" w:rsidR="002B21AB" w:rsidRPr="00FC64BF" w:rsidRDefault="002B21AB" w:rsidP="002B21AB">
            <w:pPr>
              <w:jc w:val="center"/>
              <w:rPr>
                <w:rFonts w:cs="Times New Roman"/>
                <w:sz w:val="20"/>
                <w:szCs w:val="18"/>
              </w:rPr>
            </w:pPr>
            <w:r w:rsidRPr="002B21AB">
              <w:rPr>
                <w:rFonts w:cs="Times New Roman"/>
                <w:sz w:val="22"/>
              </w:rPr>
              <w:t>25</w:t>
            </w:r>
          </w:p>
        </w:tc>
        <w:tc>
          <w:tcPr>
            <w:tcW w:w="1095" w:type="pct"/>
          </w:tcPr>
          <w:p w14:paraId="3A15BFBA" w14:textId="7AF2FC2B" w:rsidR="002B21AB" w:rsidRPr="00FC64BF" w:rsidRDefault="002B21AB" w:rsidP="002B21AB">
            <w:pPr>
              <w:jc w:val="center"/>
              <w:rPr>
                <w:rFonts w:cs="Times New Roman"/>
                <w:sz w:val="20"/>
                <w:szCs w:val="18"/>
              </w:rPr>
            </w:pPr>
            <w:r w:rsidRPr="002B21AB">
              <w:rPr>
                <w:rFonts w:cs="Times New Roman"/>
                <w:sz w:val="22"/>
              </w:rPr>
              <w:t>35</w:t>
            </w:r>
          </w:p>
        </w:tc>
        <w:tc>
          <w:tcPr>
            <w:tcW w:w="1014" w:type="pct"/>
          </w:tcPr>
          <w:p w14:paraId="6F690721" w14:textId="56C0FC2D" w:rsidR="002B21AB" w:rsidRPr="00FC64BF" w:rsidRDefault="002B21AB" w:rsidP="002B21AB">
            <w:pPr>
              <w:jc w:val="center"/>
              <w:rPr>
                <w:rFonts w:cs="Times New Roman"/>
                <w:sz w:val="20"/>
                <w:szCs w:val="18"/>
              </w:rPr>
            </w:pPr>
            <w:r w:rsidRPr="002B21AB">
              <w:rPr>
                <w:rFonts w:cs="Times New Roman"/>
                <w:sz w:val="22"/>
              </w:rPr>
              <w:t>60</w:t>
            </w:r>
          </w:p>
        </w:tc>
      </w:tr>
      <w:tr w:rsidR="002B21AB" w:rsidRPr="002B21AB" w14:paraId="64F5A15F" w14:textId="77777777" w:rsidTr="0062352A">
        <w:tc>
          <w:tcPr>
            <w:tcW w:w="1586" w:type="pct"/>
            <w:shd w:val="clear" w:color="auto" w:fill="F2F2F2" w:themeFill="background1" w:themeFillShade="F2"/>
            <w:vAlign w:val="center"/>
          </w:tcPr>
          <w:p w14:paraId="528EE784" w14:textId="3E1E2A08" w:rsidR="002B21AB" w:rsidRPr="00FC64BF" w:rsidRDefault="002B21AB" w:rsidP="0061594B">
            <w:pPr>
              <w:rPr>
                <w:rFonts w:cs="Times New Roman"/>
                <w:sz w:val="20"/>
                <w:szCs w:val="18"/>
              </w:rPr>
            </w:pPr>
            <w:r w:rsidRPr="00FC64BF">
              <w:rPr>
                <w:rFonts w:cs="Times New Roman"/>
                <w:sz w:val="20"/>
                <w:szCs w:val="18"/>
              </w:rPr>
              <w:t>Ostvareni ishodi za pokazatelje provedbe u 2024.</w:t>
            </w:r>
          </w:p>
        </w:tc>
        <w:tc>
          <w:tcPr>
            <w:tcW w:w="1305" w:type="pct"/>
          </w:tcPr>
          <w:p w14:paraId="4F5497CE" w14:textId="742364D1" w:rsidR="002B21AB" w:rsidRPr="00FC64BF" w:rsidRDefault="002B21AB" w:rsidP="002B21AB">
            <w:pPr>
              <w:jc w:val="center"/>
              <w:rPr>
                <w:rFonts w:cs="Times New Roman"/>
                <w:sz w:val="20"/>
                <w:szCs w:val="18"/>
              </w:rPr>
            </w:pPr>
            <w:r w:rsidRPr="002B21AB">
              <w:rPr>
                <w:rFonts w:cs="Times New Roman"/>
                <w:sz w:val="22"/>
              </w:rPr>
              <w:t>24</w:t>
            </w:r>
          </w:p>
        </w:tc>
        <w:tc>
          <w:tcPr>
            <w:tcW w:w="1095" w:type="pct"/>
          </w:tcPr>
          <w:p w14:paraId="7B50A667" w14:textId="0CDF8E28" w:rsidR="002B21AB" w:rsidRPr="00FC64BF" w:rsidRDefault="002B21AB" w:rsidP="002B21AB">
            <w:pPr>
              <w:jc w:val="center"/>
              <w:rPr>
                <w:rFonts w:cs="Times New Roman"/>
                <w:sz w:val="20"/>
                <w:szCs w:val="18"/>
              </w:rPr>
            </w:pPr>
            <w:r w:rsidRPr="002B21AB">
              <w:rPr>
                <w:rFonts w:cs="Times New Roman"/>
                <w:sz w:val="22"/>
              </w:rPr>
              <w:t>31</w:t>
            </w:r>
          </w:p>
        </w:tc>
        <w:tc>
          <w:tcPr>
            <w:tcW w:w="1014" w:type="pct"/>
          </w:tcPr>
          <w:p w14:paraId="600CC530" w14:textId="775D3B1E" w:rsidR="002B21AB" w:rsidRPr="00FC64BF" w:rsidRDefault="002B21AB" w:rsidP="002B21AB">
            <w:pPr>
              <w:jc w:val="center"/>
              <w:rPr>
                <w:rFonts w:eastAsia="Calibri" w:cs="Times New Roman"/>
                <w:bCs/>
                <w:sz w:val="20"/>
                <w:szCs w:val="18"/>
              </w:rPr>
            </w:pPr>
            <w:r w:rsidRPr="002B21AB">
              <w:rPr>
                <w:rFonts w:cs="Times New Roman"/>
                <w:sz w:val="22"/>
              </w:rPr>
              <w:t>55</w:t>
            </w:r>
          </w:p>
        </w:tc>
      </w:tr>
      <w:tr w:rsidR="002B21AB" w:rsidRPr="002B21AB" w14:paraId="2DED8C60" w14:textId="77777777" w:rsidTr="002A04BF">
        <w:tc>
          <w:tcPr>
            <w:tcW w:w="1586" w:type="pct"/>
            <w:shd w:val="clear" w:color="auto" w:fill="F2F2F2" w:themeFill="background1" w:themeFillShade="F2"/>
            <w:vAlign w:val="center"/>
          </w:tcPr>
          <w:p w14:paraId="3E3C98AC" w14:textId="77777777" w:rsidR="002B21AB" w:rsidRPr="00FC64BF" w:rsidRDefault="002B21AB" w:rsidP="002B21AB">
            <w:pPr>
              <w:rPr>
                <w:rFonts w:cs="Times New Roman"/>
                <w:b/>
                <w:sz w:val="20"/>
                <w:szCs w:val="18"/>
              </w:rPr>
            </w:pPr>
            <w:r w:rsidRPr="00FC64BF">
              <w:rPr>
                <w:rFonts w:cs="Times New Roman"/>
                <w:b/>
                <w:sz w:val="20"/>
                <w:szCs w:val="18"/>
              </w:rPr>
              <w:t xml:space="preserve">IZVORI FINANCIRANJA </w:t>
            </w:r>
          </w:p>
        </w:tc>
        <w:tc>
          <w:tcPr>
            <w:tcW w:w="1305" w:type="pct"/>
            <w:vAlign w:val="center"/>
          </w:tcPr>
          <w:p w14:paraId="35B9CC30" w14:textId="77777777" w:rsidR="002B21AB" w:rsidRPr="00FC64BF" w:rsidRDefault="002B21AB" w:rsidP="002B21AB">
            <w:pPr>
              <w:jc w:val="center"/>
              <w:rPr>
                <w:rFonts w:cs="Times New Roman"/>
                <w:b/>
                <w:sz w:val="20"/>
                <w:szCs w:val="18"/>
              </w:rPr>
            </w:pPr>
            <w:r w:rsidRPr="00FC64BF">
              <w:rPr>
                <w:rFonts w:cs="Times New Roman"/>
                <w:b/>
                <w:sz w:val="20"/>
                <w:szCs w:val="18"/>
              </w:rPr>
              <w:t>Državni proračun (EUR)</w:t>
            </w:r>
          </w:p>
        </w:tc>
        <w:tc>
          <w:tcPr>
            <w:tcW w:w="1095" w:type="pct"/>
            <w:vAlign w:val="center"/>
          </w:tcPr>
          <w:p w14:paraId="33DB0EC7" w14:textId="77777777" w:rsidR="002B21AB" w:rsidRPr="00FC64BF" w:rsidRDefault="002B21AB" w:rsidP="002B21AB">
            <w:pPr>
              <w:jc w:val="center"/>
              <w:rPr>
                <w:rFonts w:cs="Times New Roman"/>
                <w:b/>
                <w:sz w:val="20"/>
                <w:szCs w:val="18"/>
              </w:rPr>
            </w:pPr>
            <w:r w:rsidRPr="00FC64BF">
              <w:rPr>
                <w:rFonts w:cs="Times New Roman"/>
                <w:b/>
                <w:sz w:val="20"/>
                <w:szCs w:val="18"/>
              </w:rPr>
              <w:t>EU financiranje (EUR)</w:t>
            </w:r>
          </w:p>
        </w:tc>
        <w:tc>
          <w:tcPr>
            <w:tcW w:w="1014" w:type="pct"/>
            <w:vAlign w:val="center"/>
          </w:tcPr>
          <w:p w14:paraId="75D2AAC0" w14:textId="77777777" w:rsidR="002B21AB" w:rsidRPr="00FC64BF" w:rsidRDefault="002B21AB" w:rsidP="002B21AB">
            <w:pPr>
              <w:jc w:val="center"/>
              <w:rPr>
                <w:rFonts w:cs="Times New Roman"/>
                <w:b/>
                <w:sz w:val="20"/>
                <w:szCs w:val="18"/>
              </w:rPr>
            </w:pPr>
            <w:r w:rsidRPr="00FC64BF">
              <w:rPr>
                <w:rFonts w:cs="Times New Roman"/>
                <w:b/>
                <w:sz w:val="20"/>
                <w:szCs w:val="18"/>
              </w:rPr>
              <w:t>Drugi izvori (EUR)</w:t>
            </w:r>
          </w:p>
        </w:tc>
      </w:tr>
      <w:tr w:rsidR="002B21AB" w:rsidRPr="002B21AB" w14:paraId="26D45E00" w14:textId="77777777" w:rsidTr="002A04BF">
        <w:tc>
          <w:tcPr>
            <w:tcW w:w="1586" w:type="pct"/>
            <w:shd w:val="clear" w:color="auto" w:fill="F2F2F2" w:themeFill="background1" w:themeFillShade="F2"/>
            <w:vAlign w:val="center"/>
          </w:tcPr>
          <w:p w14:paraId="0D2F05D6" w14:textId="263F5258" w:rsidR="002B21AB" w:rsidRPr="00FC64BF" w:rsidRDefault="002B21AB" w:rsidP="0061594B">
            <w:pPr>
              <w:rPr>
                <w:rFonts w:cs="Times New Roman"/>
                <w:sz w:val="20"/>
                <w:szCs w:val="18"/>
              </w:rPr>
            </w:pPr>
            <w:r w:rsidRPr="00FC64BF">
              <w:rPr>
                <w:rFonts w:cs="Times New Roman"/>
                <w:sz w:val="20"/>
                <w:szCs w:val="18"/>
              </w:rPr>
              <w:t>Izvori financiranja u 2024. (proračunska pozicija i predviđeni iznos sredstava)</w:t>
            </w:r>
          </w:p>
        </w:tc>
        <w:tc>
          <w:tcPr>
            <w:tcW w:w="1305" w:type="pct"/>
            <w:vAlign w:val="center"/>
          </w:tcPr>
          <w:p w14:paraId="0F344668" w14:textId="77777777" w:rsidR="002B21AB" w:rsidRPr="00FC64BF" w:rsidRDefault="002B21AB" w:rsidP="002B21AB">
            <w:pPr>
              <w:jc w:val="center"/>
              <w:rPr>
                <w:rFonts w:cs="Times New Roman"/>
                <w:sz w:val="20"/>
                <w:szCs w:val="18"/>
              </w:rPr>
            </w:pPr>
            <w:r w:rsidRPr="00FC64BF">
              <w:rPr>
                <w:rFonts w:cs="Times New Roman"/>
                <w:sz w:val="20"/>
                <w:szCs w:val="18"/>
              </w:rPr>
              <w:t>A769066 – Potpore</w:t>
            </w:r>
          </w:p>
          <w:p w14:paraId="637DCA70" w14:textId="77777777" w:rsidR="002B21AB" w:rsidRPr="00FC64BF" w:rsidRDefault="002B21AB" w:rsidP="002B21AB">
            <w:pPr>
              <w:jc w:val="center"/>
              <w:rPr>
                <w:rFonts w:cs="Times New Roman"/>
                <w:sz w:val="20"/>
                <w:szCs w:val="18"/>
              </w:rPr>
            </w:pPr>
            <w:r w:rsidRPr="00FC64BF">
              <w:rPr>
                <w:rFonts w:cs="Times New Roman"/>
                <w:sz w:val="20"/>
                <w:szCs w:val="18"/>
              </w:rPr>
              <w:t>romskim studijima i</w:t>
            </w:r>
          </w:p>
          <w:p w14:paraId="6B46D31C" w14:textId="281F7E88" w:rsidR="002B21AB" w:rsidRPr="00FC64BF" w:rsidRDefault="002B21AB" w:rsidP="002B21AB">
            <w:pPr>
              <w:jc w:val="center"/>
              <w:rPr>
                <w:rFonts w:cs="Times New Roman"/>
                <w:sz w:val="20"/>
                <w:szCs w:val="18"/>
              </w:rPr>
            </w:pPr>
            <w:r w:rsidRPr="00FC64BF">
              <w:rPr>
                <w:rFonts w:cs="Times New Roman"/>
                <w:sz w:val="20"/>
                <w:szCs w:val="18"/>
              </w:rPr>
              <w:t>studentima Romima 215.011,00</w:t>
            </w:r>
          </w:p>
        </w:tc>
        <w:tc>
          <w:tcPr>
            <w:tcW w:w="1095" w:type="pct"/>
            <w:vAlign w:val="center"/>
          </w:tcPr>
          <w:p w14:paraId="171DBC14" w14:textId="77777777" w:rsidR="002B21AB" w:rsidRPr="00FC64BF" w:rsidRDefault="002B21AB" w:rsidP="002B21AB">
            <w:pPr>
              <w:jc w:val="center"/>
              <w:rPr>
                <w:rFonts w:cs="Times New Roman"/>
                <w:sz w:val="20"/>
                <w:szCs w:val="18"/>
              </w:rPr>
            </w:pPr>
            <w:r w:rsidRPr="00FC64BF">
              <w:rPr>
                <w:rFonts w:cs="Times New Roman"/>
                <w:sz w:val="20"/>
                <w:szCs w:val="18"/>
              </w:rPr>
              <w:t>0,00</w:t>
            </w:r>
          </w:p>
        </w:tc>
        <w:tc>
          <w:tcPr>
            <w:tcW w:w="1014" w:type="pct"/>
            <w:vAlign w:val="center"/>
          </w:tcPr>
          <w:p w14:paraId="6AC51C1C" w14:textId="77777777" w:rsidR="002B21AB" w:rsidRPr="00FC64BF" w:rsidRDefault="002B21AB" w:rsidP="002B21AB">
            <w:pPr>
              <w:jc w:val="center"/>
              <w:rPr>
                <w:rFonts w:cs="Times New Roman"/>
                <w:sz w:val="20"/>
                <w:szCs w:val="18"/>
              </w:rPr>
            </w:pPr>
            <w:r w:rsidRPr="00FC64BF">
              <w:rPr>
                <w:rFonts w:cs="Times New Roman"/>
                <w:sz w:val="20"/>
                <w:szCs w:val="18"/>
              </w:rPr>
              <w:t>0,00</w:t>
            </w:r>
          </w:p>
        </w:tc>
      </w:tr>
      <w:tr w:rsidR="002B21AB" w:rsidRPr="002B21AB" w14:paraId="6DC83415" w14:textId="77777777" w:rsidTr="002A04BF">
        <w:tc>
          <w:tcPr>
            <w:tcW w:w="1586" w:type="pct"/>
            <w:vMerge w:val="restart"/>
            <w:shd w:val="clear" w:color="auto" w:fill="F2F2F2" w:themeFill="background1" w:themeFillShade="F2"/>
            <w:vAlign w:val="center"/>
          </w:tcPr>
          <w:p w14:paraId="3C26FB58" w14:textId="77777777" w:rsidR="002B21AB" w:rsidRPr="00FC64BF" w:rsidRDefault="002B21AB" w:rsidP="002B21AB">
            <w:pPr>
              <w:rPr>
                <w:rFonts w:cs="Times New Roman"/>
                <w:b/>
                <w:sz w:val="20"/>
                <w:szCs w:val="18"/>
              </w:rPr>
            </w:pPr>
            <w:r w:rsidRPr="00FC64BF">
              <w:rPr>
                <w:rFonts w:cs="Times New Roman"/>
                <w:b/>
                <w:sz w:val="20"/>
                <w:szCs w:val="18"/>
              </w:rPr>
              <w:t xml:space="preserve">UKUPNO UTROŠENA SREDSTVA PO IZVORU </w:t>
            </w:r>
          </w:p>
        </w:tc>
        <w:tc>
          <w:tcPr>
            <w:tcW w:w="1305" w:type="pct"/>
            <w:vAlign w:val="center"/>
          </w:tcPr>
          <w:p w14:paraId="3E85348A" w14:textId="77777777" w:rsidR="002B21AB" w:rsidRPr="00FC64BF" w:rsidRDefault="002B21AB" w:rsidP="002B21AB">
            <w:pPr>
              <w:jc w:val="center"/>
              <w:rPr>
                <w:rFonts w:cs="Times New Roman"/>
                <w:b/>
                <w:sz w:val="20"/>
                <w:szCs w:val="18"/>
              </w:rPr>
            </w:pPr>
            <w:r w:rsidRPr="00FC64BF">
              <w:rPr>
                <w:rFonts w:cs="Times New Roman"/>
                <w:b/>
                <w:sz w:val="20"/>
                <w:szCs w:val="18"/>
              </w:rPr>
              <w:t>Državni proračun (EUR)</w:t>
            </w:r>
          </w:p>
        </w:tc>
        <w:tc>
          <w:tcPr>
            <w:tcW w:w="1095" w:type="pct"/>
            <w:vAlign w:val="center"/>
          </w:tcPr>
          <w:p w14:paraId="173D563F" w14:textId="77777777" w:rsidR="002B21AB" w:rsidRPr="00FC64BF" w:rsidRDefault="002B21AB" w:rsidP="002B21AB">
            <w:pPr>
              <w:jc w:val="center"/>
              <w:rPr>
                <w:rFonts w:cs="Times New Roman"/>
                <w:b/>
                <w:sz w:val="20"/>
                <w:szCs w:val="18"/>
              </w:rPr>
            </w:pPr>
            <w:r w:rsidRPr="00FC64BF">
              <w:rPr>
                <w:rFonts w:cs="Times New Roman"/>
                <w:b/>
                <w:sz w:val="20"/>
                <w:szCs w:val="18"/>
              </w:rPr>
              <w:t>EU financiranje (EUR)</w:t>
            </w:r>
          </w:p>
        </w:tc>
        <w:tc>
          <w:tcPr>
            <w:tcW w:w="1014" w:type="pct"/>
            <w:vAlign w:val="center"/>
          </w:tcPr>
          <w:p w14:paraId="272266A3" w14:textId="77777777" w:rsidR="002B21AB" w:rsidRPr="00FC64BF" w:rsidRDefault="002B21AB" w:rsidP="002B21AB">
            <w:pPr>
              <w:jc w:val="center"/>
              <w:rPr>
                <w:rFonts w:cs="Times New Roman"/>
                <w:b/>
                <w:sz w:val="20"/>
                <w:szCs w:val="18"/>
              </w:rPr>
            </w:pPr>
            <w:r w:rsidRPr="00FC64BF">
              <w:rPr>
                <w:rFonts w:cs="Times New Roman"/>
                <w:b/>
                <w:sz w:val="20"/>
                <w:szCs w:val="18"/>
              </w:rPr>
              <w:t>Drugi izvori (EUR)</w:t>
            </w:r>
          </w:p>
        </w:tc>
      </w:tr>
      <w:tr w:rsidR="002B21AB" w:rsidRPr="002B21AB" w14:paraId="12A29C8A" w14:textId="77777777" w:rsidTr="002A04BF">
        <w:tc>
          <w:tcPr>
            <w:tcW w:w="1586" w:type="pct"/>
            <w:vMerge/>
            <w:shd w:val="clear" w:color="auto" w:fill="F2F2F2" w:themeFill="background1" w:themeFillShade="F2"/>
            <w:vAlign w:val="center"/>
          </w:tcPr>
          <w:p w14:paraId="348304AA" w14:textId="77777777" w:rsidR="002B21AB" w:rsidRPr="00FC64BF" w:rsidRDefault="002B21AB" w:rsidP="002B21AB">
            <w:pPr>
              <w:rPr>
                <w:rFonts w:cs="Times New Roman"/>
                <w:b/>
                <w:sz w:val="20"/>
                <w:szCs w:val="18"/>
              </w:rPr>
            </w:pPr>
          </w:p>
        </w:tc>
        <w:tc>
          <w:tcPr>
            <w:tcW w:w="1305" w:type="pct"/>
            <w:vAlign w:val="center"/>
          </w:tcPr>
          <w:p w14:paraId="2156AB20" w14:textId="186A6B67" w:rsidR="002B21AB" w:rsidRPr="00FC64BF" w:rsidRDefault="002B21AB" w:rsidP="002B21AB">
            <w:pPr>
              <w:jc w:val="center"/>
              <w:rPr>
                <w:rFonts w:eastAsia="Calibri" w:cs="Times New Roman"/>
                <w:sz w:val="20"/>
              </w:rPr>
            </w:pPr>
            <w:r w:rsidRPr="00FC64BF">
              <w:rPr>
                <w:rFonts w:eastAsia="Calibri" w:cs="Times New Roman"/>
                <w:sz w:val="20"/>
              </w:rPr>
              <w:t>A769066 – Potpore romskim studijima i studentima Romima</w:t>
            </w:r>
            <w:r w:rsidRPr="00FC64BF">
              <w:rPr>
                <w:rFonts w:eastAsia="Calibri" w:cs="Times New Roman"/>
                <w:b/>
                <w:sz w:val="20"/>
              </w:rPr>
              <w:t xml:space="preserve"> </w:t>
            </w:r>
            <w:r w:rsidRPr="002B21AB">
              <w:rPr>
                <w:rFonts w:cs="Times New Roman"/>
                <w:b/>
                <w:sz w:val="22"/>
              </w:rPr>
              <w:t>183.368,00</w:t>
            </w:r>
          </w:p>
        </w:tc>
        <w:tc>
          <w:tcPr>
            <w:tcW w:w="1095" w:type="pct"/>
            <w:vAlign w:val="center"/>
          </w:tcPr>
          <w:p w14:paraId="6B8DD996" w14:textId="77777777" w:rsidR="002B21AB" w:rsidRPr="00FC64BF" w:rsidRDefault="002B21AB" w:rsidP="002B21AB">
            <w:pPr>
              <w:jc w:val="center"/>
              <w:rPr>
                <w:rFonts w:cs="Times New Roman"/>
                <w:b/>
                <w:sz w:val="20"/>
                <w:szCs w:val="18"/>
              </w:rPr>
            </w:pPr>
            <w:r w:rsidRPr="00FC64BF">
              <w:rPr>
                <w:rFonts w:cs="Times New Roman"/>
                <w:b/>
                <w:sz w:val="20"/>
                <w:szCs w:val="18"/>
              </w:rPr>
              <w:t>0,00</w:t>
            </w:r>
          </w:p>
          <w:p w14:paraId="14EFBB67" w14:textId="77777777" w:rsidR="002B21AB" w:rsidRPr="00FC64BF" w:rsidRDefault="002B21AB" w:rsidP="002B21AB">
            <w:pPr>
              <w:jc w:val="center"/>
              <w:rPr>
                <w:rFonts w:cs="Times New Roman"/>
                <w:b/>
                <w:sz w:val="20"/>
                <w:szCs w:val="18"/>
              </w:rPr>
            </w:pPr>
          </w:p>
        </w:tc>
        <w:tc>
          <w:tcPr>
            <w:tcW w:w="1014" w:type="pct"/>
            <w:vAlign w:val="center"/>
          </w:tcPr>
          <w:p w14:paraId="4BF50A8D" w14:textId="77777777" w:rsidR="002B21AB" w:rsidRPr="00FC64BF" w:rsidRDefault="002B21AB" w:rsidP="002B21AB">
            <w:pPr>
              <w:jc w:val="center"/>
              <w:rPr>
                <w:rFonts w:cs="Times New Roman"/>
                <w:b/>
                <w:sz w:val="20"/>
                <w:szCs w:val="18"/>
              </w:rPr>
            </w:pPr>
            <w:r w:rsidRPr="00FC64BF">
              <w:rPr>
                <w:rFonts w:cs="Times New Roman"/>
                <w:b/>
                <w:sz w:val="20"/>
                <w:szCs w:val="18"/>
              </w:rPr>
              <w:t xml:space="preserve">0,00 </w:t>
            </w:r>
          </w:p>
        </w:tc>
      </w:tr>
      <w:tr w:rsidR="002B21AB" w:rsidRPr="002B21AB" w14:paraId="5B289B7E" w14:textId="77777777" w:rsidTr="005612A7">
        <w:trPr>
          <w:cantSplit/>
          <w:trHeight w:val="394"/>
        </w:trPr>
        <w:tc>
          <w:tcPr>
            <w:tcW w:w="1586" w:type="pct"/>
            <w:shd w:val="clear" w:color="auto" w:fill="F2F2F2" w:themeFill="background1" w:themeFillShade="F2"/>
            <w:vAlign w:val="center"/>
          </w:tcPr>
          <w:p w14:paraId="035C2165" w14:textId="10450689" w:rsidR="002B21AB" w:rsidRPr="00FC64BF" w:rsidRDefault="002B21AB" w:rsidP="002B21AB">
            <w:pPr>
              <w:rPr>
                <w:rFonts w:cs="Times New Roman"/>
                <w:sz w:val="20"/>
                <w:szCs w:val="18"/>
              </w:rPr>
            </w:pPr>
            <w:r w:rsidRPr="00FC64BF">
              <w:rPr>
                <w:rFonts w:cs="Times New Roman"/>
                <w:sz w:val="20"/>
                <w:szCs w:val="18"/>
              </w:rPr>
              <w:t xml:space="preserve">ROK PROVEDBE AKTIVNOSTI </w:t>
            </w:r>
          </w:p>
        </w:tc>
        <w:tc>
          <w:tcPr>
            <w:tcW w:w="3414" w:type="pct"/>
            <w:gridSpan w:val="3"/>
            <w:vAlign w:val="center"/>
          </w:tcPr>
          <w:p w14:paraId="0079C935" w14:textId="3F2E3AAD" w:rsidR="002B21AB" w:rsidRPr="00FC64BF" w:rsidRDefault="002B21AB" w:rsidP="002B21AB">
            <w:pPr>
              <w:rPr>
                <w:rFonts w:cs="Times New Roman"/>
                <w:sz w:val="20"/>
                <w:szCs w:val="18"/>
              </w:rPr>
            </w:pPr>
            <w:r w:rsidRPr="00FC64BF">
              <w:rPr>
                <w:rFonts w:cs="Times New Roman"/>
                <w:sz w:val="20"/>
                <w:szCs w:val="18"/>
              </w:rPr>
              <w:t xml:space="preserve">III. kvartal 2025. </w:t>
            </w:r>
          </w:p>
        </w:tc>
      </w:tr>
    </w:tbl>
    <w:p w14:paraId="727B721B" w14:textId="77777777" w:rsidR="00A501B8" w:rsidRDefault="00A501B8" w:rsidP="004A3B23">
      <w:pPr>
        <w:spacing w:after="0" w:line="276" w:lineRule="auto"/>
        <w:jc w:val="both"/>
        <w:rPr>
          <w:rFonts w:eastAsia="Calibri" w:cs="Times New Roman"/>
          <w:szCs w:val="24"/>
        </w:rPr>
      </w:pPr>
    </w:p>
    <w:p w14:paraId="69D9A665" w14:textId="77777777" w:rsidR="003379F1" w:rsidRPr="00FC64BF" w:rsidRDefault="003379F1" w:rsidP="004A3B23">
      <w:pPr>
        <w:spacing w:after="0" w:line="276" w:lineRule="auto"/>
        <w:jc w:val="both"/>
        <w:rPr>
          <w:rFonts w:eastAsia="Calibri" w:cs="Times New Roman"/>
          <w:szCs w:val="24"/>
        </w:rPr>
      </w:pPr>
    </w:p>
    <w:p w14:paraId="1B05B2A6" w14:textId="53D6EC50" w:rsidR="00CA388F" w:rsidRPr="00FC64BF" w:rsidRDefault="002D20C6" w:rsidP="00D36147">
      <w:pPr>
        <w:spacing w:after="0" w:line="276" w:lineRule="auto"/>
        <w:jc w:val="both"/>
        <w:rPr>
          <w:rFonts w:cs="Times New Roman"/>
          <w:i/>
          <w:iCs/>
        </w:rPr>
      </w:pPr>
      <w:r w:rsidRPr="00FC64BF">
        <w:rPr>
          <w:rFonts w:cs="Times New Roman"/>
          <w:i/>
          <w:iCs/>
        </w:rPr>
        <w:t>Aktivnost 4.4.2. Sufinanciranje smještaja u studentskim domovima studentima pripadni</w:t>
      </w:r>
      <w:r w:rsidR="00CA388F" w:rsidRPr="00FC64BF">
        <w:rPr>
          <w:rFonts w:cs="Times New Roman"/>
          <w:i/>
          <w:iCs/>
        </w:rPr>
        <w:t>cima romske nacionalne manjine</w:t>
      </w:r>
    </w:p>
    <w:p w14:paraId="6A31D1FD" w14:textId="45A71081" w:rsidR="00CA388F" w:rsidRPr="00FC64BF" w:rsidRDefault="00CA388F" w:rsidP="00D36147">
      <w:pPr>
        <w:spacing w:after="0" w:line="276" w:lineRule="auto"/>
        <w:jc w:val="both"/>
        <w:rPr>
          <w:rFonts w:cs="Times New Roman"/>
          <w:i/>
          <w:iCs/>
        </w:rPr>
      </w:pPr>
      <w:r w:rsidRPr="00FC64BF">
        <w:rPr>
          <w:rFonts w:cs="Times New Roman"/>
          <w:i/>
          <w:iCs/>
        </w:rPr>
        <w:t xml:space="preserve">Nositelj provedbe: </w:t>
      </w:r>
      <w:r w:rsidR="00F36CF1" w:rsidRPr="00FC64BF">
        <w:rPr>
          <w:rFonts w:cs="Times New Roman"/>
          <w:i/>
          <w:iCs/>
        </w:rPr>
        <w:t>Ministarstvo znanosti, obrazovanja i mladih</w:t>
      </w:r>
      <w:r w:rsidRPr="00FC64BF">
        <w:rPr>
          <w:rFonts w:cs="Times New Roman"/>
          <w:i/>
          <w:iCs/>
        </w:rPr>
        <w:t xml:space="preserve"> </w:t>
      </w:r>
    </w:p>
    <w:p w14:paraId="44FED1C7" w14:textId="6456D75B" w:rsidR="002D20C6" w:rsidRPr="00FC64BF" w:rsidRDefault="00CA388F" w:rsidP="00D36147">
      <w:pPr>
        <w:spacing w:after="0" w:line="276" w:lineRule="auto"/>
        <w:jc w:val="both"/>
        <w:rPr>
          <w:rFonts w:cs="Times New Roman"/>
          <w:i/>
          <w:iCs/>
        </w:rPr>
      </w:pPr>
      <w:r w:rsidRPr="00FC64BF">
        <w:rPr>
          <w:rFonts w:cs="Times New Roman"/>
          <w:i/>
          <w:iCs/>
        </w:rPr>
        <w:t xml:space="preserve">Partneri: </w:t>
      </w:r>
      <w:r w:rsidR="00794AB5" w:rsidRPr="00FC64BF">
        <w:rPr>
          <w:rFonts w:cs="Times New Roman"/>
          <w:i/>
          <w:iCs/>
        </w:rPr>
        <w:t>V</w:t>
      </w:r>
      <w:r w:rsidRPr="00FC64BF">
        <w:rPr>
          <w:rFonts w:cs="Times New Roman"/>
          <w:i/>
          <w:iCs/>
        </w:rPr>
        <w:t>i</w:t>
      </w:r>
      <w:r w:rsidR="007735D4" w:rsidRPr="00FC64BF">
        <w:rPr>
          <w:rFonts w:cs="Times New Roman"/>
          <w:i/>
          <w:iCs/>
        </w:rPr>
        <w:t>s</w:t>
      </w:r>
      <w:r w:rsidRPr="00FC64BF">
        <w:rPr>
          <w:rFonts w:cs="Times New Roman"/>
          <w:i/>
          <w:iCs/>
        </w:rPr>
        <w:t>oka učilišta, studentski centri</w:t>
      </w:r>
    </w:p>
    <w:p w14:paraId="6340E78E" w14:textId="50286C17" w:rsidR="00524406" w:rsidRPr="00802CE3" w:rsidRDefault="00524406" w:rsidP="00D36147">
      <w:pPr>
        <w:spacing w:after="0" w:line="276" w:lineRule="auto"/>
        <w:jc w:val="both"/>
        <w:rPr>
          <w:rFonts w:cs="Times New Roman"/>
          <w:i/>
          <w:iCs/>
          <w:szCs w:val="24"/>
        </w:rPr>
      </w:pPr>
    </w:p>
    <w:p w14:paraId="39C79C33" w14:textId="78D9B2D4" w:rsidR="00665E89" w:rsidRPr="00802CE3" w:rsidRDefault="00665E89" w:rsidP="00D36147">
      <w:pPr>
        <w:spacing w:after="0" w:line="276" w:lineRule="auto"/>
        <w:jc w:val="both"/>
        <w:rPr>
          <w:rFonts w:cs="Times New Roman"/>
          <w:i/>
          <w:iCs/>
          <w:szCs w:val="24"/>
        </w:rPr>
      </w:pPr>
      <w:r w:rsidRPr="00A86FA4">
        <w:rPr>
          <w:rFonts w:eastAsia="Calibri"/>
          <w:szCs w:val="24"/>
        </w:rPr>
        <w:t xml:space="preserve">Kako bi se osigurali preduvjeti te potaknulo na daljnje školovanje, uz studentske stipendije studentima pripadnicima romske nacionalne manjine osigurava se smještaj u studentski dom. </w:t>
      </w:r>
      <w:r w:rsidRPr="00A86FA4">
        <w:rPr>
          <w:rFonts w:eastAsia="Calibri"/>
          <w:szCs w:val="24"/>
        </w:rPr>
        <w:lastRenderedPageBreak/>
        <w:t xml:space="preserve">U 2024. </w:t>
      </w:r>
      <w:r w:rsidR="001F2E37">
        <w:rPr>
          <w:rFonts w:eastAsia="Calibri"/>
          <w:szCs w:val="24"/>
        </w:rPr>
        <w:t xml:space="preserve">godini </w:t>
      </w:r>
      <w:r w:rsidRPr="00A86FA4">
        <w:rPr>
          <w:rFonts w:eastAsia="Calibri"/>
          <w:szCs w:val="24"/>
        </w:rPr>
        <w:t>Ministarstvo znanosti</w:t>
      </w:r>
      <w:r w:rsidR="003379F1" w:rsidRPr="00A86FA4">
        <w:rPr>
          <w:rFonts w:eastAsia="Calibri"/>
          <w:szCs w:val="24"/>
        </w:rPr>
        <w:t>,</w:t>
      </w:r>
      <w:r w:rsidR="00550221">
        <w:rPr>
          <w:rFonts w:eastAsia="Calibri"/>
          <w:szCs w:val="24"/>
        </w:rPr>
        <w:t xml:space="preserve"> </w:t>
      </w:r>
      <w:r w:rsidRPr="00A86FA4">
        <w:rPr>
          <w:rFonts w:eastAsia="Calibri"/>
          <w:szCs w:val="24"/>
        </w:rPr>
        <w:t>obrazovanja</w:t>
      </w:r>
      <w:r w:rsidR="003379F1" w:rsidRPr="00A86FA4">
        <w:rPr>
          <w:rFonts w:eastAsia="Calibri"/>
          <w:szCs w:val="24"/>
        </w:rPr>
        <w:t xml:space="preserve"> i mladih</w:t>
      </w:r>
      <w:r w:rsidRPr="00A86FA4">
        <w:rPr>
          <w:rFonts w:eastAsia="Calibri"/>
          <w:szCs w:val="24"/>
        </w:rPr>
        <w:t xml:space="preserve"> izdalo je preporuke te putem studentskih centara osiguralo smještaj za 18 studenata pripadnika romske nacionalne manjine.</w:t>
      </w:r>
    </w:p>
    <w:p w14:paraId="4C002287" w14:textId="77777777" w:rsidR="00524406" w:rsidRPr="00A86FA4" w:rsidRDefault="00524406" w:rsidP="00D36147">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2845"/>
        <w:gridCol w:w="2253"/>
        <w:gridCol w:w="2090"/>
        <w:gridCol w:w="1874"/>
      </w:tblGrid>
      <w:tr w:rsidR="00665E89" w:rsidRPr="00665E89" w14:paraId="134B0C03" w14:textId="77777777" w:rsidTr="00B66CD2">
        <w:trPr>
          <w:trHeight w:val="606"/>
        </w:trPr>
        <w:tc>
          <w:tcPr>
            <w:tcW w:w="1570" w:type="pct"/>
            <w:shd w:val="clear" w:color="auto" w:fill="F2F2F2" w:themeFill="background1" w:themeFillShade="F2"/>
            <w:vAlign w:val="center"/>
          </w:tcPr>
          <w:p w14:paraId="420F88FF" w14:textId="77777777" w:rsidR="005F4A96" w:rsidRPr="00FC64BF" w:rsidRDefault="005F4A96" w:rsidP="002A04BF">
            <w:pPr>
              <w:rPr>
                <w:rFonts w:cs="Times New Roman"/>
                <w:b/>
                <w:sz w:val="20"/>
                <w:szCs w:val="20"/>
              </w:rPr>
            </w:pPr>
            <w:r w:rsidRPr="00FC64BF">
              <w:rPr>
                <w:rFonts w:cs="Times New Roman"/>
                <w:b/>
                <w:sz w:val="20"/>
                <w:szCs w:val="20"/>
              </w:rPr>
              <w:t>Pokazatelji provedbe i pokazatelji uspješnosti provedbe</w:t>
            </w:r>
          </w:p>
        </w:tc>
        <w:tc>
          <w:tcPr>
            <w:tcW w:w="1243" w:type="pct"/>
            <w:shd w:val="clear" w:color="auto" w:fill="F2F2F2" w:themeFill="background1" w:themeFillShade="F2"/>
            <w:vAlign w:val="center"/>
          </w:tcPr>
          <w:p w14:paraId="690768F7" w14:textId="7D68E726" w:rsidR="005F4A96" w:rsidRPr="00FC64BF" w:rsidRDefault="005F4A96" w:rsidP="002A04BF">
            <w:pPr>
              <w:jc w:val="center"/>
              <w:rPr>
                <w:rFonts w:eastAsia="Calibri" w:cs="Times New Roman"/>
                <w:b/>
                <w:strike/>
                <w:sz w:val="20"/>
                <w:szCs w:val="20"/>
              </w:rPr>
            </w:pPr>
            <w:r w:rsidRPr="00FC64BF">
              <w:rPr>
                <w:rFonts w:eastAsia="Calibri" w:cs="Times New Roman"/>
                <w:b/>
                <w:sz w:val="20"/>
                <w:szCs w:val="20"/>
              </w:rPr>
              <w:t>Broj studenata na viso</w:t>
            </w:r>
            <w:r w:rsidR="00C94FB3" w:rsidRPr="00FC64BF">
              <w:rPr>
                <w:rFonts w:eastAsia="Calibri" w:cs="Times New Roman"/>
                <w:b/>
                <w:sz w:val="20"/>
                <w:szCs w:val="20"/>
              </w:rPr>
              <w:t>kim</w:t>
            </w:r>
            <w:r w:rsidRPr="00FC64BF">
              <w:rPr>
                <w:rFonts w:eastAsia="Calibri" w:cs="Times New Roman"/>
                <w:b/>
                <w:sz w:val="20"/>
                <w:szCs w:val="20"/>
              </w:rPr>
              <w:t xml:space="preserve"> učilišt</w:t>
            </w:r>
            <w:r w:rsidR="00C94FB3" w:rsidRPr="00FC64BF">
              <w:rPr>
                <w:rFonts w:eastAsia="Calibri" w:cs="Times New Roman"/>
                <w:b/>
                <w:sz w:val="20"/>
                <w:szCs w:val="20"/>
              </w:rPr>
              <w:t>ima</w:t>
            </w:r>
          </w:p>
        </w:tc>
        <w:tc>
          <w:tcPr>
            <w:tcW w:w="1153" w:type="pct"/>
            <w:shd w:val="clear" w:color="auto" w:fill="F2F2F2" w:themeFill="background1" w:themeFillShade="F2"/>
            <w:vAlign w:val="center"/>
          </w:tcPr>
          <w:p w14:paraId="5C52ACC3" w14:textId="2B9EDC21" w:rsidR="005F4A96" w:rsidRPr="00FC64BF" w:rsidRDefault="00C94FB3" w:rsidP="002A04BF">
            <w:pPr>
              <w:jc w:val="center"/>
              <w:rPr>
                <w:rFonts w:cs="Times New Roman"/>
                <w:b/>
                <w:sz w:val="20"/>
                <w:szCs w:val="20"/>
              </w:rPr>
            </w:pPr>
            <w:r w:rsidRPr="00FC64BF">
              <w:rPr>
                <w:rFonts w:eastAsia="Calibri" w:cs="Times New Roman"/>
                <w:b/>
                <w:sz w:val="20"/>
                <w:szCs w:val="20"/>
              </w:rPr>
              <w:t>Broj studenata za koje je osiguran smještaj u studentskom domu</w:t>
            </w:r>
          </w:p>
        </w:tc>
        <w:tc>
          <w:tcPr>
            <w:tcW w:w="1034" w:type="pct"/>
            <w:shd w:val="clear" w:color="auto" w:fill="F2F2F2" w:themeFill="background1" w:themeFillShade="F2"/>
            <w:vAlign w:val="center"/>
          </w:tcPr>
          <w:p w14:paraId="6ABA974B" w14:textId="6FDEE442" w:rsidR="005F4A96" w:rsidRPr="00FC64BF" w:rsidRDefault="003902FD" w:rsidP="003B763E">
            <w:pPr>
              <w:jc w:val="center"/>
              <w:rPr>
                <w:rFonts w:cs="Times New Roman"/>
                <w:b/>
                <w:sz w:val="20"/>
                <w:szCs w:val="20"/>
              </w:rPr>
            </w:pPr>
            <w:r w:rsidRPr="00FC64BF">
              <w:rPr>
                <w:rFonts w:cs="Times New Roman"/>
                <w:b/>
                <w:sz w:val="20"/>
                <w:szCs w:val="20"/>
              </w:rPr>
              <w:t>Omjer godina smještaja u</w:t>
            </w:r>
            <w:r w:rsidR="003B763E" w:rsidRPr="00FC64BF">
              <w:rPr>
                <w:rFonts w:cs="Times New Roman"/>
                <w:b/>
                <w:sz w:val="20"/>
                <w:szCs w:val="20"/>
              </w:rPr>
              <w:t xml:space="preserve"> </w:t>
            </w:r>
            <w:r w:rsidRPr="00FC64BF">
              <w:rPr>
                <w:rFonts w:cs="Times New Roman"/>
                <w:b/>
                <w:sz w:val="20"/>
                <w:szCs w:val="20"/>
              </w:rPr>
              <w:t>studentskom domu i</w:t>
            </w:r>
            <w:r w:rsidR="003B763E" w:rsidRPr="00FC64BF">
              <w:rPr>
                <w:rFonts w:cs="Times New Roman"/>
                <w:b/>
                <w:sz w:val="20"/>
                <w:szCs w:val="20"/>
              </w:rPr>
              <w:t xml:space="preserve"> </w:t>
            </w:r>
            <w:r w:rsidRPr="00FC64BF">
              <w:rPr>
                <w:rFonts w:cs="Times New Roman"/>
                <w:b/>
                <w:sz w:val="20"/>
                <w:szCs w:val="20"/>
              </w:rPr>
              <w:t>trajanja studijskog</w:t>
            </w:r>
            <w:r w:rsidR="003B763E" w:rsidRPr="00FC64BF">
              <w:rPr>
                <w:rFonts w:cs="Times New Roman"/>
                <w:b/>
                <w:sz w:val="20"/>
                <w:szCs w:val="20"/>
              </w:rPr>
              <w:t xml:space="preserve"> </w:t>
            </w:r>
            <w:r w:rsidRPr="00FC64BF">
              <w:rPr>
                <w:rFonts w:cs="Times New Roman"/>
                <w:b/>
                <w:sz w:val="20"/>
                <w:szCs w:val="20"/>
              </w:rPr>
              <w:t>programa</w:t>
            </w:r>
          </w:p>
        </w:tc>
      </w:tr>
      <w:tr w:rsidR="00665E89" w:rsidRPr="00665E89" w14:paraId="3EB0A900" w14:textId="77777777" w:rsidTr="0062352A">
        <w:tc>
          <w:tcPr>
            <w:tcW w:w="1570" w:type="pct"/>
            <w:shd w:val="clear" w:color="auto" w:fill="F2F2F2" w:themeFill="background1" w:themeFillShade="F2"/>
            <w:vAlign w:val="center"/>
          </w:tcPr>
          <w:p w14:paraId="41189AEB" w14:textId="43613E97" w:rsidR="00665E89" w:rsidRPr="00FC64BF" w:rsidRDefault="00665E89" w:rsidP="0061594B">
            <w:pPr>
              <w:rPr>
                <w:rFonts w:cs="Times New Roman"/>
                <w:sz w:val="20"/>
                <w:szCs w:val="20"/>
              </w:rPr>
            </w:pPr>
            <w:r w:rsidRPr="00FC64BF">
              <w:rPr>
                <w:rFonts w:cs="Times New Roman"/>
                <w:sz w:val="20"/>
                <w:szCs w:val="20"/>
              </w:rPr>
              <w:t xml:space="preserve">Planirani ishodi za pokazatelje provedbe u 2024. </w:t>
            </w:r>
          </w:p>
        </w:tc>
        <w:tc>
          <w:tcPr>
            <w:tcW w:w="1243" w:type="pct"/>
          </w:tcPr>
          <w:p w14:paraId="67FBFC51" w14:textId="63140A9B" w:rsidR="00665E89" w:rsidRPr="00FC64BF" w:rsidRDefault="00665E89" w:rsidP="00665E89">
            <w:pPr>
              <w:jc w:val="center"/>
              <w:rPr>
                <w:rFonts w:cs="Times New Roman"/>
                <w:sz w:val="20"/>
                <w:szCs w:val="20"/>
              </w:rPr>
            </w:pPr>
            <w:r w:rsidRPr="00665E89">
              <w:rPr>
                <w:rFonts w:cs="Times New Roman"/>
                <w:sz w:val="22"/>
              </w:rPr>
              <w:t>60</w:t>
            </w:r>
          </w:p>
        </w:tc>
        <w:tc>
          <w:tcPr>
            <w:tcW w:w="1153" w:type="pct"/>
          </w:tcPr>
          <w:p w14:paraId="490B8C30" w14:textId="12E7D8EB" w:rsidR="00665E89" w:rsidRPr="00FC64BF" w:rsidRDefault="00665E89" w:rsidP="00665E89">
            <w:pPr>
              <w:jc w:val="center"/>
              <w:rPr>
                <w:rFonts w:cs="Times New Roman"/>
                <w:sz w:val="20"/>
                <w:szCs w:val="20"/>
              </w:rPr>
            </w:pPr>
            <w:r w:rsidRPr="00665E89">
              <w:rPr>
                <w:rFonts w:cs="Times New Roman"/>
                <w:sz w:val="22"/>
              </w:rPr>
              <w:t>30</w:t>
            </w:r>
          </w:p>
        </w:tc>
        <w:tc>
          <w:tcPr>
            <w:tcW w:w="1034" w:type="pct"/>
          </w:tcPr>
          <w:p w14:paraId="5B0DE254" w14:textId="63796578" w:rsidR="00665E89" w:rsidRPr="00FC64BF" w:rsidRDefault="00665E89" w:rsidP="00665E89">
            <w:pPr>
              <w:jc w:val="center"/>
              <w:rPr>
                <w:rFonts w:cs="Times New Roman"/>
                <w:sz w:val="20"/>
                <w:szCs w:val="20"/>
              </w:rPr>
            </w:pPr>
            <w:r w:rsidRPr="00665E89">
              <w:rPr>
                <w:rFonts w:cs="Times New Roman"/>
                <w:sz w:val="22"/>
              </w:rPr>
              <w:t>2</w:t>
            </w:r>
          </w:p>
        </w:tc>
      </w:tr>
      <w:tr w:rsidR="00665E89" w:rsidRPr="00665E89" w14:paraId="5CA1C3FC" w14:textId="77777777" w:rsidTr="0062352A">
        <w:tc>
          <w:tcPr>
            <w:tcW w:w="1570" w:type="pct"/>
            <w:shd w:val="clear" w:color="auto" w:fill="F2F2F2" w:themeFill="background1" w:themeFillShade="F2"/>
            <w:vAlign w:val="center"/>
          </w:tcPr>
          <w:p w14:paraId="1A5041D7" w14:textId="04AB0711" w:rsidR="00665E89" w:rsidRPr="00FC64BF" w:rsidRDefault="00665E89" w:rsidP="0061594B">
            <w:pPr>
              <w:rPr>
                <w:rFonts w:cs="Times New Roman"/>
                <w:sz w:val="20"/>
                <w:szCs w:val="20"/>
              </w:rPr>
            </w:pPr>
            <w:r w:rsidRPr="00FC64BF">
              <w:rPr>
                <w:rFonts w:cs="Times New Roman"/>
                <w:sz w:val="20"/>
                <w:szCs w:val="20"/>
              </w:rPr>
              <w:t xml:space="preserve">Ostvareni ishodi za pokazatelje provedbe u 2024. </w:t>
            </w:r>
          </w:p>
        </w:tc>
        <w:tc>
          <w:tcPr>
            <w:tcW w:w="1243" w:type="pct"/>
          </w:tcPr>
          <w:p w14:paraId="13FA8A9B" w14:textId="350FA8F0" w:rsidR="00665E89" w:rsidRPr="00FC64BF" w:rsidRDefault="00665E89" w:rsidP="00665E89">
            <w:pPr>
              <w:jc w:val="center"/>
              <w:rPr>
                <w:rFonts w:cs="Times New Roman"/>
                <w:sz w:val="20"/>
                <w:szCs w:val="20"/>
              </w:rPr>
            </w:pPr>
            <w:r w:rsidRPr="00665E89">
              <w:rPr>
                <w:rFonts w:cs="Times New Roman"/>
                <w:sz w:val="22"/>
              </w:rPr>
              <w:t>55</w:t>
            </w:r>
          </w:p>
        </w:tc>
        <w:tc>
          <w:tcPr>
            <w:tcW w:w="1153" w:type="pct"/>
          </w:tcPr>
          <w:p w14:paraId="0DA42A50" w14:textId="34D0C2C6" w:rsidR="00665E89" w:rsidRPr="00FC64BF" w:rsidRDefault="00665E89" w:rsidP="00665E89">
            <w:pPr>
              <w:jc w:val="center"/>
              <w:rPr>
                <w:rFonts w:cs="Times New Roman"/>
                <w:sz w:val="20"/>
                <w:szCs w:val="20"/>
              </w:rPr>
            </w:pPr>
            <w:r w:rsidRPr="00665E89">
              <w:rPr>
                <w:rFonts w:cs="Times New Roman"/>
                <w:sz w:val="22"/>
              </w:rPr>
              <w:t>18</w:t>
            </w:r>
          </w:p>
        </w:tc>
        <w:tc>
          <w:tcPr>
            <w:tcW w:w="1034" w:type="pct"/>
          </w:tcPr>
          <w:p w14:paraId="6DF7F5E8" w14:textId="47CCF9A0" w:rsidR="00665E89" w:rsidRPr="00FC64BF" w:rsidRDefault="00665E89" w:rsidP="00665E89">
            <w:pPr>
              <w:jc w:val="center"/>
              <w:rPr>
                <w:rFonts w:eastAsia="Calibri" w:cs="Times New Roman"/>
                <w:sz w:val="20"/>
                <w:szCs w:val="20"/>
              </w:rPr>
            </w:pPr>
            <w:r w:rsidRPr="00665E89">
              <w:rPr>
                <w:rFonts w:cs="Times New Roman"/>
                <w:sz w:val="22"/>
              </w:rPr>
              <w:t>2</w:t>
            </w:r>
          </w:p>
        </w:tc>
      </w:tr>
      <w:tr w:rsidR="00665E89" w:rsidRPr="00665E89" w14:paraId="0112760C" w14:textId="77777777" w:rsidTr="00B66CD2">
        <w:tc>
          <w:tcPr>
            <w:tcW w:w="1570" w:type="pct"/>
            <w:shd w:val="clear" w:color="auto" w:fill="F2F2F2" w:themeFill="background1" w:themeFillShade="F2"/>
            <w:vAlign w:val="center"/>
          </w:tcPr>
          <w:p w14:paraId="44E87A61" w14:textId="77777777" w:rsidR="00665E89" w:rsidRPr="00FC64BF" w:rsidRDefault="00665E89" w:rsidP="00665E89">
            <w:pPr>
              <w:rPr>
                <w:rFonts w:cs="Times New Roman"/>
                <w:b/>
                <w:sz w:val="20"/>
                <w:szCs w:val="20"/>
              </w:rPr>
            </w:pPr>
            <w:r w:rsidRPr="00FC64BF">
              <w:rPr>
                <w:rFonts w:cs="Times New Roman"/>
                <w:b/>
                <w:sz w:val="20"/>
                <w:szCs w:val="20"/>
              </w:rPr>
              <w:t xml:space="preserve">IZVORI FINANCIRANJA </w:t>
            </w:r>
          </w:p>
        </w:tc>
        <w:tc>
          <w:tcPr>
            <w:tcW w:w="1243" w:type="pct"/>
            <w:vAlign w:val="center"/>
          </w:tcPr>
          <w:p w14:paraId="25ABC14B" w14:textId="77777777" w:rsidR="00665E89" w:rsidRPr="00FC64BF" w:rsidRDefault="00665E89" w:rsidP="00665E89">
            <w:pPr>
              <w:jc w:val="center"/>
              <w:rPr>
                <w:rFonts w:cs="Times New Roman"/>
                <w:b/>
                <w:sz w:val="20"/>
                <w:szCs w:val="20"/>
              </w:rPr>
            </w:pPr>
            <w:r w:rsidRPr="00FC64BF">
              <w:rPr>
                <w:rFonts w:cs="Times New Roman"/>
                <w:b/>
                <w:sz w:val="20"/>
                <w:szCs w:val="20"/>
              </w:rPr>
              <w:t>Državni proračun (EUR)</w:t>
            </w:r>
          </w:p>
        </w:tc>
        <w:tc>
          <w:tcPr>
            <w:tcW w:w="1153" w:type="pct"/>
            <w:vAlign w:val="center"/>
          </w:tcPr>
          <w:p w14:paraId="49231CDB" w14:textId="77777777" w:rsidR="00665E89" w:rsidRPr="00FC64BF" w:rsidRDefault="00665E89" w:rsidP="00665E89">
            <w:pPr>
              <w:jc w:val="center"/>
              <w:rPr>
                <w:rFonts w:cs="Times New Roman"/>
                <w:b/>
                <w:sz w:val="20"/>
                <w:szCs w:val="20"/>
              </w:rPr>
            </w:pPr>
            <w:r w:rsidRPr="00FC64BF">
              <w:rPr>
                <w:rFonts w:cs="Times New Roman"/>
                <w:b/>
                <w:sz w:val="20"/>
                <w:szCs w:val="20"/>
              </w:rPr>
              <w:t>EU financiranje (EUR)</w:t>
            </w:r>
          </w:p>
        </w:tc>
        <w:tc>
          <w:tcPr>
            <w:tcW w:w="1034" w:type="pct"/>
            <w:vAlign w:val="center"/>
          </w:tcPr>
          <w:p w14:paraId="6316E9C1" w14:textId="77777777" w:rsidR="00665E89" w:rsidRPr="00FC64BF" w:rsidRDefault="00665E89" w:rsidP="00665E89">
            <w:pPr>
              <w:jc w:val="center"/>
              <w:rPr>
                <w:rFonts w:cs="Times New Roman"/>
                <w:b/>
                <w:sz w:val="20"/>
                <w:szCs w:val="20"/>
              </w:rPr>
            </w:pPr>
            <w:r w:rsidRPr="00FC64BF">
              <w:rPr>
                <w:rFonts w:cs="Times New Roman"/>
                <w:b/>
                <w:sz w:val="20"/>
                <w:szCs w:val="20"/>
              </w:rPr>
              <w:t>Drugi izvori (EUR)</w:t>
            </w:r>
          </w:p>
        </w:tc>
      </w:tr>
      <w:tr w:rsidR="00665E89" w:rsidRPr="00665E89" w14:paraId="08A7CF5F" w14:textId="77777777" w:rsidTr="00B66CD2">
        <w:tc>
          <w:tcPr>
            <w:tcW w:w="1570" w:type="pct"/>
            <w:shd w:val="clear" w:color="auto" w:fill="F2F2F2" w:themeFill="background1" w:themeFillShade="F2"/>
            <w:vAlign w:val="center"/>
          </w:tcPr>
          <w:p w14:paraId="3C47512C" w14:textId="303AD358" w:rsidR="00665E89" w:rsidRPr="00FC64BF" w:rsidRDefault="00665E89" w:rsidP="0061594B">
            <w:pPr>
              <w:rPr>
                <w:rFonts w:cs="Times New Roman"/>
                <w:sz w:val="20"/>
                <w:szCs w:val="20"/>
              </w:rPr>
            </w:pPr>
            <w:r w:rsidRPr="00FC64BF">
              <w:rPr>
                <w:rFonts w:cs="Times New Roman"/>
                <w:sz w:val="20"/>
                <w:szCs w:val="20"/>
              </w:rPr>
              <w:t>Izvori financiranja u 2024. (proračunska pozicija i predviđeni iznos sredstava)</w:t>
            </w:r>
          </w:p>
        </w:tc>
        <w:tc>
          <w:tcPr>
            <w:tcW w:w="1243" w:type="pct"/>
            <w:vAlign w:val="center"/>
          </w:tcPr>
          <w:p w14:paraId="4A16D95C" w14:textId="5EFE2B56" w:rsidR="00665E89" w:rsidRPr="00FC64BF" w:rsidRDefault="00665E89" w:rsidP="00665E89">
            <w:pPr>
              <w:jc w:val="center"/>
              <w:rPr>
                <w:rFonts w:cs="Times New Roman"/>
                <w:sz w:val="20"/>
                <w:szCs w:val="20"/>
              </w:rPr>
            </w:pPr>
            <w:r w:rsidRPr="00FC64BF">
              <w:rPr>
                <w:rFonts w:cs="Times New Roman"/>
                <w:sz w:val="20"/>
                <w:szCs w:val="20"/>
              </w:rPr>
              <w:t>A767015 – Provedba programa za uključivanje Roma</w:t>
            </w:r>
          </w:p>
          <w:p w14:paraId="789A1AB9" w14:textId="690AE483" w:rsidR="00665E89" w:rsidRPr="00FC64BF" w:rsidRDefault="00665E89" w:rsidP="00665E89">
            <w:pPr>
              <w:jc w:val="center"/>
              <w:rPr>
                <w:rFonts w:cs="Times New Roman"/>
                <w:sz w:val="20"/>
                <w:szCs w:val="20"/>
              </w:rPr>
            </w:pPr>
          </w:p>
        </w:tc>
        <w:tc>
          <w:tcPr>
            <w:tcW w:w="1153" w:type="pct"/>
            <w:vAlign w:val="center"/>
          </w:tcPr>
          <w:p w14:paraId="4B002052" w14:textId="77777777" w:rsidR="00665E89" w:rsidRPr="00FC64BF" w:rsidRDefault="00665E89" w:rsidP="00665E89">
            <w:pPr>
              <w:jc w:val="center"/>
              <w:rPr>
                <w:rFonts w:cs="Times New Roman"/>
                <w:sz w:val="20"/>
                <w:szCs w:val="20"/>
              </w:rPr>
            </w:pPr>
            <w:r w:rsidRPr="00FC64BF">
              <w:rPr>
                <w:rFonts w:cs="Times New Roman"/>
                <w:sz w:val="20"/>
                <w:szCs w:val="20"/>
              </w:rPr>
              <w:t>0,00</w:t>
            </w:r>
          </w:p>
        </w:tc>
        <w:tc>
          <w:tcPr>
            <w:tcW w:w="1034" w:type="pct"/>
            <w:vAlign w:val="center"/>
          </w:tcPr>
          <w:p w14:paraId="5EE4C008" w14:textId="77777777" w:rsidR="00665E89" w:rsidRPr="00FC64BF" w:rsidRDefault="00665E89" w:rsidP="00665E89">
            <w:pPr>
              <w:jc w:val="center"/>
              <w:rPr>
                <w:rFonts w:cs="Times New Roman"/>
                <w:sz w:val="20"/>
                <w:szCs w:val="20"/>
              </w:rPr>
            </w:pPr>
            <w:r w:rsidRPr="00FC64BF">
              <w:rPr>
                <w:rFonts w:cs="Times New Roman"/>
                <w:sz w:val="20"/>
                <w:szCs w:val="20"/>
              </w:rPr>
              <w:t>0,00</w:t>
            </w:r>
          </w:p>
        </w:tc>
      </w:tr>
      <w:tr w:rsidR="00665E89" w:rsidRPr="00665E89" w14:paraId="29DDEB8E" w14:textId="77777777" w:rsidTr="00B66CD2">
        <w:tc>
          <w:tcPr>
            <w:tcW w:w="1570" w:type="pct"/>
            <w:vMerge w:val="restart"/>
            <w:shd w:val="clear" w:color="auto" w:fill="F2F2F2" w:themeFill="background1" w:themeFillShade="F2"/>
            <w:vAlign w:val="center"/>
          </w:tcPr>
          <w:p w14:paraId="28CB2889" w14:textId="77777777" w:rsidR="00665E89" w:rsidRPr="00FC64BF" w:rsidRDefault="00665E89" w:rsidP="00665E89">
            <w:pPr>
              <w:rPr>
                <w:rFonts w:cs="Times New Roman"/>
                <w:b/>
                <w:sz w:val="20"/>
                <w:szCs w:val="20"/>
              </w:rPr>
            </w:pPr>
            <w:r w:rsidRPr="00FC64BF">
              <w:rPr>
                <w:rFonts w:cs="Times New Roman"/>
                <w:b/>
                <w:sz w:val="20"/>
                <w:szCs w:val="20"/>
              </w:rPr>
              <w:t xml:space="preserve">UKUPNO UTROŠENA SREDSTVA PO IZVORU </w:t>
            </w:r>
          </w:p>
        </w:tc>
        <w:tc>
          <w:tcPr>
            <w:tcW w:w="1243" w:type="pct"/>
            <w:vAlign w:val="center"/>
          </w:tcPr>
          <w:p w14:paraId="14DECC04" w14:textId="77777777" w:rsidR="00665E89" w:rsidRPr="00FC64BF" w:rsidRDefault="00665E89" w:rsidP="00665E89">
            <w:pPr>
              <w:jc w:val="center"/>
              <w:rPr>
                <w:rFonts w:cs="Times New Roman"/>
                <w:b/>
                <w:sz w:val="20"/>
                <w:szCs w:val="20"/>
              </w:rPr>
            </w:pPr>
            <w:r w:rsidRPr="00FC64BF">
              <w:rPr>
                <w:rFonts w:cs="Times New Roman"/>
                <w:b/>
                <w:sz w:val="20"/>
                <w:szCs w:val="20"/>
              </w:rPr>
              <w:t>Državni proračun (EUR)</w:t>
            </w:r>
          </w:p>
        </w:tc>
        <w:tc>
          <w:tcPr>
            <w:tcW w:w="1153" w:type="pct"/>
            <w:vAlign w:val="center"/>
          </w:tcPr>
          <w:p w14:paraId="42456A6D" w14:textId="77777777" w:rsidR="00665E89" w:rsidRPr="00FC64BF" w:rsidRDefault="00665E89" w:rsidP="00665E89">
            <w:pPr>
              <w:jc w:val="center"/>
              <w:rPr>
                <w:rFonts w:cs="Times New Roman"/>
                <w:b/>
                <w:sz w:val="20"/>
                <w:szCs w:val="20"/>
              </w:rPr>
            </w:pPr>
            <w:r w:rsidRPr="00FC64BF">
              <w:rPr>
                <w:rFonts w:cs="Times New Roman"/>
                <w:b/>
                <w:sz w:val="20"/>
                <w:szCs w:val="20"/>
              </w:rPr>
              <w:t>EU financiranje (EUR)</w:t>
            </w:r>
          </w:p>
        </w:tc>
        <w:tc>
          <w:tcPr>
            <w:tcW w:w="1034" w:type="pct"/>
            <w:vAlign w:val="center"/>
          </w:tcPr>
          <w:p w14:paraId="7C10C18B" w14:textId="77777777" w:rsidR="00665E89" w:rsidRPr="00FC64BF" w:rsidRDefault="00665E89" w:rsidP="00665E89">
            <w:pPr>
              <w:jc w:val="center"/>
              <w:rPr>
                <w:rFonts w:cs="Times New Roman"/>
                <w:b/>
                <w:sz w:val="20"/>
                <w:szCs w:val="20"/>
              </w:rPr>
            </w:pPr>
            <w:r w:rsidRPr="00FC64BF">
              <w:rPr>
                <w:rFonts w:cs="Times New Roman"/>
                <w:b/>
                <w:sz w:val="20"/>
                <w:szCs w:val="20"/>
              </w:rPr>
              <w:t>Drugi izvori (EUR)</w:t>
            </w:r>
          </w:p>
        </w:tc>
      </w:tr>
      <w:tr w:rsidR="00665E89" w:rsidRPr="00665E89" w14:paraId="3B4A9A8D" w14:textId="77777777" w:rsidTr="00B66CD2">
        <w:tc>
          <w:tcPr>
            <w:tcW w:w="1570" w:type="pct"/>
            <w:vMerge/>
            <w:shd w:val="clear" w:color="auto" w:fill="F2F2F2" w:themeFill="background1" w:themeFillShade="F2"/>
            <w:vAlign w:val="center"/>
          </w:tcPr>
          <w:p w14:paraId="41A27C61" w14:textId="77777777" w:rsidR="00665E89" w:rsidRPr="00FC64BF" w:rsidRDefault="00665E89" w:rsidP="00665E89">
            <w:pPr>
              <w:rPr>
                <w:rFonts w:cs="Times New Roman"/>
                <w:b/>
                <w:sz w:val="20"/>
                <w:szCs w:val="20"/>
              </w:rPr>
            </w:pPr>
          </w:p>
        </w:tc>
        <w:tc>
          <w:tcPr>
            <w:tcW w:w="1243" w:type="pct"/>
            <w:vAlign w:val="center"/>
          </w:tcPr>
          <w:p w14:paraId="0C65E93D" w14:textId="64DD6F4C" w:rsidR="00665E89" w:rsidRDefault="00665E89" w:rsidP="00665E89">
            <w:pPr>
              <w:jc w:val="center"/>
              <w:rPr>
                <w:rFonts w:eastAsia="Calibri" w:cs="Times New Roman"/>
                <w:sz w:val="20"/>
                <w:szCs w:val="20"/>
              </w:rPr>
            </w:pPr>
            <w:r w:rsidRPr="00FC64BF">
              <w:rPr>
                <w:rFonts w:eastAsia="Calibri" w:cs="Times New Roman"/>
                <w:sz w:val="20"/>
                <w:szCs w:val="20"/>
              </w:rPr>
              <w:t>A767015</w:t>
            </w:r>
            <w:r w:rsidR="00B25073">
              <w:rPr>
                <w:rFonts w:eastAsia="Calibri" w:cs="Times New Roman"/>
                <w:sz w:val="20"/>
                <w:szCs w:val="20"/>
              </w:rPr>
              <w:t xml:space="preserve"> 14.633,51, A 577137 668,96 EUR</w:t>
            </w:r>
          </w:p>
          <w:p w14:paraId="06653E38" w14:textId="5D2850DF" w:rsidR="00B25073" w:rsidRPr="00FC64BF" w:rsidRDefault="00B25073" w:rsidP="00665E89">
            <w:pPr>
              <w:jc w:val="center"/>
              <w:rPr>
                <w:rFonts w:eastAsia="Calibri" w:cs="Times New Roman"/>
                <w:sz w:val="20"/>
                <w:szCs w:val="20"/>
              </w:rPr>
            </w:pPr>
            <w:r>
              <w:rPr>
                <w:rFonts w:eastAsia="Calibri" w:cs="Times New Roman"/>
                <w:sz w:val="20"/>
                <w:szCs w:val="20"/>
              </w:rPr>
              <w:t>ukupno</w:t>
            </w:r>
          </w:p>
          <w:p w14:paraId="06B4855D" w14:textId="61ED71D2" w:rsidR="00665E89" w:rsidRPr="00FC64BF" w:rsidRDefault="00665E89" w:rsidP="00665E89">
            <w:pPr>
              <w:jc w:val="center"/>
              <w:rPr>
                <w:rFonts w:eastAsia="Calibri" w:cs="Times New Roman"/>
                <w:sz w:val="20"/>
                <w:szCs w:val="20"/>
              </w:rPr>
            </w:pPr>
            <w:r w:rsidRPr="00FC64BF">
              <w:rPr>
                <w:rFonts w:eastAsia="Calibri" w:cs="Times New Roman"/>
                <w:b/>
                <w:sz w:val="20"/>
                <w:szCs w:val="20"/>
              </w:rPr>
              <w:t>14.961,00</w:t>
            </w:r>
          </w:p>
        </w:tc>
        <w:tc>
          <w:tcPr>
            <w:tcW w:w="1153" w:type="pct"/>
            <w:vAlign w:val="center"/>
          </w:tcPr>
          <w:p w14:paraId="566CFAC7" w14:textId="77777777" w:rsidR="00665E89" w:rsidRPr="00FC64BF" w:rsidRDefault="00665E89" w:rsidP="00665E89">
            <w:pPr>
              <w:jc w:val="center"/>
              <w:rPr>
                <w:rFonts w:cs="Times New Roman"/>
                <w:sz w:val="20"/>
                <w:szCs w:val="20"/>
              </w:rPr>
            </w:pPr>
            <w:r w:rsidRPr="00FC64BF">
              <w:rPr>
                <w:rFonts w:cs="Times New Roman"/>
                <w:sz w:val="20"/>
                <w:szCs w:val="20"/>
              </w:rPr>
              <w:t>0,00</w:t>
            </w:r>
          </w:p>
          <w:p w14:paraId="2DDD94C3" w14:textId="77777777" w:rsidR="00665E89" w:rsidRPr="00FC64BF" w:rsidRDefault="00665E89" w:rsidP="00665E89">
            <w:pPr>
              <w:jc w:val="center"/>
              <w:rPr>
                <w:rFonts w:cs="Times New Roman"/>
                <w:sz w:val="20"/>
                <w:szCs w:val="20"/>
              </w:rPr>
            </w:pPr>
          </w:p>
        </w:tc>
        <w:tc>
          <w:tcPr>
            <w:tcW w:w="1034" w:type="pct"/>
            <w:vAlign w:val="center"/>
          </w:tcPr>
          <w:p w14:paraId="28A0C8F8" w14:textId="77777777" w:rsidR="00665E89" w:rsidRPr="00FC64BF" w:rsidRDefault="00665E89" w:rsidP="00665E89">
            <w:pPr>
              <w:jc w:val="center"/>
              <w:rPr>
                <w:rFonts w:cs="Times New Roman"/>
                <w:sz w:val="20"/>
                <w:szCs w:val="20"/>
              </w:rPr>
            </w:pPr>
            <w:r w:rsidRPr="00FC64BF">
              <w:rPr>
                <w:rFonts w:cs="Times New Roman"/>
                <w:sz w:val="20"/>
                <w:szCs w:val="20"/>
              </w:rPr>
              <w:t xml:space="preserve">0,00 </w:t>
            </w:r>
          </w:p>
        </w:tc>
      </w:tr>
      <w:tr w:rsidR="00665E89" w:rsidRPr="00665E89" w14:paraId="41C9A03A" w14:textId="77777777" w:rsidTr="005612A7">
        <w:trPr>
          <w:cantSplit/>
          <w:trHeight w:val="362"/>
        </w:trPr>
        <w:tc>
          <w:tcPr>
            <w:tcW w:w="1570" w:type="pct"/>
            <w:shd w:val="clear" w:color="auto" w:fill="F2F2F2" w:themeFill="background1" w:themeFillShade="F2"/>
            <w:vAlign w:val="center"/>
          </w:tcPr>
          <w:p w14:paraId="3817DF80" w14:textId="77777777" w:rsidR="00665E89" w:rsidRPr="00FC64BF" w:rsidRDefault="00665E89" w:rsidP="00665E89">
            <w:pPr>
              <w:rPr>
                <w:rFonts w:cs="Times New Roman"/>
                <w:sz w:val="20"/>
                <w:szCs w:val="20"/>
              </w:rPr>
            </w:pPr>
            <w:r w:rsidRPr="00FC64BF">
              <w:rPr>
                <w:rFonts w:cs="Times New Roman"/>
                <w:sz w:val="20"/>
                <w:szCs w:val="20"/>
              </w:rPr>
              <w:t xml:space="preserve">ROK PROVEDBE AKTIVNOSTI : </w:t>
            </w:r>
          </w:p>
        </w:tc>
        <w:tc>
          <w:tcPr>
            <w:tcW w:w="3430" w:type="pct"/>
            <w:gridSpan w:val="3"/>
            <w:vAlign w:val="center"/>
          </w:tcPr>
          <w:p w14:paraId="06E607E5" w14:textId="6D346545" w:rsidR="00665E89" w:rsidRPr="00FC64BF" w:rsidRDefault="00665E89" w:rsidP="00665E89">
            <w:pPr>
              <w:rPr>
                <w:rFonts w:cs="Times New Roman"/>
                <w:sz w:val="20"/>
                <w:szCs w:val="20"/>
              </w:rPr>
            </w:pPr>
            <w:r w:rsidRPr="00FC64BF">
              <w:rPr>
                <w:rFonts w:cs="Times New Roman"/>
                <w:sz w:val="20"/>
                <w:szCs w:val="20"/>
              </w:rPr>
              <w:t xml:space="preserve">IV. kvartal 2025. </w:t>
            </w:r>
          </w:p>
        </w:tc>
      </w:tr>
    </w:tbl>
    <w:p w14:paraId="71366980" w14:textId="77777777" w:rsidR="0029699C" w:rsidRDefault="0029699C" w:rsidP="00D36147">
      <w:pPr>
        <w:pStyle w:val="Heading2"/>
        <w:spacing w:before="0" w:line="276" w:lineRule="auto"/>
        <w:jc w:val="both"/>
        <w:rPr>
          <w:rFonts w:cs="Times New Roman"/>
          <w:bCs/>
        </w:rPr>
      </w:pPr>
    </w:p>
    <w:p w14:paraId="1BEAA2A6" w14:textId="77777777" w:rsidR="003379F1" w:rsidRPr="003379F1" w:rsidRDefault="003379F1" w:rsidP="00A86FA4"/>
    <w:p w14:paraId="016542CA" w14:textId="57D1666C" w:rsidR="00E63507" w:rsidRPr="00FC64BF" w:rsidRDefault="002D20C6" w:rsidP="003B763E">
      <w:pPr>
        <w:pStyle w:val="Heading2"/>
        <w:spacing w:before="0" w:line="276" w:lineRule="auto"/>
        <w:jc w:val="both"/>
        <w:rPr>
          <w:rFonts w:cs="Times New Roman"/>
          <w:i/>
          <w:iCs/>
        </w:rPr>
      </w:pPr>
      <w:r w:rsidRPr="00FC64BF">
        <w:rPr>
          <w:rFonts w:cs="Times New Roman"/>
          <w:bCs/>
        </w:rPr>
        <w:t>Mjera 4.5. Povećanje udjela odraslih Roma u programima osposobljavanja i usavršavanja</w:t>
      </w:r>
    </w:p>
    <w:p w14:paraId="4B0DDB68" w14:textId="77777777" w:rsidR="003B763E" w:rsidRPr="00FC64BF" w:rsidRDefault="003B763E" w:rsidP="00AF43CC"/>
    <w:p w14:paraId="2C6CFEB3" w14:textId="77777777" w:rsidR="00CA388F" w:rsidRPr="00FC64BF" w:rsidRDefault="002D20C6" w:rsidP="00D36147">
      <w:pPr>
        <w:spacing w:after="0" w:line="276" w:lineRule="auto"/>
        <w:jc w:val="both"/>
        <w:rPr>
          <w:rFonts w:cs="Times New Roman"/>
          <w:i/>
          <w:iCs/>
        </w:rPr>
      </w:pPr>
      <w:r w:rsidRPr="00FC64BF">
        <w:rPr>
          <w:rFonts w:cs="Times New Roman"/>
          <w:i/>
          <w:iCs/>
        </w:rPr>
        <w:t>Aktivnost 4.5.1. Uključivanje odraslih pripadnika romske nacionalne manjine u program opismenjavanja i osp</w:t>
      </w:r>
      <w:r w:rsidR="00CA388F" w:rsidRPr="00FC64BF">
        <w:rPr>
          <w:rFonts w:cs="Times New Roman"/>
          <w:i/>
          <w:iCs/>
        </w:rPr>
        <w:t>osobljavanja za prvo zanimanje</w:t>
      </w:r>
    </w:p>
    <w:p w14:paraId="0F20B94D" w14:textId="27673676" w:rsidR="00CA388F" w:rsidRPr="00FC64BF" w:rsidRDefault="00CA388F" w:rsidP="00D36147">
      <w:pPr>
        <w:spacing w:after="0" w:line="276" w:lineRule="auto"/>
        <w:jc w:val="both"/>
        <w:rPr>
          <w:rFonts w:cs="Times New Roman"/>
          <w:i/>
          <w:iCs/>
        </w:rPr>
      </w:pPr>
      <w:r w:rsidRPr="00FC64BF">
        <w:rPr>
          <w:rFonts w:cs="Times New Roman"/>
          <w:i/>
          <w:iCs/>
        </w:rPr>
        <w:t xml:space="preserve">Nositelj provedbe: </w:t>
      </w:r>
      <w:r w:rsidR="002D20C6" w:rsidRPr="00FC64BF">
        <w:rPr>
          <w:rFonts w:cs="Times New Roman"/>
          <w:i/>
          <w:iCs/>
        </w:rPr>
        <w:t>Ministarstvo znanosti</w:t>
      </w:r>
      <w:r w:rsidR="00F36CF1">
        <w:rPr>
          <w:rFonts w:cs="Times New Roman"/>
          <w:i/>
          <w:iCs/>
        </w:rPr>
        <w:t>,</w:t>
      </w:r>
      <w:r w:rsidR="003465FD">
        <w:rPr>
          <w:rFonts w:cs="Times New Roman"/>
          <w:i/>
          <w:iCs/>
        </w:rPr>
        <w:t xml:space="preserve"> </w:t>
      </w:r>
      <w:r w:rsidR="002D20C6" w:rsidRPr="00FC64BF">
        <w:rPr>
          <w:rFonts w:cs="Times New Roman"/>
          <w:i/>
          <w:iCs/>
        </w:rPr>
        <w:t>obrazovanja</w:t>
      </w:r>
      <w:r w:rsidRPr="00FC64BF">
        <w:rPr>
          <w:rFonts w:cs="Times New Roman"/>
          <w:i/>
          <w:iCs/>
        </w:rPr>
        <w:t xml:space="preserve"> </w:t>
      </w:r>
      <w:r w:rsidR="00F36CF1">
        <w:rPr>
          <w:rFonts w:cs="Times New Roman"/>
          <w:i/>
          <w:iCs/>
        </w:rPr>
        <w:t>i mladih</w:t>
      </w:r>
    </w:p>
    <w:p w14:paraId="40D1314D" w14:textId="115FBD80" w:rsidR="002A6CB1" w:rsidRPr="00FC64BF" w:rsidRDefault="00CA388F" w:rsidP="00D36147">
      <w:pPr>
        <w:spacing w:after="0" w:line="276" w:lineRule="auto"/>
        <w:jc w:val="both"/>
        <w:rPr>
          <w:rFonts w:cs="Times New Roman"/>
          <w:i/>
          <w:iCs/>
        </w:rPr>
      </w:pPr>
      <w:r w:rsidRPr="00FC64BF">
        <w:rPr>
          <w:rFonts w:cs="Times New Roman"/>
          <w:i/>
          <w:iCs/>
        </w:rPr>
        <w:t>P</w:t>
      </w:r>
      <w:r w:rsidR="00A22E73" w:rsidRPr="00FC64BF">
        <w:rPr>
          <w:rFonts w:cs="Times New Roman"/>
          <w:i/>
          <w:iCs/>
        </w:rPr>
        <w:t xml:space="preserve">artneri: </w:t>
      </w:r>
      <w:r w:rsidR="00794AB5" w:rsidRPr="00FC64BF">
        <w:rPr>
          <w:rFonts w:cs="Times New Roman"/>
          <w:i/>
          <w:iCs/>
        </w:rPr>
        <w:t>U</w:t>
      </w:r>
      <w:r w:rsidR="00A22E73" w:rsidRPr="00FC64BF">
        <w:rPr>
          <w:rFonts w:cs="Times New Roman"/>
          <w:i/>
          <w:iCs/>
        </w:rPr>
        <w:t>čilišta za obrazovanje odraslih, upravni odjeli za obrazovanje u županijama</w:t>
      </w:r>
    </w:p>
    <w:p w14:paraId="47775375" w14:textId="6173048D" w:rsidR="00524406" w:rsidRPr="00802CE3" w:rsidRDefault="00524406" w:rsidP="00D36147">
      <w:pPr>
        <w:spacing w:after="0" w:line="276" w:lineRule="auto"/>
        <w:jc w:val="both"/>
        <w:rPr>
          <w:rFonts w:cs="Times New Roman"/>
          <w:iCs/>
          <w:szCs w:val="24"/>
        </w:rPr>
      </w:pPr>
    </w:p>
    <w:p w14:paraId="14828C70" w14:textId="22AECCD5" w:rsidR="00F36CF1" w:rsidRPr="00802CE3" w:rsidRDefault="00F36CF1" w:rsidP="00D36147">
      <w:pPr>
        <w:spacing w:after="0" w:line="276" w:lineRule="auto"/>
        <w:jc w:val="both"/>
        <w:rPr>
          <w:rFonts w:cs="Times New Roman"/>
          <w:iCs/>
          <w:szCs w:val="24"/>
        </w:rPr>
      </w:pPr>
      <w:r w:rsidRPr="00A86FA4">
        <w:rPr>
          <w:rFonts w:cs="Times New Roman"/>
          <w:szCs w:val="24"/>
        </w:rPr>
        <w:t>Temeljem Odluke o financiranju provedbe osnovnog obrazovanja odraslih i osposobljavanja za jednostavnije poslove u zanimanjima</w:t>
      </w:r>
      <w:r w:rsidR="001F2E37">
        <w:rPr>
          <w:rFonts w:cs="Times New Roman"/>
          <w:szCs w:val="24"/>
        </w:rPr>
        <w:t>,</w:t>
      </w:r>
      <w:r w:rsidRPr="00A86FA4">
        <w:rPr>
          <w:rFonts w:cs="Times New Roman"/>
          <w:szCs w:val="24"/>
        </w:rPr>
        <w:t xml:space="preserve"> Ministarstvo znanosti, obrazov</w:t>
      </w:r>
      <w:r w:rsidR="003465FD" w:rsidRPr="00A86FA4">
        <w:rPr>
          <w:rFonts w:cs="Times New Roman"/>
          <w:szCs w:val="24"/>
        </w:rPr>
        <w:t>a</w:t>
      </w:r>
      <w:r w:rsidRPr="00A86FA4">
        <w:rPr>
          <w:rFonts w:cs="Times New Roman"/>
          <w:szCs w:val="24"/>
        </w:rPr>
        <w:t xml:space="preserve">nja i mladih financira osnovno obrazovanje odraslih i osposobljavanje za jednostavnije poslove u zanimanjima za odrasle pripadnike romske nacionalne manjine kako bi se osigurali uvjeti za razvijanje kompetencija te postizanje konkurentnosti na tržištu rada. Cilj provedbe ove aktivnosti je osigurati preduvjete za povećanje uključenosti odraslih osoba u procese cjeloživotnog učenja te unaprijediti i proširiti obrazovanje i osposobljavanje pripadnika romske nacionalne manjine. U 2024. </w:t>
      </w:r>
      <w:r w:rsidR="001F2E37">
        <w:rPr>
          <w:rFonts w:cs="Times New Roman"/>
          <w:szCs w:val="24"/>
        </w:rPr>
        <w:t xml:space="preserve">godini </w:t>
      </w:r>
      <w:r w:rsidRPr="00A86FA4">
        <w:rPr>
          <w:rFonts w:cs="Times New Roman"/>
          <w:szCs w:val="24"/>
        </w:rPr>
        <w:t>u navedenim aktivnostima sudjelovalo je 37 odraslih Roma koji su uspješno završili programe obrazovanja.</w:t>
      </w:r>
    </w:p>
    <w:p w14:paraId="1CA5B89B" w14:textId="77777777" w:rsidR="003B763E" w:rsidRPr="00A81FA5" w:rsidRDefault="003B763E" w:rsidP="00D36147">
      <w:pPr>
        <w:spacing w:after="0" w:line="276" w:lineRule="auto"/>
        <w:jc w:val="both"/>
        <w:rPr>
          <w:rFonts w:cs="Times New Roman"/>
        </w:rPr>
      </w:pPr>
    </w:p>
    <w:tbl>
      <w:tblPr>
        <w:tblStyle w:val="TableGrid"/>
        <w:tblW w:w="0" w:type="auto"/>
        <w:tblLayout w:type="fixed"/>
        <w:tblLook w:val="04A0" w:firstRow="1" w:lastRow="0" w:firstColumn="1" w:lastColumn="0" w:noHBand="0" w:noVBand="1"/>
      </w:tblPr>
      <w:tblGrid>
        <w:gridCol w:w="2830"/>
        <w:gridCol w:w="3119"/>
        <w:gridCol w:w="1843"/>
        <w:gridCol w:w="1270"/>
      </w:tblGrid>
      <w:tr w:rsidR="00CE622A" w:rsidRPr="00CE622A" w14:paraId="1D6E2499" w14:textId="77777777" w:rsidTr="00B66CD2">
        <w:trPr>
          <w:trHeight w:val="606"/>
        </w:trPr>
        <w:tc>
          <w:tcPr>
            <w:tcW w:w="2830" w:type="dxa"/>
            <w:shd w:val="clear" w:color="auto" w:fill="F2F2F2" w:themeFill="background1" w:themeFillShade="F2"/>
            <w:vAlign w:val="center"/>
          </w:tcPr>
          <w:p w14:paraId="6D421C55" w14:textId="77777777" w:rsidR="005F4A96" w:rsidRPr="00A86FA4" w:rsidRDefault="005F4A96" w:rsidP="002A04BF">
            <w:pPr>
              <w:rPr>
                <w:rFonts w:cs="Times New Roman"/>
                <w:b/>
                <w:sz w:val="20"/>
                <w:szCs w:val="20"/>
              </w:rPr>
            </w:pPr>
            <w:r w:rsidRPr="00A86FA4">
              <w:rPr>
                <w:rFonts w:cs="Times New Roman"/>
                <w:b/>
                <w:sz w:val="20"/>
                <w:szCs w:val="20"/>
              </w:rPr>
              <w:t>Pokazatelji provedbe i pokazatelji uspješnosti provedbe</w:t>
            </w:r>
          </w:p>
        </w:tc>
        <w:tc>
          <w:tcPr>
            <w:tcW w:w="3119" w:type="dxa"/>
            <w:shd w:val="clear" w:color="auto" w:fill="F2F2F2" w:themeFill="background1" w:themeFillShade="F2"/>
            <w:vAlign w:val="center"/>
          </w:tcPr>
          <w:p w14:paraId="1C45E0D7" w14:textId="45A6ABFE" w:rsidR="005F4A96" w:rsidRPr="00A86FA4" w:rsidRDefault="005F4A96" w:rsidP="003B763E">
            <w:pPr>
              <w:jc w:val="center"/>
              <w:rPr>
                <w:rFonts w:eastAsia="Calibri" w:cs="Times New Roman"/>
                <w:b/>
                <w:strike/>
                <w:sz w:val="20"/>
                <w:szCs w:val="20"/>
              </w:rPr>
            </w:pPr>
            <w:r w:rsidRPr="00A86FA4">
              <w:rPr>
                <w:rFonts w:eastAsia="Calibri" w:cs="Times New Roman"/>
                <w:b/>
                <w:sz w:val="20"/>
                <w:szCs w:val="20"/>
              </w:rPr>
              <w:t>Broj Roma uključenih u</w:t>
            </w:r>
            <w:r w:rsidR="003B763E" w:rsidRPr="00A86FA4">
              <w:rPr>
                <w:rFonts w:eastAsia="Calibri" w:cs="Times New Roman"/>
                <w:b/>
                <w:sz w:val="20"/>
                <w:szCs w:val="20"/>
              </w:rPr>
              <w:t xml:space="preserve"> </w:t>
            </w:r>
            <w:r w:rsidRPr="00A86FA4">
              <w:rPr>
                <w:rFonts w:eastAsia="Calibri" w:cs="Times New Roman"/>
                <w:b/>
                <w:sz w:val="20"/>
                <w:szCs w:val="20"/>
              </w:rPr>
              <w:t>programe</w:t>
            </w:r>
            <w:r w:rsidR="003B763E" w:rsidRPr="00A86FA4">
              <w:rPr>
                <w:rFonts w:eastAsia="Calibri" w:cs="Times New Roman"/>
                <w:b/>
                <w:sz w:val="20"/>
                <w:szCs w:val="20"/>
              </w:rPr>
              <w:t xml:space="preserve"> </w:t>
            </w:r>
            <w:r w:rsidRPr="00A86FA4">
              <w:rPr>
                <w:rFonts w:eastAsia="Calibri" w:cs="Times New Roman"/>
                <w:b/>
                <w:sz w:val="20"/>
                <w:szCs w:val="20"/>
              </w:rPr>
              <w:t xml:space="preserve">opismenjavanja </w:t>
            </w:r>
          </w:p>
        </w:tc>
        <w:tc>
          <w:tcPr>
            <w:tcW w:w="1843" w:type="dxa"/>
            <w:shd w:val="clear" w:color="auto" w:fill="F2F2F2" w:themeFill="background1" w:themeFillShade="F2"/>
            <w:vAlign w:val="center"/>
          </w:tcPr>
          <w:p w14:paraId="3FCF6A9A" w14:textId="462EAB9D" w:rsidR="005F4A96" w:rsidRPr="00A86FA4" w:rsidRDefault="005F4A96" w:rsidP="003B763E">
            <w:pPr>
              <w:jc w:val="center"/>
              <w:rPr>
                <w:rFonts w:cs="Times New Roman"/>
                <w:b/>
                <w:sz w:val="20"/>
                <w:szCs w:val="20"/>
              </w:rPr>
            </w:pPr>
            <w:r w:rsidRPr="00A86FA4">
              <w:rPr>
                <w:rFonts w:eastAsia="Calibri" w:cs="Times New Roman"/>
                <w:b/>
                <w:sz w:val="20"/>
                <w:szCs w:val="20"/>
              </w:rPr>
              <w:t>Broj Roma uključenih u</w:t>
            </w:r>
            <w:r w:rsidR="003B763E" w:rsidRPr="00A86FA4">
              <w:rPr>
                <w:rFonts w:eastAsia="Calibri" w:cs="Times New Roman"/>
                <w:b/>
                <w:sz w:val="20"/>
                <w:szCs w:val="20"/>
              </w:rPr>
              <w:t xml:space="preserve"> </w:t>
            </w:r>
            <w:r w:rsidRPr="00A86FA4">
              <w:rPr>
                <w:rFonts w:eastAsia="Calibri" w:cs="Times New Roman"/>
                <w:b/>
                <w:sz w:val="20"/>
                <w:szCs w:val="20"/>
              </w:rPr>
              <w:t>programe</w:t>
            </w:r>
            <w:r w:rsidR="003B763E" w:rsidRPr="00A86FA4">
              <w:rPr>
                <w:rFonts w:eastAsia="Calibri" w:cs="Times New Roman"/>
                <w:b/>
                <w:sz w:val="20"/>
                <w:szCs w:val="20"/>
              </w:rPr>
              <w:t xml:space="preserve"> </w:t>
            </w:r>
            <w:r w:rsidRPr="00A86FA4">
              <w:rPr>
                <w:rFonts w:eastAsia="Calibri" w:cs="Times New Roman"/>
                <w:b/>
                <w:sz w:val="20"/>
                <w:szCs w:val="20"/>
              </w:rPr>
              <w:lastRenderedPageBreak/>
              <w:t>osposobljavanja za prvo</w:t>
            </w:r>
            <w:r w:rsidR="003B763E" w:rsidRPr="00A86FA4">
              <w:rPr>
                <w:rFonts w:eastAsia="Calibri" w:cs="Times New Roman"/>
                <w:b/>
                <w:sz w:val="20"/>
                <w:szCs w:val="20"/>
              </w:rPr>
              <w:t xml:space="preserve"> </w:t>
            </w:r>
            <w:r w:rsidRPr="00A86FA4">
              <w:rPr>
                <w:rFonts w:eastAsia="Calibri" w:cs="Times New Roman"/>
                <w:b/>
                <w:sz w:val="20"/>
                <w:szCs w:val="20"/>
              </w:rPr>
              <w:t xml:space="preserve">zanimanje </w:t>
            </w:r>
          </w:p>
        </w:tc>
        <w:tc>
          <w:tcPr>
            <w:tcW w:w="1270" w:type="dxa"/>
            <w:shd w:val="clear" w:color="auto" w:fill="F2F2F2" w:themeFill="background1" w:themeFillShade="F2"/>
            <w:vAlign w:val="center"/>
          </w:tcPr>
          <w:p w14:paraId="13396F43" w14:textId="4855D0F0" w:rsidR="005F4A96" w:rsidRPr="00A86FA4" w:rsidRDefault="005F4A96" w:rsidP="002A04BF">
            <w:pPr>
              <w:jc w:val="center"/>
              <w:rPr>
                <w:rFonts w:cs="Times New Roman"/>
                <w:b/>
                <w:sz w:val="20"/>
                <w:szCs w:val="20"/>
              </w:rPr>
            </w:pPr>
            <w:r w:rsidRPr="00A86FA4">
              <w:rPr>
                <w:rFonts w:cs="Times New Roman"/>
                <w:b/>
                <w:sz w:val="20"/>
                <w:szCs w:val="20"/>
              </w:rPr>
              <w:lastRenderedPageBreak/>
              <w:t>/</w:t>
            </w:r>
          </w:p>
        </w:tc>
      </w:tr>
      <w:tr w:rsidR="00F36CF1" w:rsidRPr="00CE622A" w14:paraId="191E01DF" w14:textId="77777777" w:rsidTr="00FC64BF">
        <w:tc>
          <w:tcPr>
            <w:tcW w:w="2830" w:type="dxa"/>
            <w:shd w:val="clear" w:color="auto" w:fill="F2F2F2" w:themeFill="background1" w:themeFillShade="F2"/>
            <w:vAlign w:val="center"/>
          </w:tcPr>
          <w:p w14:paraId="257ED175" w14:textId="4A54C71C" w:rsidR="00F36CF1" w:rsidRPr="00A86FA4" w:rsidRDefault="00F36CF1" w:rsidP="0061594B">
            <w:pPr>
              <w:rPr>
                <w:rFonts w:cs="Times New Roman"/>
                <w:sz w:val="20"/>
                <w:szCs w:val="20"/>
              </w:rPr>
            </w:pPr>
            <w:r w:rsidRPr="00A86FA4">
              <w:rPr>
                <w:rFonts w:cs="Times New Roman"/>
                <w:sz w:val="20"/>
                <w:szCs w:val="20"/>
              </w:rPr>
              <w:t>Planirani ishodi za pokazatelje provedbe u 2024</w:t>
            </w:r>
            <w:r w:rsidR="001F2E37">
              <w:rPr>
                <w:rFonts w:cs="Times New Roman"/>
                <w:sz w:val="20"/>
                <w:szCs w:val="20"/>
              </w:rPr>
              <w:t>.</w:t>
            </w:r>
          </w:p>
        </w:tc>
        <w:tc>
          <w:tcPr>
            <w:tcW w:w="3119" w:type="dxa"/>
          </w:tcPr>
          <w:p w14:paraId="3EF49E89" w14:textId="77777777" w:rsidR="00F36CF1" w:rsidRPr="00A86FA4" w:rsidRDefault="00F36CF1" w:rsidP="00F36CF1">
            <w:pPr>
              <w:jc w:val="center"/>
              <w:rPr>
                <w:rFonts w:cs="Times New Roman"/>
                <w:sz w:val="20"/>
                <w:szCs w:val="20"/>
              </w:rPr>
            </w:pPr>
          </w:p>
          <w:p w14:paraId="0D36411C" w14:textId="5D1C8DCE" w:rsidR="00F36CF1" w:rsidRPr="00A86FA4" w:rsidRDefault="00F36CF1" w:rsidP="00F36CF1">
            <w:pPr>
              <w:jc w:val="center"/>
              <w:rPr>
                <w:rFonts w:cs="Times New Roman"/>
                <w:sz w:val="20"/>
                <w:szCs w:val="20"/>
              </w:rPr>
            </w:pPr>
            <w:r w:rsidRPr="00A86FA4">
              <w:rPr>
                <w:rFonts w:cs="Times New Roman"/>
                <w:sz w:val="20"/>
                <w:szCs w:val="20"/>
              </w:rPr>
              <w:t>150</w:t>
            </w:r>
          </w:p>
        </w:tc>
        <w:tc>
          <w:tcPr>
            <w:tcW w:w="1843" w:type="dxa"/>
          </w:tcPr>
          <w:p w14:paraId="6EE835DB" w14:textId="77777777" w:rsidR="00F36CF1" w:rsidRPr="00A86FA4" w:rsidRDefault="00F36CF1" w:rsidP="00F36CF1">
            <w:pPr>
              <w:jc w:val="center"/>
              <w:rPr>
                <w:rFonts w:cs="Times New Roman"/>
                <w:sz w:val="20"/>
                <w:szCs w:val="20"/>
              </w:rPr>
            </w:pPr>
          </w:p>
          <w:p w14:paraId="756C8D36" w14:textId="2B790B9A" w:rsidR="00F36CF1" w:rsidRPr="00A86FA4" w:rsidRDefault="00F36CF1" w:rsidP="00F36CF1">
            <w:pPr>
              <w:jc w:val="center"/>
              <w:rPr>
                <w:rFonts w:cs="Times New Roman"/>
                <w:sz w:val="20"/>
                <w:szCs w:val="20"/>
              </w:rPr>
            </w:pPr>
            <w:r w:rsidRPr="00A86FA4">
              <w:rPr>
                <w:rFonts w:cs="Times New Roman"/>
                <w:sz w:val="20"/>
                <w:szCs w:val="20"/>
              </w:rPr>
              <w:t>10</w:t>
            </w:r>
          </w:p>
        </w:tc>
        <w:tc>
          <w:tcPr>
            <w:tcW w:w="1270" w:type="dxa"/>
          </w:tcPr>
          <w:p w14:paraId="6274F36B" w14:textId="77777777" w:rsidR="00F36CF1" w:rsidRPr="00A86FA4" w:rsidRDefault="00F36CF1" w:rsidP="00F36CF1">
            <w:pPr>
              <w:jc w:val="center"/>
              <w:rPr>
                <w:rFonts w:cs="Times New Roman"/>
                <w:i/>
                <w:sz w:val="20"/>
                <w:szCs w:val="20"/>
              </w:rPr>
            </w:pPr>
          </w:p>
          <w:p w14:paraId="607239BD" w14:textId="5DBEDEC5" w:rsidR="00F36CF1" w:rsidRPr="00A86FA4" w:rsidRDefault="00F36CF1" w:rsidP="00F36CF1">
            <w:pPr>
              <w:jc w:val="center"/>
              <w:rPr>
                <w:rFonts w:cs="Times New Roman"/>
                <w:sz w:val="20"/>
                <w:szCs w:val="20"/>
              </w:rPr>
            </w:pPr>
            <w:r w:rsidRPr="00A86FA4">
              <w:rPr>
                <w:rFonts w:cs="Times New Roman"/>
                <w:i/>
                <w:sz w:val="20"/>
                <w:szCs w:val="20"/>
              </w:rPr>
              <w:t>/</w:t>
            </w:r>
          </w:p>
        </w:tc>
      </w:tr>
      <w:tr w:rsidR="00F36CF1" w:rsidRPr="00CE622A" w14:paraId="417A5079" w14:textId="77777777" w:rsidTr="00FC64BF">
        <w:tc>
          <w:tcPr>
            <w:tcW w:w="2830" w:type="dxa"/>
            <w:shd w:val="clear" w:color="auto" w:fill="F2F2F2" w:themeFill="background1" w:themeFillShade="F2"/>
            <w:vAlign w:val="center"/>
          </w:tcPr>
          <w:p w14:paraId="2F3A854E" w14:textId="791E88D7" w:rsidR="00F36CF1" w:rsidRPr="00A86FA4" w:rsidRDefault="00F36CF1" w:rsidP="0061594B">
            <w:pPr>
              <w:rPr>
                <w:rFonts w:cs="Times New Roman"/>
                <w:sz w:val="20"/>
                <w:szCs w:val="20"/>
              </w:rPr>
            </w:pPr>
            <w:r w:rsidRPr="00A86FA4">
              <w:rPr>
                <w:rFonts w:cs="Times New Roman"/>
                <w:sz w:val="20"/>
                <w:szCs w:val="20"/>
              </w:rPr>
              <w:t>Ostvareni ishodi za pokazatelje provedbe u 2024.</w:t>
            </w:r>
          </w:p>
        </w:tc>
        <w:tc>
          <w:tcPr>
            <w:tcW w:w="3119" w:type="dxa"/>
          </w:tcPr>
          <w:p w14:paraId="3AE8DCA3" w14:textId="77777777" w:rsidR="00F36CF1" w:rsidRPr="00A86FA4" w:rsidRDefault="00F36CF1" w:rsidP="00F36CF1">
            <w:pPr>
              <w:jc w:val="center"/>
              <w:rPr>
                <w:rFonts w:cs="Times New Roman"/>
                <w:sz w:val="20"/>
                <w:szCs w:val="20"/>
              </w:rPr>
            </w:pPr>
          </w:p>
          <w:p w14:paraId="1935FAB3" w14:textId="6F148222" w:rsidR="00F36CF1" w:rsidRPr="00A86FA4" w:rsidRDefault="00F36CF1" w:rsidP="00F36CF1">
            <w:pPr>
              <w:jc w:val="center"/>
              <w:rPr>
                <w:rFonts w:cs="Times New Roman"/>
                <w:sz w:val="20"/>
                <w:szCs w:val="20"/>
              </w:rPr>
            </w:pPr>
            <w:r w:rsidRPr="00A86FA4">
              <w:rPr>
                <w:rFonts w:cs="Times New Roman"/>
                <w:sz w:val="20"/>
                <w:szCs w:val="20"/>
              </w:rPr>
              <w:t>36 (17ž/19m)</w:t>
            </w:r>
          </w:p>
        </w:tc>
        <w:tc>
          <w:tcPr>
            <w:tcW w:w="1843" w:type="dxa"/>
          </w:tcPr>
          <w:p w14:paraId="28C2AC23" w14:textId="77777777" w:rsidR="00F36CF1" w:rsidRPr="00A86FA4" w:rsidRDefault="00F36CF1" w:rsidP="00F36CF1">
            <w:pPr>
              <w:jc w:val="center"/>
              <w:rPr>
                <w:rFonts w:cs="Times New Roman"/>
                <w:sz w:val="20"/>
                <w:szCs w:val="20"/>
              </w:rPr>
            </w:pPr>
          </w:p>
          <w:p w14:paraId="46DF579B" w14:textId="00D14DC3" w:rsidR="00F36CF1" w:rsidRPr="00A86FA4" w:rsidRDefault="00F36CF1" w:rsidP="00F36CF1">
            <w:pPr>
              <w:jc w:val="center"/>
              <w:rPr>
                <w:rFonts w:cs="Times New Roman"/>
                <w:sz w:val="20"/>
                <w:szCs w:val="20"/>
              </w:rPr>
            </w:pPr>
            <w:r w:rsidRPr="00A86FA4">
              <w:rPr>
                <w:rFonts w:cs="Times New Roman"/>
                <w:sz w:val="20"/>
                <w:szCs w:val="20"/>
              </w:rPr>
              <w:t>1(ž)</w:t>
            </w:r>
          </w:p>
        </w:tc>
        <w:tc>
          <w:tcPr>
            <w:tcW w:w="1270" w:type="dxa"/>
          </w:tcPr>
          <w:p w14:paraId="15CFC1BA" w14:textId="77777777" w:rsidR="00F36CF1" w:rsidRPr="00A86FA4" w:rsidRDefault="00F36CF1" w:rsidP="00F36CF1">
            <w:pPr>
              <w:jc w:val="center"/>
              <w:rPr>
                <w:rFonts w:cs="Times New Roman"/>
                <w:i/>
                <w:sz w:val="20"/>
                <w:szCs w:val="20"/>
              </w:rPr>
            </w:pPr>
          </w:p>
          <w:p w14:paraId="0130A017" w14:textId="78A0EB9B" w:rsidR="00F36CF1" w:rsidRPr="00A86FA4" w:rsidRDefault="00F36CF1" w:rsidP="00F36CF1">
            <w:pPr>
              <w:jc w:val="center"/>
              <w:rPr>
                <w:rFonts w:eastAsia="Calibri" w:cs="Times New Roman"/>
                <w:b/>
                <w:sz w:val="20"/>
                <w:szCs w:val="20"/>
              </w:rPr>
            </w:pPr>
            <w:r w:rsidRPr="00A86FA4">
              <w:rPr>
                <w:rFonts w:cs="Times New Roman"/>
                <w:i/>
                <w:sz w:val="20"/>
                <w:szCs w:val="20"/>
              </w:rPr>
              <w:t>/</w:t>
            </w:r>
          </w:p>
        </w:tc>
      </w:tr>
      <w:tr w:rsidR="00F36CF1" w:rsidRPr="00CE622A" w14:paraId="73F4F2CD" w14:textId="77777777" w:rsidTr="00B66CD2">
        <w:tc>
          <w:tcPr>
            <w:tcW w:w="2830" w:type="dxa"/>
            <w:shd w:val="clear" w:color="auto" w:fill="F2F2F2" w:themeFill="background1" w:themeFillShade="F2"/>
            <w:vAlign w:val="center"/>
          </w:tcPr>
          <w:p w14:paraId="0C6DFBB1" w14:textId="77777777" w:rsidR="00F36CF1" w:rsidRPr="00A86FA4" w:rsidRDefault="00F36CF1" w:rsidP="00F36CF1">
            <w:pPr>
              <w:rPr>
                <w:rFonts w:cs="Times New Roman"/>
                <w:b/>
                <w:sz w:val="20"/>
                <w:szCs w:val="20"/>
              </w:rPr>
            </w:pPr>
            <w:r w:rsidRPr="00A86FA4">
              <w:rPr>
                <w:rFonts w:cs="Times New Roman"/>
                <w:b/>
                <w:sz w:val="20"/>
                <w:szCs w:val="20"/>
              </w:rPr>
              <w:t xml:space="preserve">IZVORI FINANCIRANJA </w:t>
            </w:r>
          </w:p>
        </w:tc>
        <w:tc>
          <w:tcPr>
            <w:tcW w:w="3119" w:type="dxa"/>
            <w:vAlign w:val="center"/>
          </w:tcPr>
          <w:p w14:paraId="725D6A0C" w14:textId="77777777" w:rsidR="00F36CF1" w:rsidRPr="00A86FA4" w:rsidRDefault="00F36CF1" w:rsidP="00F36CF1">
            <w:pPr>
              <w:jc w:val="center"/>
              <w:rPr>
                <w:rFonts w:cs="Times New Roman"/>
                <w:b/>
                <w:sz w:val="20"/>
                <w:szCs w:val="20"/>
              </w:rPr>
            </w:pPr>
            <w:r w:rsidRPr="00A86FA4">
              <w:rPr>
                <w:rFonts w:cs="Times New Roman"/>
                <w:b/>
                <w:sz w:val="20"/>
                <w:szCs w:val="20"/>
              </w:rPr>
              <w:t>Državni proračun (EUR)</w:t>
            </w:r>
          </w:p>
        </w:tc>
        <w:tc>
          <w:tcPr>
            <w:tcW w:w="1843" w:type="dxa"/>
            <w:vAlign w:val="center"/>
          </w:tcPr>
          <w:p w14:paraId="04BA49C5" w14:textId="77777777" w:rsidR="00F36CF1" w:rsidRPr="00A86FA4" w:rsidRDefault="00F36CF1" w:rsidP="00F36CF1">
            <w:pPr>
              <w:jc w:val="center"/>
              <w:rPr>
                <w:rFonts w:cs="Times New Roman"/>
                <w:b/>
                <w:sz w:val="20"/>
                <w:szCs w:val="20"/>
              </w:rPr>
            </w:pPr>
            <w:r w:rsidRPr="00A86FA4">
              <w:rPr>
                <w:rFonts w:cs="Times New Roman"/>
                <w:b/>
                <w:sz w:val="20"/>
                <w:szCs w:val="20"/>
              </w:rPr>
              <w:t>EU financiranje (EUR)</w:t>
            </w:r>
          </w:p>
        </w:tc>
        <w:tc>
          <w:tcPr>
            <w:tcW w:w="1270" w:type="dxa"/>
            <w:vAlign w:val="center"/>
          </w:tcPr>
          <w:p w14:paraId="79ACC455" w14:textId="77777777" w:rsidR="00F36CF1" w:rsidRPr="00A86FA4" w:rsidRDefault="00F36CF1" w:rsidP="00F36CF1">
            <w:pPr>
              <w:jc w:val="center"/>
              <w:rPr>
                <w:rFonts w:cs="Times New Roman"/>
                <w:b/>
                <w:sz w:val="20"/>
                <w:szCs w:val="20"/>
              </w:rPr>
            </w:pPr>
            <w:r w:rsidRPr="00A86FA4">
              <w:rPr>
                <w:rFonts w:cs="Times New Roman"/>
                <w:b/>
                <w:sz w:val="20"/>
                <w:szCs w:val="20"/>
              </w:rPr>
              <w:t>Drugi izvori (EUR)</w:t>
            </w:r>
          </w:p>
        </w:tc>
      </w:tr>
      <w:tr w:rsidR="00F36CF1" w:rsidRPr="00CE622A" w14:paraId="2359D9FC" w14:textId="77777777" w:rsidTr="00B66CD2">
        <w:tc>
          <w:tcPr>
            <w:tcW w:w="2830" w:type="dxa"/>
            <w:shd w:val="clear" w:color="auto" w:fill="F2F2F2" w:themeFill="background1" w:themeFillShade="F2"/>
            <w:vAlign w:val="center"/>
          </w:tcPr>
          <w:p w14:paraId="1713A17B" w14:textId="237486C2" w:rsidR="00F36CF1" w:rsidRPr="00A86FA4" w:rsidRDefault="00F36CF1" w:rsidP="0061594B">
            <w:pPr>
              <w:rPr>
                <w:rFonts w:cs="Times New Roman"/>
                <w:sz w:val="20"/>
                <w:szCs w:val="20"/>
              </w:rPr>
            </w:pPr>
            <w:r w:rsidRPr="00A86FA4">
              <w:rPr>
                <w:rFonts w:cs="Times New Roman"/>
                <w:sz w:val="20"/>
                <w:szCs w:val="20"/>
              </w:rPr>
              <w:t>Izvori financiranja u 2024. (proračunska pozicija i predviđeni iznos sredstava)</w:t>
            </w:r>
          </w:p>
        </w:tc>
        <w:tc>
          <w:tcPr>
            <w:tcW w:w="3119" w:type="dxa"/>
            <w:vAlign w:val="center"/>
          </w:tcPr>
          <w:p w14:paraId="7B5B78A3" w14:textId="7EC845BA" w:rsidR="00F36CF1" w:rsidRPr="00A86FA4" w:rsidRDefault="00F36CF1" w:rsidP="00F36CF1">
            <w:pPr>
              <w:jc w:val="center"/>
              <w:rPr>
                <w:rFonts w:cs="Times New Roman"/>
                <w:sz w:val="20"/>
                <w:szCs w:val="20"/>
              </w:rPr>
            </w:pPr>
            <w:r w:rsidRPr="00A86FA4">
              <w:rPr>
                <w:rFonts w:cs="Times New Roman"/>
                <w:sz w:val="20"/>
                <w:szCs w:val="20"/>
              </w:rPr>
              <w:t>A580014 – Razvoj sustava obrazovanja odraslih</w:t>
            </w:r>
          </w:p>
          <w:p w14:paraId="5B2E933C" w14:textId="30FF30D4" w:rsidR="00F36CF1" w:rsidRPr="00A86FA4" w:rsidRDefault="00F36CF1" w:rsidP="00F36CF1">
            <w:pPr>
              <w:jc w:val="center"/>
              <w:rPr>
                <w:rFonts w:cs="Times New Roman"/>
                <w:sz w:val="20"/>
                <w:szCs w:val="20"/>
              </w:rPr>
            </w:pPr>
          </w:p>
        </w:tc>
        <w:tc>
          <w:tcPr>
            <w:tcW w:w="1843" w:type="dxa"/>
            <w:vAlign w:val="center"/>
          </w:tcPr>
          <w:p w14:paraId="24D34408" w14:textId="77777777" w:rsidR="00F36CF1" w:rsidRPr="00A86FA4" w:rsidRDefault="00F36CF1" w:rsidP="00F36CF1">
            <w:pPr>
              <w:jc w:val="center"/>
              <w:rPr>
                <w:rFonts w:cs="Times New Roman"/>
                <w:sz w:val="20"/>
                <w:szCs w:val="20"/>
              </w:rPr>
            </w:pPr>
            <w:r w:rsidRPr="00A86FA4">
              <w:rPr>
                <w:rFonts w:cs="Times New Roman"/>
                <w:sz w:val="20"/>
                <w:szCs w:val="20"/>
              </w:rPr>
              <w:t>0,00</w:t>
            </w:r>
          </w:p>
        </w:tc>
        <w:tc>
          <w:tcPr>
            <w:tcW w:w="1270" w:type="dxa"/>
            <w:vAlign w:val="center"/>
          </w:tcPr>
          <w:p w14:paraId="57E5BB93" w14:textId="77777777" w:rsidR="00F36CF1" w:rsidRPr="00A86FA4" w:rsidRDefault="00F36CF1" w:rsidP="00F36CF1">
            <w:pPr>
              <w:jc w:val="center"/>
              <w:rPr>
                <w:rFonts w:cs="Times New Roman"/>
                <w:sz w:val="20"/>
                <w:szCs w:val="20"/>
              </w:rPr>
            </w:pPr>
            <w:r w:rsidRPr="00A86FA4">
              <w:rPr>
                <w:rFonts w:cs="Times New Roman"/>
                <w:sz w:val="20"/>
                <w:szCs w:val="20"/>
              </w:rPr>
              <w:t>0,00</w:t>
            </w:r>
          </w:p>
        </w:tc>
      </w:tr>
      <w:tr w:rsidR="00F36CF1" w:rsidRPr="00CE622A" w14:paraId="1886FFFC" w14:textId="77777777" w:rsidTr="00B66CD2">
        <w:tc>
          <w:tcPr>
            <w:tcW w:w="2830" w:type="dxa"/>
            <w:vMerge w:val="restart"/>
            <w:shd w:val="clear" w:color="auto" w:fill="F2F2F2" w:themeFill="background1" w:themeFillShade="F2"/>
            <w:vAlign w:val="center"/>
          </w:tcPr>
          <w:p w14:paraId="490C5B62" w14:textId="77777777" w:rsidR="00F36CF1" w:rsidRPr="00A86FA4" w:rsidRDefault="00F36CF1" w:rsidP="00F36CF1">
            <w:pPr>
              <w:rPr>
                <w:rFonts w:cs="Times New Roman"/>
                <w:b/>
                <w:sz w:val="20"/>
                <w:szCs w:val="20"/>
              </w:rPr>
            </w:pPr>
            <w:r w:rsidRPr="00A86FA4">
              <w:rPr>
                <w:rFonts w:cs="Times New Roman"/>
                <w:b/>
                <w:sz w:val="20"/>
                <w:szCs w:val="20"/>
              </w:rPr>
              <w:t xml:space="preserve">UKUPNO UTROŠENA SREDSTVA PO IZVORU </w:t>
            </w:r>
          </w:p>
        </w:tc>
        <w:tc>
          <w:tcPr>
            <w:tcW w:w="3119" w:type="dxa"/>
            <w:vAlign w:val="center"/>
          </w:tcPr>
          <w:p w14:paraId="7A1A9956" w14:textId="77777777" w:rsidR="00F36CF1" w:rsidRPr="00A86FA4" w:rsidRDefault="00F36CF1" w:rsidP="00F36CF1">
            <w:pPr>
              <w:jc w:val="center"/>
              <w:rPr>
                <w:rFonts w:cs="Times New Roman"/>
                <w:b/>
                <w:sz w:val="20"/>
                <w:szCs w:val="20"/>
              </w:rPr>
            </w:pPr>
            <w:r w:rsidRPr="00A86FA4">
              <w:rPr>
                <w:rFonts w:cs="Times New Roman"/>
                <w:b/>
                <w:sz w:val="20"/>
                <w:szCs w:val="20"/>
              </w:rPr>
              <w:t>Državni proračun (EUR)</w:t>
            </w:r>
          </w:p>
        </w:tc>
        <w:tc>
          <w:tcPr>
            <w:tcW w:w="1843" w:type="dxa"/>
            <w:vAlign w:val="center"/>
          </w:tcPr>
          <w:p w14:paraId="6979772B" w14:textId="77777777" w:rsidR="00F36CF1" w:rsidRPr="00A86FA4" w:rsidRDefault="00F36CF1" w:rsidP="00F36CF1">
            <w:pPr>
              <w:jc w:val="center"/>
              <w:rPr>
                <w:rFonts w:cs="Times New Roman"/>
                <w:b/>
                <w:sz w:val="20"/>
                <w:szCs w:val="20"/>
              </w:rPr>
            </w:pPr>
            <w:r w:rsidRPr="00A86FA4">
              <w:rPr>
                <w:rFonts w:cs="Times New Roman"/>
                <w:b/>
                <w:sz w:val="20"/>
                <w:szCs w:val="20"/>
              </w:rPr>
              <w:t>EU financiranje (EUR)</w:t>
            </w:r>
          </w:p>
        </w:tc>
        <w:tc>
          <w:tcPr>
            <w:tcW w:w="1270" w:type="dxa"/>
            <w:vAlign w:val="center"/>
          </w:tcPr>
          <w:p w14:paraId="73DDA16E" w14:textId="77777777" w:rsidR="00F36CF1" w:rsidRPr="00A86FA4" w:rsidRDefault="00F36CF1" w:rsidP="00F36CF1">
            <w:pPr>
              <w:jc w:val="center"/>
              <w:rPr>
                <w:rFonts w:cs="Times New Roman"/>
                <w:b/>
                <w:sz w:val="20"/>
                <w:szCs w:val="20"/>
              </w:rPr>
            </w:pPr>
            <w:r w:rsidRPr="00A86FA4">
              <w:rPr>
                <w:rFonts w:cs="Times New Roman"/>
                <w:b/>
                <w:sz w:val="20"/>
                <w:szCs w:val="20"/>
              </w:rPr>
              <w:t>Drugi izvori (EUR)</w:t>
            </w:r>
          </w:p>
        </w:tc>
      </w:tr>
      <w:tr w:rsidR="00F36CF1" w:rsidRPr="00CE622A" w14:paraId="77A297B3" w14:textId="77777777" w:rsidTr="002A04BF">
        <w:tc>
          <w:tcPr>
            <w:tcW w:w="2830" w:type="dxa"/>
            <w:vMerge/>
            <w:shd w:val="clear" w:color="auto" w:fill="F2F2F2" w:themeFill="background1" w:themeFillShade="F2"/>
            <w:vAlign w:val="center"/>
          </w:tcPr>
          <w:p w14:paraId="0E172650" w14:textId="77777777" w:rsidR="00F36CF1" w:rsidRPr="00A86FA4" w:rsidRDefault="00F36CF1" w:rsidP="00F36CF1">
            <w:pPr>
              <w:rPr>
                <w:rFonts w:cs="Times New Roman"/>
                <w:b/>
                <w:sz w:val="20"/>
                <w:szCs w:val="20"/>
              </w:rPr>
            </w:pPr>
          </w:p>
        </w:tc>
        <w:tc>
          <w:tcPr>
            <w:tcW w:w="3119" w:type="dxa"/>
            <w:vAlign w:val="center"/>
          </w:tcPr>
          <w:p w14:paraId="5B81C8DF" w14:textId="5A043906" w:rsidR="00F36CF1" w:rsidRPr="00A86FA4" w:rsidRDefault="00F36CF1" w:rsidP="00F36CF1">
            <w:pPr>
              <w:jc w:val="center"/>
              <w:rPr>
                <w:rFonts w:eastAsia="Calibri" w:cs="Times New Roman"/>
                <w:sz w:val="20"/>
                <w:szCs w:val="20"/>
              </w:rPr>
            </w:pPr>
            <w:r w:rsidRPr="00A86FA4">
              <w:rPr>
                <w:rFonts w:eastAsia="Calibri" w:cs="Times New Roman"/>
                <w:sz w:val="20"/>
                <w:szCs w:val="20"/>
              </w:rPr>
              <w:t>A580014 – Razvoj sustava obrazovanja odraslih</w:t>
            </w:r>
          </w:p>
          <w:p w14:paraId="21C43FA8" w14:textId="4900FB4C" w:rsidR="00F36CF1" w:rsidRPr="00B330EB" w:rsidRDefault="00F36CF1" w:rsidP="00F36CF1">
            <w:pPr>
              <w:jc w:val="center"/>
              <w:rPr>
                <w:rFonts w:eastAsia="Calibri" w:cs="Times New Roman"/>
                <w:b/>
                <w:sz w:val="20"/>
                <w:szCs w:val="20"/>
              </w:rPr>
            </w:pPr>
            <w:r w:rsidRPr="00B330EB">
              <w:rPr>
                <w:rFonts w:eastAsia="Calibri" w:cs="Times New Roman"/>
                <w:b/>
                <w:sz w:val="20"/>
                <w:szCs w:val="20"/>
              </w:rPr>
              <w:t>16.380,00</w:t>
            </w:r>
          </w:p>
        </w:tc>
        <w:tc>
          <w:tcPr>
            <w:tcW w:w="1843" w:type="dxa"/>
            <w:vAlign w:val="center"/>
          </w:tcPr>
          <w:p w14:paraId="7F72F01C" w14:textId="2F8472D1" w:rsidR="00F36CF1" w:rsidRPr="00A86FA4" w:rsidRDefault="00F36CF1" w:rsidP="00F36CF1">
            <w:pPr>
              <w:jc w:val="center"/>
              <w:rPr>
                <w:rFonts w:cs="Times New Roman"/>
                <w:sz w:val="20"/>
                <w:szCs w:val="20"/>
              </w:rPr>
            </w:pPr>
            <w:r w:rsidRPr="00A86FA4">
              <w:rPr>
                <w:rFonts w:cs="Times New Roman"/>
                <w:sz w:val="20"/>
                <w:szCs w:val="20"/>
              </w:rPr>
              <w:t>0,00</w:t>
            </w:r>
          </w:p>
        </w:tc>
        <w:tc>
          <w:tcPr>
            <w:tcW w:w="1270" w:type="dxa"/>
            <w:vAlign w:val="center"/>
          </w:tcPr>
          <w:p w14:paraId="77725137" w14:textId="4AB0D681" w:rsidR="00F36CF1" w:rsidRPr="00A86FA4" w:rsidRDefault="00F36CF1" w:rsidP="00F36CF1">
            <w:pPr>
              <w:jc w:val="center"/>
              <w:rPr>
                <w:rFonts w:cs="Times New Roman"/>
                <w:sz w:val="20"/>
                <w:szCs w:val="20"/>
              </w:rPr>
            </w:pPr>
            <w:r w:rsidRPr="00A86FA4">
              <w:rPr>
                <w:rFonts w:cs="Times New Roman"/>
                <w:sz w:val="20"/>
                <w:szCs w:val="20"/>
              </w:rPr>
              <w:t>0,00</w:t>
            </w:r>
          </w:p>
        </w:tc>
      </w:tr>
      <w:tr w:rsidR="00F36CF1" w:rsidRPr="00CE622A" w14:paraId="229C2090" w14:textId="77777777" w:rsidTr="00B66CD2">
        <w:trPr>
          <w:cantSplit/>
          <w:trHeight w:val="390"/>
        </w:trPr>
        <w:tc>
          <w:tcPr>
            <w:tcW w:w="2830" w:type="dxa"/>
            <w:shd w:val="clear" w:color="auto" w:fill="F2F2F2" w:themeFill="background1" w:themeFillShade="F2"/>
            <w:vAlign w:val="center"/>
          </w:tcPr>
          <w:p w14:paraId="33A29D72" w14:textId="7A5C8958" w:rsidR="00F36CF1" w:rsidRPr="00A86FA4" w:rsidRDefault="00F36CF1" w:rsidP="00F36CF1">
            <w:pPr>
              <w:rPr>
                <w:rFonts w:cs="Times New Roman"/>
                <w:sz w:val="20"/>
                <w:szCs w:val="20"/>
              </w:rPr>
            </w:pPr>
            <w:r w:rsidRPr="00A86FA4">
              <w:rPr>
                <w:rFonts w:cs="Times New Roman"/>
                <w:sz w:val="20"/>
                <w:szCs w:val="20"/>
                <w:shd w:val="clear" w:color="auto" w:fill="F2F2F2" w:themeFill="background1" w:themeFillShade="F2"/>
              </w:rPr>
              <w:t>ROK PROVEDBE AKTIVNOSTI</w:t>
            </w:r>
            <w:r w:rsidRPr="00A86FA4">
              <w:rPr>
                <w:rFonts w:cs="Times New Roman"/>
                <w:sz w:val="20"/>
                <w:szCs w:val="20"/>
              </w:rPr>
              <w:t xml:space="preserve"> </w:t>
            </w:r>
          </w:p>
        </w:tc>
        <w:tc>
          <w:tcPr>
            <w:tcW w:w="6232" w:type="dxa"/>
            <w:gridSpan w:val="3"/>
            <w:vAlign w:val="center"/>
          </w:tcPr>
          <w:p w14:paraId="007EFC27" w14:textId="06EA4362" w:rsidR="00F36CF1" w:rsidRPr="00A86FA4" w:rsidRDefault="00EF3939" w:rsidP="00EF3939">
            <w:pPr>
              <w:rPr>
                <w:rFonts w:cs="Times New Roman"/>
                <w:sz w:val="20"/>
                <w:szCs w:val="20"/>
              </w:rPr>
            </w:pPr>
            <w:r w:rsidRPr="00A86FA4">
              <w:rPr>
                <w:rFonts w:cs="Times New Roman"/>
                <w:sz w:val="20"/>
                <w:szCs w:val="20"/>
              </w:rPr>
              <w:t>I</w:t>
            </w:r>
            <w:r w:rsidR="001F2E37">
              <w:rPr>
                <w:rFonts w:cs="Times New Roman"/>
                <w:sz w:val="20"/>
                <w:szCs w:val="20"/>
              </w:rPr>
              <w:t>.</w:t>
            </w:r>
            <w:r w:rsidRPr="00A86FA4">
              <w:rPr>
                <w:rFonts w:cs="Times New Roman"/>
                <w:sz w:val="20"/>
                <w:szCs w:val="20"/>
              </w:rPr>
              <w:t>-</w:t>
            </w:r>
            <w:r w:rsidR="00F36CF1" w:rsidRPr="00A86FA4">
              <w:rPr>
                <w:rFonts w:cs="Times New Roman"/>
                <w:sz w:val="20"/>
                <w:szCs w:val="20"/>
              </w:rPr>
              <w:t>IV. kvartal 202</w:t>
            </w:r>
            <w:r w:rsidR="00366D41">
              <w:rPr>
                <w:rFonts w:cs="Times New Roman"/>
                <w:sz w:val="20"/>
                <w:szCs w:val="20"/>
              </w:rPr>
              <w:t>5</w:t>
            </w:r>
            <w:r w:rsidR="00F36CF1" w:rsidRPr="00A86FA4">
              <w:rPr>
                <w:rFonts w:cs="Times New Roman"/>
                <w:sz w:val="20"/>
                <w:szCs w:val="20"/>
              </w:rPr>
              <w:t xml:space="preserve">. </w:t>
            </w:r>
          </w:p>
        </w:tc>
      </w:tr>
    </w:tbl>
    <w:p w14:paraId="037B1326" w14:textId="1E040372" w:rsidR="00005D9B" w:rsidRDefault="00005D9B" w:rsidP="004A3B23">
      <w:pPr>
        <w:spacing w:after="0" w:line="276" w:lineRule="auto"/>
        <w:rPr>
          <w:rFonts w:cs="Times New Roman"/>
        </w:rPr>
      </w:pPr>
    </w:p>
    <w:p w14:paraId="03154CE9" w14:textId="77777777" w:rsidR="003379F1" w:rsidRPr="00A81FA5" w:rsidRDefault="003379F1" w:rsidP="004A3B23">
      <w:pPr>
        <w:spacing w:after="0" w:line="276" w:lineRule="auto"/>
        <w:rPr>
          <w:rFonts w:cs="Times New Roman"/>
        </w:rPr>
      </w:pPr>
    </w:p>
    <w:p w14:paraId="4CEF93C0" w14:textId="019957E5" w:rsidR="008A1C05" w:rsidRPr="00A81FA5" w:rsidRDefault="00005D9B" w:rsidP="00005D9B">
      <w:pPr>
        <w:rPr>
          <w:rFonts w:cs="Times New Roman"/>
        </w:rPr>
      </w:pPr>
      <w:r w:rsidRPr="00A81FA5">
        <w:rPr>
          <w:rFonts w:cs="Times New Roman"/>
        </w:rPr>
        <w:br w:type="page"/>
      </w:r>
    </w:p>
    <w:p w14:paraId="239DDF34" w14:textId="75A6FF32" w:rsidR="006624C5" w:rsidRPr="00FC64BF" w:rsidRDefault="003C5FC2" w:rsidP="00D36147">
      <w:pPr>
        <w:pStyle w:val="Heading1"/>
        <w:spacing w:before="0"/>
        <w:rPr>
          <w:rFonts w:cs="Times New Roman"/>
        </w:rPr>
      </w:pPr>
      <w:bookmarkStart w:id="41" w:name="_Toc132988319"/>
      <w:bookmarkStart w:id="42" w:name="_Hlk66118581"/>
      <w:bookmarkEnd w:id="35"/>
      <w:r w:rsidRPr="00FC64BF">
        <w:rPr>
          <w:rFonts w:cs="Times New Roman"/>
        </w:rPr>
        <w:lastRenderedPageBreak/>
        <w:t>MJER</w:t>
      </w:r>
      <w:r w:rsidR="00284F7E" w:rsidRPr="00FC64BF">
        <w:rPr>
          <w:rFonts w:cs="Times New Roman"/>
        </w:rPr>
        <w:t>E</w:t>
      </w:r>
      <w:r w:rsidRPr="00FC64BF">
        <w:rPr>
          <w:rFonts w:cs="Times New Roman"/>
        </w:rPr>
        <w:t xml:space="preserve"> I </w:t>
      </w:r>
      <w:r w:rsidR="00CB102E" w:rsidRPr="00FC64BF">
        <w:rPr>
          <w:rFonts w:cs="Times New Roman"/>
        </w:rPr>
        <w:t>AKTIVNOSTI</w:t>
      </w:r>
      <w:r w:rsidR="0027529C" w:rsidRPr="00FC64BF">
        <w:rPr>
          <w:rFonts w:cs="Times New Roman"/>
        </w:rPr>
        <w:t xml:space="preserve"> U SEKTORSKOM CILJU </w:t>
      </w:r>
      <w:r w:rsidR="008D1FC7" w:rsidRPr="00FC64BF">
        <w:rPr>
          <w:rFonts w:cs="Times New Roman"/>
        </w:rPr>
        <w:t>UČINKOVIT</w:t>
      </w:r>
      <w:r w:rsidR="00EA1D5A" w:rsidRPr="00FC64BF">
        <w:rPr>
          <w:rFonts w:cs="Times New Roman"/>
        </w:rPr>
        <w:t xml:space="preserve"> I</w:t>
      </w:r>
      <w:r w:rsidR="008D1FC7" w:rsidRPr="00FC64BF">
        <w:rPr>
          <w:rFonts w:cs="Times New Roman"/>
        </w:rPr>
        <w:t xml:space="preserve"> JEDNAK PRISTUP </w:t>
      </w:r>
      <w:r w:rsidR="00AA6531" w:rsidRPr="00FC64BF">
        <w:rPr>
          <w:rFonts w:cs="Times New Roman"/>
        </w:rPr>
        <w:t xml:space="preserve">ROMA </w:t>
      </w:r>
      <w:r w:rsidR="008D1FC7" w:rsidRPr="00FC64BF">
        <w:rPr>
          <w:rFonts w:cs="Times New Roman"/>
        </w:rPr>
        <w:t>KVALITETNOM</w:t>
      </w:r>
      <w:r w:rsidR="00EA1D5A" w:rsidRPr="00FC64BF">
        <w:rPr>
          <w:rFonts w:cs="Times New Roman"/>
        </w:rPr>
        <w:t>,</w:t>
      </w:r>
      <w:r w:rsidR="008D1FC7" w:rsidRPr="00FC64BF">
        <w:rPr>
          <w:rFonts w:cs="Times New Roman"/>
        </w:rPr>
        <w:t xml:space="preserve"> ODRŽIVOM ZAPOŠLJAVANJU</w:t>
      </w:r>
      <w:bookmarkEnd w:id="41"/>
    </w:p>
    <w:p w14:paraId="464709AF" w14:textId="77777777" w:rsidR="005612A7" w:rsidRPr="00FC64BF" w:rsidRDefault="005612A7" w:rsidP="00D36147">
      <w:pPr>
        <w:spacing w:after="0" w:line="276" w:lineRule="auto"/>
        <w:jc w:val="both"/>
        <w:rPr>
          <w:rFonts w:cs="Times New Roman"/>
        </w:rPr>
      </w:pPr>
    </w:p>
    <w:p w14:paraId="74E74C84" w14:textId="356001BB" w:rsidR="001D1FA4" w:rsidRPr="00FC64BF" w:rsidRDefault="001D1FA4" w:rsidP="00D36147">
      <w:pPr>
        <w:spacing w:after="0" w:line="276" w:lineRule="auto"/>
        <w:jc w:val="both"/>
        <w:rPr>
          <w:rFonts w:cs="Times New Roman"/>
        </w:rPr>
      </w:pPr>
      <w:r w:rsidRPr="00FC64BF">
        <w:rPr>
          <w:rFonts w:cs="Times New Roman"/>
        </w:rPr>
        <w:t xml:space="preserve">Svrha provedbe mjera i aktivnosti je: </w:t>
      </w:r>
    </w:p>
    <w:p w14:paraId="1E169424" w14:textId="4CB989ED" w:rsidR="00541A5B" w:rsidRPr="00FC64BF" w:rsidRDefault="007A2707" w:rsidP="00D36147">
      <w:pPr>
        <w:pStyle w:val="ListParagraph"/>
        <w:numPr>
          <w:ilvl w:val="0"/>
          <w:numId w:val="2"/>
        </w:numPr>
        <w:spacing w:line="276" w:lineRule="auto"/>
        <w:jc w:val="both"/>
      </w:pPr>
      <w:r w:rsidRPr="00FC64BF">
        <w:t>pomoć i podrška pri prelasku iz sustava obrazovanja na tržište rada i podrška stjecanju vještina i znanja kojima se poboljšava ukupni položaj pripadnika romske nacionalne manjine na tržištu rada te potiče zapošljavanje i samozapošljavanje</w:t>
      </w:r>
      <w:r w:rsidR="00533E46">
        <w:t>;</w:t>
      </w:r>
    </w:p>
    <w:p w14:paraId="6CF6B298" w14:textId="04ED39B8" w:rsidR="00541A5B" w:rsidRPr="00FC64BF" w:rsidRDefault="00541A5B" w:rsidP="00D36147">
      <w:pPr>
        <w:pStyle w:val="ListParagraph"/>
        <w:numPr>
          <w:ilvl w:val="0"/>
          <w:numId w:val="2"/>
        </w:numPr>
        <w:spacing w:line="276" w:lineRule="auto"/>
        <w:jc w:val="both"/>
      </w:pPr>
      <w:r w:rsidRPr="00FC64BF">
        <w:t xml:space="preserve">ciljana potpora </w:t>
      </w:r>
      <w:r w:rsidR="007A2707" w:rsidRPr="00FC64BF">
        <w:t>Romkinjama</w:t>
      </w:r>
      <w:r w:rsidR="00896D05" w:rsidRPr="00FC64BF">
        <w:t xml:space="preserve"> pri zapošljavanju</w:t>
      </w:r>
      <w:r w:rsidR="007A2707" w:rsidRPr="00FC64BF">
        <w:t xml:space="preserve"> koja uzima</w:t>
      </w:r>
      <w:r w:rsidRPr="00FC64BF">
        <w:t xml:space="preserve"> u obzir individualne sklonosti i motivaciju te prepreke i specifičan nepovoljni položaj kao i razloge zbog kojih su </w:t>
      </w:r>
      <w:r w:rsidR="007A2707" w:rsidRPr="00FC64BF">
        <w:t>nezaposlene</w:t>
      </w:r>
      <w:r w:rsidR="00533E46">
        <w:t>;</w:t>
      </w:r>
      <w:r w:rsidRPr="00FC64BF">
        <w:t xml:space="preserve"> </w:t>
      </w:r>
    </w:p>
    <w:p w14:paraId="09198985" w14:textId="1BCBFB8C" w:rsidR="007A2707" w:rsidRPr="00FC64BF" w:rsidRDefault="00896D05" w:rsidP="00D36147">
      <w:pPr>
        <w:pStyle w:val="ListParagraph"/>
        <w:numPr>
          <w:ilvl w:val="0"/>
          <w:numId w:val="2"/>
        </w:numPr>
        <w:spacing w:line="276" w:lineRule="auto"/>
        <w:jc w:val="both"/>
      </w:pPr>
      <w:r w:rsidRPr="00FC64BF">
        <w:t>ciljana potpora mladima koja uzima u obzir individualne sklonosti, motivaciju te prepreke i specifičan nepovoljni položaj mladih Roma uz rad s poslodavcima s ciljem uvođenja novih praksi podupiranja</w:t>
      </w:r>
      <w:r w:rsidR="00541A5B" w:rsidRPr="00FC64BF">
        <w:t xml:space="preserve"> </w:t>
      </w:r>
      <w:r w:rsidRPr="00FC64BF">
        <w:t>osposobljavanja i usavršavanja na radnom mjestu</w:t>
      </w:r>
      <w:r w:rsidR="00533E46">
        <w:t>.</w:t>
      </w:r>
    </w:p>
    <w:p w14:paraId="51F200EF" w14:textId="77777777" w:rsidR="00896D05" w:rsidRPr="00FC64BF" w:rsidRDefault="00896D05" w:rsidP="00D36147">
      <w:pPr>
        <w:pStyle w:val="ListParagraph"/>
        <w:spacing w:line="276" w:lineRule="auto"/>
        <w:jc w:val="both"/>
        <w:rPr>
          <w:sz w:val="22"/>
        </w:rPr>
      </w:pPr>
    </w:p>
    <w:bookmarkEnd w:id="42"/>
    <w:p w14:paraId="5BD2AB95" w14:textId="7B4CFE62" w:rsidR="00AD0006" w:rsidRPr="00FC64BF" w:rsidRDefault="0073254B" w:rsidP="00D36147">
      <w:pPr>
        <w:pStyle w:val="Heading2"/>
        <w:spacing w:line="276" w:lineRule="auto"/>
        <w:rPr>
          <w:rFonts w:cs="Times New Roman"/>
        </w:rPr>
      </w:pPr>
      <w:r w:rsidRPr="00FC64BF">
        <w:rPr>
          <w:rFonts w:cs="Times New Roman"/>
        </w:rPr>
        <w:t>Mjer</w:t>
      </w:r>
      <w:r w:rsidR="009870E5" w:rsidRPr="00FC64BF">
        <w:rPr>
          <w:rFonts w:cs="Times New Roman"/>
        </w:rPr>
        <w:t>a</w:t>
      </w:r>
      <w:r w:rsidRPr="00FC64BF">
        <w:rPr>
          <w:rFonts w:cs="Times New Roman"/>
        </w:rPr>
        <w:t xml:space="preserve"> </w:t>
      </w:r>
      <w:r w:rsidR="00AD0006" w:rsidRPr="00FC64BF">
        <w:rPr>
          <w:rFonts w:cs="Times New Roman"/>
        </w:rPr>
        <w:t>5.1.</w:t>
      </w:r>
      <w:r w:rsidRPr="00FC64BF">
        <w:rPr>
          <w:rFonts w:cs="Times New Roman"/>
        </w:rPr>
        <w:t xml:space="preserve"> </w:t>
      </w:r>
      <w:r w:rsidR="00AD0006" w:rsidRPr="00FC64BF">
        <w:rPr>
          <w:rFonts w:cs="Times New Roman"/>
        </w:rPr>
        <w:t>Smanjivanje jaza u zapošljavanju Roma i zapošljavanju opće populacije</w:t>
      </w:r>
    </w:p>
    <w:p w14:paraId="72A2A43A" w14:textId="77777777" w:rsidR="00754E0C" w:rsidRPr="00FC64BF" w:rsidRDefault="00754E0C" w:rsidP="004A3B23">
      <w:pPr>
        <w:spacing w:after="0" w:line="276" w:lineRule="auto"/>
        <w:jc w:val="both"/>
        <w:rPr>
          <w:rFonts w:cs="Times New Roman"/>
          <w:i/>
          <w:iCs/>
          <w:szCs w:val="24"/>
        </w:rPr>
      </w:pPr>
    </w:p>
    <w:p w14:paraId="38A64760" w14:textId="77777777" w:rsidR="00CA388F" w:rsidRPr="00FC64BF" w:rsidRDefault="009870E5" w:rsidP="00D36147">
      <w:pPr>
        <w:spacing w:after="0" w:line="276" w:lineRule="auto"/>
        <w:jc w:val="both"/>
        <w:rPr>
          <w:rFonts w:cs="Times New Roman"/>
          <w:i/>
          <w:iCs/>
          <w:szCs w:val="24"/>
        </w:rPr>
      </w:pPr>
      <w:r w:rsidRPr="00FC64BF">
        <w:rPr>
          <w:rFonts w:cs="Times New Roman"/>
          <w:i/>
          <w:iCs/>
          <w:szCs w:val="24"/>
        </w:rPr>
        <w:t xml:space="preserve">Aktivnost </w:t>
      </w:r>
      <w:r w:rsidR="0073254B" w:rsidRPr="00FC64BF">
        <w:rPr>
          <w:rFonts w:cs="Times New Roman"/>
          <w:i/>
          <w:iCs/>
          <w:szCs w:val="24"/>
        </w:rPr>
        <w:t>5</w:t>
      </w:r>
      <w:r w:rsidR="00AD0006" w:rsidRPr="00FC64BF">
        <w:rPr>
          <w:rFonts w:cs="Times New Roman"/>
          <w:i/>
          <w:iCs/>
          <w:szCs w:val="24"/>
        </w:rPr>
        <w:t>.1.1.</w:t>
      </w:r>
      <w:r w:rsidRPr="00FC64BF">
        <w:rPr>
          <w:rFonts w:cs="Times New Roman"/>
          <w:i/>
          <w:iCs/>
          <w:szCs w:val="24"/>
        </w:rPr>
        <w:t xml:space="preserve"> </w:t>
      </w:r>
      <w:r w:rsidR="00AD0006" w:rsidRPr="00FC64BF">
        <w:rPr>
          <w:rFonts w:cs="Times New Roman"/>
          <w:i/>
          <w:iCs/>
          <w:szCs w:val="24"/>
        </w:rPr>
        <w:t>Prevencija ranog napuštanja redovnog obrazovanja o</w:t>
      </w:r>
      <w:r w:rsidR="00CA388F" w:rsidRPr="00FC64BF">
        <w:rPr>
          <w:rFonts w:cs="Times New Roman"/>
          <w:i/>
          <w:iCs/>
          <w:szCs w:val="24"/>
        </w:rPr>
        <w:t>dgovarajućim izborom zanimanja</w:t>
      </w:r>
    </w:p>
    <w:p w14:paraId="4F47BE91" w14:textId="77777777" w:rsidR="00CA388F" w:rsidRPr="00FC64BF" w:rsidRDefault="00CA388F" w:rsidP="00D36147">
      <w:pPr>
        <w:spacing w:after="0" w:line="276" w:lineRule="auto"/>
        <w:jc w:val="both"/>
        <w:rPr>
          <w:rFonts w:cs="Times New Roman"/>
          <w:i/>
          <w:iCs/>
          <w:szCs w:val="24"/>
        </w:rPr>
      </w:pPr>
      <w:r w:rsidRPr="00FC64BF">
        <w:rPr>
          <w:rFonts w:cs="Times New Roman"/>
          <w:i/>
          <w:iCs/>
          <w:szCs w:val="24"/>
        </w:rPr>
        <w:t xml:space="preserve">Nositelj provedbe: </w:t>
      </w:r>
      <w:r w:rsidR="00AD0006" w:rsidRPr="00FC64BF">
        <w:rPr>
          <w:rFonts w:cs="Times New Roman"/>
          <w:i/>
          <w:iCs/>
          <w:szCs w:val="24"/>
        </w:rPr>
        <w:t>Hrvatski zavod za zapošljavanje</w:t>
      </w:r>
      <w:r w:rsidRPr="00FC64BF">
        <w:rPr>
          <w:rFonts w:cs="Times New Roman"/>
          <w:i/>
          <w:iCs/>
          <w:szCs w:val="24"/>
        </w:rPr>
        <w:t xml:space="preserve"> </w:t>
      </w:r>
    </w:p>
    <w:p w14:paraId="45A248B8" w14:textId="687ACE76" w:rsidR="005820AC" w:rsidRPr="00FC64BF" w:rsidRDefault="00CA388F" w:rsidP="00D36147">
      <w:pPr>
        <w:spacing w:after="0" w:line="276" w:lineRule="auto"/>
        <w:jc w:val="both"/>
        <w:rPr>
          <w:rFonts w:cs="Times New Roman"/>
          <w:i/>
          <w:iCs/>
          <w:szCs w:val="24"/>
        </w:rPr>
      </w:pPr>
      <w:r w:rsidRPr="00FC64BF">
        <w:rPr>
          <w:rFonts w:cs="Times New Roman"/>
          <w:i/>
          <w:iCs/>
          <w:szCs w:val="24"/>
        </w:rPr>
        <w:t>P</w:t>
      </w:r>
      <w:r w:rsidR="00015092" w:rsidRPr="00FC64BF">
        <w:rPr>
          <w:rFonts w:cs="Times New Roman"/>
          <w:i/>
          <w:iCs/>
          <w:szCs w:val="24"/>
        </w:rPr>
        <w:t xml:space="preserve">artneri: </w:t>
      </w:r>
      <w:r w:rsidR="00060B0A" w:rsidRPr="00FC64BF">
        <w:rPr>
          <w:rFonts w:cs="Times New Roman"/>
          <w:i/>
          <w:iCs/>
          <w:szCs w:val="24"/>
        </w:rPr>
        <w:t>Š</w:t>
      </w:r>
      <w:r w:rsidRPr="00FC64BF">
        <w:rPr>
          <w:rFonts w:cs="Times New Roman"/>
          <w:i/>
          <w:iCs/>
          <w:szCs w:val="24"/>
        </w:rPr>
        <w:t>kole na lokalnom području</w:t>
      </w:r>
    </w:p>
    <w:p w14:paraId="1DAAF3BD" w14:textId="77777777" w:rsidR="005612A7" w:rsidRPr="00FC64BF" w:rsidRDefault="005612A7" w:rsidP="00D36147">
      <w:pPr>
        <w:spacing w:after="0" w:line="276" w:lineRule="auto"/>
        <w:jc w:val="both"/>
        <w:rPr>
          <w:rFonts w:cs="Times New Roman"/>
          <w:szCs w:val="24"/>
        </w:rPr>
      </w:pPr>
    </w:p>
    <w:p w14:paraId="655E9F8B" w14:textId="63DAB975" w:rsidR="00060B0A" w:rsidRPr="00FC64BF" w:rsidRDefault="00060B0A" w:rsidP="00D36147">
      <w:pPr>
        <w:spacing w:after="0" w:line="276" w:lineRule="auto"/>
        <w:jc w:val="both"/>
        <w:rPr>
          <w:rFonts w:cs="Times New Roman"/>
          <w:szCs w:val="24"/>
        </w:rPr>
      </w:pPr>
      <w:r w:rsidRPr="00FC64BF">
        <w:rPr>
          <w:rFonts w:cs="Times New Roman"/>
          <w:szCs w:val="24"/>
        </w:rPr>
        <w:t>Omogućiti učenicima romske nacionalne manjine podršku pri izboru zanimanja od strane stručnjaka za profesionalno usmjeravanje u završnim razredima osnovne i srednje škole, koja uključuje individualnu procjenu i savjetovanje o najprimjerenijem obliku nastavka obrazovanja. U tom procesu učenici se dodatno motivira</w:t>
      </w:r>
      <w:r w:rsidR="0051774A" w:rsidRPr="00FC64BF">
        <w:rPr>
          <w:rFonts w:cs="Times New Roman"/>
          <w:szCs w:val="24"/>
        </w:rPr>
        <w:t>ju</w:t>
      </w:r>
      <w:r w:rsidRPr="00FC64BF">
        <w:rPr>
          <w:rFonts w:cs="Times New Roman"/>
          <w:szCs w:val="24"/>
        </w:rPr>
        <w:t xml:space="preserve"> za nastavak obrazovanja te dobi</w:t>
      </w:r>
      <w:r w:rsidR="0051774A" w:rsidRPr="00FC64BF">
        <w:rPr>
          <w:rFonts w:cs="Times New Roman"/>
          <w:szCs w:val="24"/>
        </w:rPr>
        <w:t>vaju</w:t>
      </w:r>
      <w:r w:rsidRPr="00FC64BF">
        <w:rPr>
          <w:rFonts w:cs="Times New Roman"/>
          <w:szCs w:val="24"/>
        </w:rPr>
        <w:t xml:space="preserve"> informacije o mogućnostima zapošljavanja nakon završenog školovanja.</w:t>
      </w:r>
    </w:p>
    <w:p w14:paraId="760F338F" w14:textId="79C973B7" w:rsidR="00F17D2C" w:rsidRPr="00F17D2C" w:rsidRDefault="006D7DCA">
      <w:pPr>
        <w:jc w:val="both"/>
        <w:rPr>
          <w:rFonts w:cs="Times New Roman"/>
          <w:szCs w:val="24"/>
        </w:rPr>
      </w:pPr>
      <w:r w:rsidRPr="00F17D2C">
        <w:rPr>
          <w:rFonts w:cs="Times New Roman"/>
          <w:szCs w:val="24"/>
        </w:rPr>
        <w:t>Tijekom 2024. godine u postupak profesionalnog usmjeravanja pri Zavodu bio je uključen 151 učenik pripadnik romske nacionalne manjine, od čega 74 učenika odnosno 79 učenica, većinom u dobi od 15 (41</w:t>
      </w:r>
      <w:r w:rsidR="00533E46">
        <w:rPr>
          <w:rFonts w:cs="Times New Roman"/>
          <w:szCs w:val="24"/>
        </w:rPr>
        <w:t xml:space="preserve"> </w:t>
      </w:r>
      <w:r w:rsidRPr="00F17D2C">
        <w:rPr>
          <w:rFonts w:cs="Times New Roman"/>
          <w:szCs w:val="24"/>
        </w:rPr>
        <w:t>%) i 14 (40</w:t>
      </w:r>
      <w:r w:rsidR="00533E46">
        <w:rPr>
          <w:rFonts w:cs="Times New Roman"/>
          <w:szCs w:val="24"/>
        </w:rPr>
        <w:t xml:space="preserve"> </w:t>
      </w:r>
      <w:r w:rsidRPr="00F17D2C">
        <w:rPr>
          <w:rFonts w:cs="Times New Roman"/>
          <w:szCs w:val="24"/>
        </w:rPr>
        <w:t>%) godina, zatim 16 (13</w:t>
      </w:r>
      <w:r w:rsidR="00533E46">
        <w:rPr>
          <w:rFonts w:cs="Times New Roman"/>
          <w:szCs w:val="24"/>
        </w:rPr>
        <w:t xml:space="preserve"> </w:t>
      </w:r>
      <w:r w:rsidRPr="00F17D2C">
        <w:rPr>
          <w:rFonts w:cs="Times New Roman"/>
          <w:szCs w:val="24"/>
        </w:rPr>
        <w:t>%) godina, 17 (7</w:t>
      </w:r>
      <w:r w:rsidR="00533E46">
        <w:rPr>
          <w:rFonts w:cs="Times New Roman"/>
          <w:szCs w:val="24"/>
        </w:rPr>
        <w:t xml:space="preserve"> </w:t>
      </w:r>
      <w:r w:rsidRPr="00F17D2C">
        <w:rPr>
          <w:rFonts w:cs="Times New Roman"/>
          <w:szCs w:val="24"/>
        </w:rPr>
        <w:t>%) godina te 13 (4</w:t>
      </w:r>
      <w:r w:rsidR="00533E46">
        <w:rPr>
          <w:rFonts w:cs="Times New Roman"/>
          <w:szCs w:val="24"/>
        </w:rPr>
        <w:t xml:space="preserve"> </w:t>
      </w:r>
      <w:r w:rsidRPr="00F17D2C">
        <w:rPr>
          <w:rFonts w:cs="Times New Roman"/>
          <w:szCs w:val="24"/>
        </w:rPr>
        <w:t>%) godina</w:t>
      </w:r>
      <w:r w:rsidR="00060B0A" w:rsidRPr="00FC64BF">
        <w:rPr>
          <w:rFonts w:cs="Times New Roman"/>
          <w:szCs w:val="24"/>
        </w:rPr>
        <w:t>.</w:t>
      </w:r>
      <w:r w:rsidR="00F17D2C" w:rsidRPr="00F17D2C">
        <w:rPr>
          <w:rFonts w:cs="Times New Roman"/>
          <w:szCs w:val="24"/>
        </w:rPr>
        <w:t xml:space="preserve"> </w:t>
      </w:r>
    </w:p>
    <w:p w14:paraId="42556770" w14:textId="77777777" w:rsidR="005612A7" w:rsidRPr="00FC64BF" w:rsidRDefault="005612A7" w:rsidP="00D36147">
      <w:pPr>
        <w:spacing w:after="0" w:line="276" w:lineRule="auto"/>
        <w:jc w:val="both"/>
        <w:rPr>
          <w:rFonts w:cs="Times New Roman"/>
          <w:szCs w:val="24"/>
        </w:rPr>
      </w:pPr>
    </w:p>
    <w:tbl>
      <w:tblPr>
        <w:tblStyle w:val="TableGrid"/>
        <w:tblW w:w="9209" w:type="dxa"/>
        <w:tblLayout w:type="fixed"/>
        <w:tblLook w:val="04A0" w:firstRow="1" w:lastRow="0" w:firstColumn="1" w:lastColumn="0" w:noHBand="0" w:noVBand="1"/>
      </w:tblPr>
      <w:tblGrid>
        <w:gridCol w:w="2830"/>
        <w:gridCol w:w="2552"/>
        <w:gridCol w:w="2126"/>
        <w:gridCol w:w="1701"/>
      </w:tblGrid>
      <w:tr w:rsidR="00CE622A" w:rsidRPr="00F17D2C" w14:paraId="36DCCEC2" w14:textId="77777777" w:rsidTr="00B66CD2">
        <w:trPr>
          <w:trHeight w:val="606"/>
        </w:trPr>
        <w:tc>
          <w:tcPr>
            <w:tcW w:w="2830" w:type="dxa"/>
            <w:shd w:val="clear" w:color="auto" w:fill="F2F2F2" w:themeFill="background1" w:themeFillShade="F2"/>
            <w:vAlign w:val="center"/>
          </w:tcPr>
          <w:p w14:paraId="491F9F84" w14:textId="77777777" w:rsidR="00474283" w:rsidRPr="00A86FA4" w:rsidRDefault="00474283" w:rsidP="002A04BF">
            <w:pPr>
              <w:spacing w:line="276" w:lineRule="auto"/>
              <w:rPr>
                <w:rFonts w:cs="Times New Roman"/>
                <w:b/>
                <w:sz w:val="20"/>
                <w:szCs w:val="20"/>
              </w:rPr>
            </w:pPr>
            <w:r w:rsidRPr="00A86FA4">
              <w:rPr>
                <w:rFonts w:cs="Times New Roman"/>
                <w:b/>
                <w:sz w:val="20"/>
                <w:szCs w:val="20"/>
              </w:rPr>
              <w:t>Pokazatelji provedbe i pokazatelji uspješnosti provedbe</w:t>
            </w:r>
          </w:p>
        </w:tc>
        <w:tc>
          <w:tcPr>
            <w:tcW w:w="2552" w:type="dxa"/>
            <w:shd w:val="clear" w:color="auto" w:fill="F2F2F2" w:themeFill="background1" w:themeFillShade="F2"/>
            <w:vAlign w:val="center"/>
          </w:tcPr>
          <w:p w14:paraId="7E27BB6C" w14:textId="046C8B17" w:rsidR="00474283" w:rsidRPr="00A86FA4" w:rsidRDefault="00474283" w:rsidP="002A04BF">
            <w:pPr>
              <w:spacing w:line="276" w:lineRule="auto"/>
              <w:jc w:val="center"/>
              <w:rPr>
                <w:rFonts w:eastAsia="Calibri" w:cs="Times New Roman"/>
                <w:b/>
                <w:strike/>
                <w:sz w:val="20"/>
                <w:szCs w:val="20"/>
              </w:rPr>
            </w:pPr>
            <w:r w:rsidRPr="00A86FA4">
              <w:rPr>
                <w:rFonts w:eastAsia="Calibri" w:cs="Times New Roman"/>
                <w:b/>
                <w:sz w:val="20"/>
                <w:szCs w:val="20"/>
              </w:rPr>
              <w:t>Broj učenika romske nacionalne manjine uključenih u postupak profesionalnog usmjeravanja</w:t>
            </w:r>
          </w:p>
        </w:tc>
        <w:tc>
          <w:tcPr>
            <w:tcW w:w="2126" w:type="dxa"/>
            <w:shd w:val="clear" w:color="auto" w:fill="F2F2F2" w:themeFill="background1" w:themeFillShade="F2"/>
            <w:vAlign w:val="center"/>
          </w:tcPr>
          <w:p w14:paraId="15D04587" w14:textId="05C4242D" w:rsidR="00474283" w:rsidRPr="00A86FA4" w:rsidRDefault="00474283" w:rsidP="002A04BF">
            <w:pPr>
              <w:spacing w:line="276" w:lineRule="auto"/>
              <w:jc w:val="center"/>
              <w:rPr>
                <w:rFonts w:cs="Times New Roman"/>
                <w:b/>
                <w:sz w:val="20"/>
                <w:szCs w:val="20"/>
              </w:rPr>
            </w:pPr>
            <w:r w:rsidRPr="00A86FA4">
              <w:rPr>
                <w:rFonts w:eastAsia="Calibri" w:cs="Times New Roman"/>
                <w:b/>
                <w:sz w:val="20"/>
                <w:szCs w:val="20"/>
              </w:rPr>
              <w:t>Broj učenika romske nacionalne manjine kojima je izdano mišljenje stručnog tima za profesionalno usmjeravanje za upis u I. razred srednje škole</w:t>
            </w:r>
          </w:p>
        </w:tc>
        <w:tc>
          <w:tcPr>
            <w:tcW w:w="1701" w:type="dxa"/>
            <w:shd w:val="clear" w:color="auto" w:fill="F2F2F2" w:themeFill="background1" w:themeFillShade="F2"/>
            <w:vAlign w:val="center"/>
          </w:tcPr>
          <w:p w14:paraId="7207F8B3" w14:textId="03F7EC3E" w:rsidR="00474283" w:rsidRPr="00A86FA4" w:rsidRDefault="00474283" w:rsidP="002A04BF">
            <w:pPr>
              <w:spacing w:line="276" w:lineRule="auto"/>
              <w:jc w:val="center"/>
              <w:rPr>
                <w:rFonts w:cs="Times New Roman"/>
                <w:b/>
                <w:sz w:val="20"/>
                <w:szCs w:val="20"/>
              </w:rPr>
            </w:pPr>
          </w:p>
        </w:tc>
      </w:tr>
      <w:tr w:rsidR="00CE622A" w:rsidRPr="00F17D2C" w14:paraId="5093756B" w14:textId="77777777" w:rsidTr="00B66CD2">
        <w:tc>
          <w:tcPr>
            <w:tcW w:w="2830" w:type="dxa"/>
            <w:shd w:val="clear" w:color="auto" w:fill="F2F2F2" w:themeFill="background1" w:themeFillShade="F2"/>
            <w:vAlign w:val="center"/>
          </w:tcPr>
          <w:p w14:paraId="4FF4B953" w14:textId="12518128" w:rsidR="00474283" w:rsidRPr="00A86FA4" w:rsidRDefault="00474283" w:rsidP="0061594B">
            <w:pPr>
              <w:spacing w:line="276" w:lineRule="auto"/>
              <w:rPr>
                <w:rFonts w:cs="Times New Roman"/>
                <w:sz w:val="20"/>
                <w:szCs w:val="20"/>
              </w:rPr>
            </w:pPr>
            <w:r w:rsidRPr="00A86FA4">
              <w:rPr>
                <w:rFonts w:cs="Times New Roman"/>
                <w:sz w:val="20"/>
                <w:szCs w:val="20"/>
              </w:rPr>
              <w:t>Planirani ishodi za pokazatelje provedbe u 202</w:t>
            </w:r>
            <w:r w:rsidR="00BE1546" w:rsidRPr="00A86FA4">
              <w:rPr>
                <w:rFonts w:cs="Times New Roman"/>
                <w:sz w:val="20"/>
                <w:szCs w:val="20"/>
              </w:rPr>
              <w:t>4</w:t>
            </w:r>
            <w:r w:rsidRPr="00A86FA4">
              <w:rPr>
                <w:rFonts w:cs="Times New Roman"/>
                <w:sz w:val="20"/>
                <w:szCs w:val="20"/>
              </w:rPr>
              <w:t>.</w:t>
            </w:r>
          </w:p>
        </w:tc>
        <w:tc>
          <w:tcPr>
            <w:tcW w:w="2552" w:type="dxa"/>
            <w:vAlign w:val="center"/>
          </w:tcPr>
          <w:p w14:paraId="7A767E9D" w14:textId="6EA1BB63" w:rsidR="00474283" w:rsidRPr="00A86FA4" w:rsidRDefault="00670967" w:rsidP="002A04BF">
            <w:pPr>
              <w:spacing w:line="276" w:lineRule="auto"/>
              <w:jc w:val="center"/>
              <w:rPr>
                <w:rFonts w:cs="Times New Roman"/>
                <w:sz w:val="20"/>
                <w:szCs w:val="20"/>
              </w:rPr>
            </w:pPr>
            <w:r w:rsidRPr="00A86FA4">
              <w:rPr>
                <w:rFonts w:cs="Times New Roman"/>
                <w:sz w:val="20"/>
                <w:szCs w:val="20"/>
              </w:rPr>
              <w:t>140</w:t>
            </w:r>
          </w:p>
        </w:tc>
        <w:tc>
          <w:tcPr>
            <w:tcW w:w="2126" w:type="dxa"/>
            <w:vAlign w:val="center"/>
          </w:tcPr>
          <w:p w14:paraId="2EE44898" w14:textId="5EE215A9" w:rsidR="00474283" w:rsidRPr="00A86FA4" w:rsidRDefault="00670967" w:rsidP="002A04BF">
            <w:pPr>
              <w:spacing w:line="276" w:lineRule="auto"/>
              <w:jc w:val="center"/>
              <w:rPr>
                <w:rFonts w:cs="Times New Roman"/>
                <w:sz w:val="20"/>
                <w:szCs w:val="20"/>
              </w:rPr>
            </w:pPr>
            <w:r w:rsidRPr="00A86FA4">
              <w:rPr>
                <w:rFonts w:cs="Times New Roman"/>
                <w:sz w:val="20"/>
                <w:szCs w:val="20"/>
              </w:rPr>
              <w:t>5</w:t>
            </w:r>
            <w:r w:rsidR="00474283" w:rsidRPr="00A86FA4">
              <w:rPr>
                <w:rFonts w:cs="Times New Roman"/>
                <w:sz w:val="20"/>
                <w:szCs w:val="20"/>
              </w:rPr>
              <w:t>0</w:t>
            </w:r>
          </w:p>
        </w:tc>
        <w:tc>
          <w:tcPr>
            <w:tcW w:w="1701" w:type="dxa"/>
            <w:vAlign w:val="center"/>
          </w:tcPr>
          <w:p w14:paraId="06C1B6EE" w14:textId="2265D79A" w:rsidR="00474283" w:rsidRPr="00A86FA4" w:rsidRDefault="00474283" w:rsidP="002A04BF">
            <w:pPr>
              <w:spacing w:line="276" w:lineRule="auto"/>
              <w:jc w:val="center"/>
              <w:rPr>
                <w:rFonts w:cs="Times New Roman"/>
                <w:sz w:val="20"/>
                <w:szCs w:val="20"/>
              </w:rPr>
            </w:pPr>
          </w:p>
        </w:tc>
      </w:tr>
      <w:tr w:rsidR="00CE622A" w:rsidRPr="00F17D2C" w14:paraId="57493555" w14:textId="77777777" w:rsidTr="00B66CD2">
        <w:tc>
          <w:tcPr>
            <w:tcW w:w="2830" w:type="dxa"/>
            <w:shd w:val="clear" w:color="auto" w:fill="F2F2F2" w:themeFill="background1" w:themeFillShade="F2"/>
            <w:vAlign w:val="center"/>
          </w:tcPr>
          <w:p w14:paraId="440C631C" w14:textId="5BD49A8B" w:rsidR="00474283" w:rsidRPr="00A86FA4" w:rsidRDefault="00474283" w:rsidP="0061594B">
            <w:pPr>
              <w:spacing w:line="276" w:lineRule="auto"/>
              <w:rPr>
                <w:rFonts w:cs="Times New Roman"/>
                <w:sz w:val="20"/>
                <w:szCs w:val="20"/>
              </w:rPr>
            </w:pPr>
            <w:r w:rsidRPr="00A86FA4">
              <w:rPr>
                <w:rFonts w:cs="Times New Roman"/>
                <w:sz w:val="20"/>
                <w:szCs w:val="20"/>
              </w:rPr>
              <w:t>Ostvareni ishodi za pokazatelje provedbe u 202</w:t>
            </w:r>
            <w:r w:rsidR="00BE1546" w:rsidRPr="00A86FA4">
              <w:rPr>
                <w:rFonts w:cs="Times New Roman"/>
                <w:sz w:val="20"/>
                <w:szCs w:val="20"/>
              </w:rPr>
              <w:t>4</w:t>
            </w:r>
            <w:r w:rsidRPr="00A86FA4">
              <w:rPr>
                <w:rFonts w:cs="Times New Roman"/>
                <w:sz w:val="20"/>
                <w:szCs w:val="20"/>
              </w:rPr>
              <w:t xml:space="preserve">. </w:t>
            </w:r>
          </w:p>
        </w:tc>
        <w:tc>
          <w:tcPr>
            <w:tcW w:w="2552" w:type="dxa"/>
            <w:vAlign w:val="center"/>
          </w:tcPr>
          <w:p w14:paraId="2A430FD3" w14:textId="126DA224" w:rsidR="00474283" w:rsidRPr="00A86FA4" w:rsidRDefault="00670967" w:rsidP="002A04BF">
            <w:pPr>
              <w:spacing w:line="276" w:lineRule="auto"/>
              <w:jc w:val="center"/>
              <w:rPr>
                <w:rFonts w:cs="Times New Roman"/>
                <w:sz w:val="20"/>
                <w:szCs w:val="20"/>
              </w:rPr>
            </w:pPr>
            <w:r w:rsidRPr="00A86FA4">
              <w:rPr>
                <w:rFonts w:cs="Times New Roman"/>
                <w:sz w:val="20"/>
                <w:szCs w:val="20"/>
              </w:rPr>
              <w:t>1</w:t>
            </w:r>
            <w:r w:rsidR="006D7DCA" w:rsidRPr="00A86FA4">
              <w:rPr>
                <w:rFonts w:cs="Times New Roman"/>
                <w:sz w:val="20"/>
                <w:szCs w:val="20"/>
              </w:rPr>
              <w:t>51</w:t>
            </w:r>
          </w:p>
        </w:tc>
        <w:tc>
          <w:tcPr>
            <w:tcW w:w="2126" w:type="dxa"/>
            <w:vAlign w:val="center"/>
          </w:tcPr>
          <w:p w14:paraId="69C2E5A5" w14:textId="12F207B0" w:rsidR="00474283" w:rsidRPr="00A86FA4" w:rsidRDefault="00670967" w:rsidP="002A04BF">
            <w:pPr>
              <w:spacing w:line="276" w:lineRule="auto"/>
              <w:jc w:val="center"/>
              <w:rPr>
                <w:rFonts w:cs="Times New Roman"/>
                <w:sz w:val="20"/>
                <w:szCs w:val="20"/>
              </w:rPr>
            </w:pPr>
            <w:r w:rsidRPr="00A86FA4">
              <w:rPr>
                <w:rFonts w:cs="Times New Roman"/>
                <w:sz w:val="20"/>
                <w:szCs w:val="20"/>
              </w:rPr>
              <w:t>1</w:t>
            </w:r>
            <w:r w:rsidR="006D7DCA" w:rsidRPr="00A86FA4">
              <w:rPr>
                <w:rFonts w:cs="Times New Roman"/>
                <w:sz w:val="20"/>
                <w:szCs w:val="20"/>
              </w:rPr>
              <w:t>31</w:t>
            </w:r>
          </w:p>
        </w:tc>
        <w:tc>
          <w:tcPr>
            <w:tcW w:w="1701" w:type="dxa"/>
            <w:vAlign w:val="center"/>
          </w:tcPr>
          <w:p w14:paraId="74F0DC88" w14:textId="77F5C8FD" w:rsidR="00474283" w:rsidRPr="00A86FA4" w:rsidRDefault="00474283" w:rsidP="002A04BF">
            <w:pPr>
              <w:spacing w:line="276" w:lineRule="auto"/>
              <w:jc w:val="center"/>
              <w:rPr>
                <w:rFonts w:eastAsia="Calibri" w:cs="Times New Roman"/>
                <w:b/>
                <w:sz w:val="20"/>
                <w:szCs w:val="20"/>
              </w:rPr>
            </w:pPr>
          </w:p>
        </w:tc>
      </w:tr>
      <w:tr w:rsidR="00CE622A" w:rsidRPr="00F17D2C" w14:paraId="4273881C" w14:textId="77777777" w:rsidTr="00B66CD2">
        <w:tc>
          <w:tcPr>
            <w:tcW w:w="2830" w:type="dxa"/>
            <w:shd w:val="clear" w:color="auto" w:fill="F2F2F2" w:themeFill="background1" w:themeFillShade="F2"/>
            <w:vAlign w:val="center"/>
          </w:tcPr>
          <w:p w14:paraId="2E8FD552" w14:textId="77777777" w:rsidR="00474283" w:rsidRPr="00A86FA4" w:rsidRDefault="00474283" w:rsidP="002A04BF">
            <w:pPr>
              <w:spacing w:line="276" w:lineRule="auto"/>
              <w:rPr>
                <w:rFonts w:cs="Times New Roman"/>
                <w:b/>
                <w:sz w:val="20"/>
                <w:szCs w:val="20"/>
              </w:rPr>
            </w:pPr>
            <w:r w:rsidRPr="00A86FA4">
              <w:rPr>
                <w:rFonts w:cs="Times New Roman"/>
                <w:b/>
                <w:sz w:val="20"/>
                <w:szCs w:val="20"/>
              </w:rPr>
              <w:t xml:space="preserve">IZVORI FINANCIRANJA </w:t>
            </w:r>
          </w:p>
        </w:tc>
        <w:tc>
          <w:tcPr>
            <w:tcW w:w="2552" w:type="dxa"/>
            <w:vAlign w:val="center"/>
          </w:tcPr>
          <w:p w14:paraId="5EF783A7" w14:textId="77777777" w:rsidR="00474283" w:rsidRPr="00A86FA4" w:rsidRDefault="00474283" w:rsidP="002A04BF">
            <w:pPr>
              <w:spacing w:line="276" w:lineRule="auto"/>
              <w:jc w:val="center"/>
              <w:rPr>
                <w:rFonts w:cs="Times New Roman"/>
                <w:b/>
                <w:sz w:val="20"/>
                <w:szCs w:val="20"/>
              </w:rPr>
            </w:pPr>
            <w:r w:rsidRPr="00A86FA4">
              <w:rPr>
                <w:rFonts w:cs="Times New Roman"/>
                <w:b/>
                <w:sz w:val="20"/>
                <w:szCs w:val="20"/>
              </w:rPr>
              <w:t>Državni proračun (EUR)</w:t>
            </w:r>
          </w:p>
        </w:tc>
        <w:tc>
          <w:tcPr>
            <w:tcW w:w="2126" w:type="dxa"/>
            <w:vAlign w:val="center"/>
          </w:tcPr>
          <w:p w14:paraId="588287D7" w14:textId="77777777" w:rsidR="00474283" w:rsidRPr="00A86FA4" w:rsidRDefault="00474283" w:rsidP="002A04BF">
            <w:pPr>
              <w:spacing w:line="276" w:lineRule="auto"/>
              <w:jc w:val="center"/>
              <w:rPr>
                <w:rFonts w:cs="Times New Roman"/>
                <w:b/>
                <w:sz w:val="20"/>
                <w:szCs w:val="20"/>
              </w:rPr>
            </w:pPr>
            <w:r w:rsidRPr="00A86FA4">
              <w:rPr>
                <w:rFonts w:cs="Times New Roman"/>
                <w:b/>
                <w:sz w:val="20"/>
                <w:szCs w:val="20"/>
              </w:rPr>
              <w:t>EU financiranje (EUR)</w:t>
            </w:r>
          </w:p>
        </w:tc>
        <w:tc>
          <w:tcPr>
            <w:tcW w:w="1701" w:type="dxa"/>
            <w:vAlign w:val="center"/>
          </w:tcPr>
          <w:p w14:paraId="22A22BB5" w14:textId="77777777" w:rsidR="00474283" w:rsidRPr="00A86FA4" w:rsidRDefault="00474283" w:rsidP="002A04BF">
            <w:pPr>
              <w:spacing w:line="276" w:lineRule="auto"/>
              <w:jc w:val="center"/>
              <w:rPr>
                <w:rFonts w:cs="Times New Roman"/>
                <w:b/>
                <w:sz w:val="20"/>
                <w:szCs w:val="20"/>
              </w:rPr>
            </w:pPr>
            <w:r w:rsidRPr="00A86FA4">
              <w:rPr>
                <w:rFonts w:cs="Times New Roman"/>
                <w:b/>
                <w:sz w:val="20"/>
                <w:szCs w:val="20"/>
              </w:rPr>
              <w:t>Drugi izvori (EUR)</w:t>
            </w:r>
          </w:p>
        </w:tc>
      </w:tr>
      <w:tr w:rsidR="00CE622A" w:rsidRPr="00F17D2C" w14:paraId="1DC1CB02" w14:textId="77777777" w:rsidTr="00B66CD2">
        <w:tc>
          <w:tcPr>
            <w:tcW w:w="2830" w:type="dxa"/>
            <w:shd w:val="clear" w:color="auto" w:fill="F2F2F2" w:themeFill="background1" w:themeFillShade="F2"/>
            <w:vAlign w:val="center"/>
          </w:tcPr>
          <w:p w14:paraId="65396D57" w14:textId="0639BD7C" w:rsidR="00474283" w:rsidRPr="00A86FA4" w:rsidRDefault="00474283" w:rsidP="0061594B">
            <w:pPr>
              <w:spacing w:line="276" w:lineRule="auto"/>
              <w:rPr>
                <w:rFonts w:cs="Times New Roman"/>
                <w:sz w:val="20"/>
                <w:szCs w:val="20"/>
              </w:rPr>
            </w:pPr>
            <w:r w:rsidRPr="00A86FA4">
              <w:rPr>
                <w:rFonts w:cs="Times New Roman"/>
                <w:sz w:val="20"/>
                <w:szCs w:val="20"/>
              </w:rPr>
              <w:lastRenderedPageBreak/>
              <w:t>Izvori financiranja u 202</w:t>
            </w:r>
            <w:r w:rsidR="00BE1546" w:rsidRPr="00A86FA4">
              <w:rPr>
                <w:rFonts w:cs="Times New Roman"/>
                <w:sz w:val="20"/>
                <w:szCs w:val="20"/>
              </w:rPr>
              <w:t>4</w:t>
            </w:r>
            <w:r w:rsidRPr="00A86FA4">
              <w:rPr>
                <w:rFonts w:cs="Times New Roman"/>
                <w:sz w:val="20"/>
                <w:szCs w:val="20"/>
              </w:rPr>
              <w:t>. (proračunska pozicija i predviđeni iznos sredstava)</w:t>
            </w:r>
          </w:p>
        </w:tc>
        <w:tc>
          <w:tcPr>
            <w:tcW w:w="2552" w:type="dxa"/>
            <w:vAlign w:val="center"/>
          </w:tcPr>
          <w:p w14:paraId="045CA0DF" w14:textId="6EFA27FE" w:rsidR="006831BD" w:rsidRPr="00A86FA4" w:rsidRDefault="00670967" w:rsidP="002A04BF">
            <w:pPr>
              <w:spacing w:line="276" w:lineRule="auto"/>
              <w:jc w:val="center"/>
              <w:rPr>
                <w:rFonts w:cs="Times New Roman"/>
                <w:sz w:val="20"/>
                <w:szCs w:val="20"/>
              </w:rPr>
            </w:pPr>
            <w:r w:rsidRPr="00A86FA4">
              <w:rPr>
                <w:rFonts w:cs="Times New Roman"/>
                <w:sz w:val="20"/>
                <w:szCs w:val="20"/>
              </w:rPr>
              <w:t xml:space="preserve">A689016 </w:t>
            </w:r>
            <w:r w:rsidR="007D7BFE" w:rsidRPr="00A86FA4">
              <w:rPr>
                <w:rFonts w:cs="Times New Roman"/>
                <w:sz w:val="20"/>
                <w:szCs w:val="20"/>
              </w:rPr>
              <w:t xml:space="preserve">- </w:t>
            </w:r>
            <w:r w:rsidRPr="00A86FA4">
              <w:rPr>
                <w:rFonts w:cs="Times New Roman"/>
                <w:sz w:val="20"/>
                <w:szCs w:val="20"/>
              </w:rPr>
              <w:t>Profesionalno</w:t>
            </w:r>
            <w:r w:rsidR="003B763E" w:rsidRPr="00A86FA4">
              <w:rPr>
                <w:rFonts w:cs="Times New Roman"/>
                <w:sz w:val="20"/>
                <w:szCs w:val="20"/>
              </w:rPr>
              <w:t xml:space="preserve"> </w:t>
            </w:r>
            <w:r w:rsidRPr="00A86FA4">
              <w:rPr>
                <w:rFonts w:cs="Times New Roman"/>
                <w:sz w:val="20"/>
                <w:szCs w:val="20"/>
              </w:rPr>
              <w:t>usmjeravanje, informiranje i</w:t>
            </w:r>
            <w:r w:rsidR="003B763E" w:rsidRPr="00A86FA4">
              <w:rPr>
                <w:rFonts w:cs="Times New Roman"/>
                <w:sz w:val="20"/>
                <w:szCs w:val="20"/>
              </w:rPr>
              <w:t xml:space="preserve"> </w:t>
            </w:r>
            <w:r w:rsidRPr="00A86FA4">
              <w:rPr>
                <w:rFonts w:cs="Times New Roman"/>
                <w:sz w:val="20"/>
                <w:szCs w:val="20"/>
              </w:rPr>
              <w:t>zadržavanje postojeće</w:t>
            </w:r>
            <w:r w:rsidR="003B763E" w:rsidRPr="00A86FA4">
              <w:rPr>
                <w:rFonts w:cs="Times New Roman"/>
                <w:sz w:val="20"/>
                <w:szCs w:val="20"/>
              </w:rPr>
              <w:t xml:space="preserve"> </w:t>
            </w:r>
            <w:r w:rsidRPr="00A86FA4">
              <w:rPr>
                <w:rFonts w:cs="Times New Roman"/>
                <w:sz w:val="20"/>
                <w:szCs w:val="20"/>
              </w:rPr>
              <w:t>zaposlenosti</w:t>
            </w:r>
          </w:p>
          <w:p w14:paraId="4FDFF59D" w14:textId="592EBF51" w:rsidR="00474283" w:rsidRPr="00A86FA4" w:rsidRDefault="00670967" w:rsidP="002A04BF">
            <w:pPr>
              <w:spacing w:line="276" w:lineRule="auto"/>
              <w:jc w:val="center"/>
              <w:rPr>
                <w:rFonts w:cs="Times New Roman"/>
                <w:sz w:val="20"/>
                <w:szCs w:val="20"/>
              </w:rPr>
            </w:pPr>
            <w:r w:rsidRPr="00A86FA4">
              <w:rPr>
                <w:rFonts w:cs="Times New Roman"/>
                <w:sz w:val="20"/>
                <w:szCs w:val="20"/>
              </w:rPr>
              <w:t xml:space="preserve"> 4.000,00 </w:t>
            </w:r>
          </w:p>
        </w:tc>
        <w:tc>
          <w:tcPr>
            <w:tcW w:w="2126" w:type="dxa"/>
            <w:vAlign w:val="center"/>
          </w:tcPr>
          <w:p w14:paraId="5DDE5A4E" w14:textId="77777777" w:rsidR="00474283" w:rsidRPr="00A86FA4" w:rsidRDefault="00474283" w:rsidP="002A04BF">
            <w:pPr>
              <w:spacing w:line="276" w:lineRule="auto"/>
              <w:jc w:val="center"/>
              <w:rPr>
                <w:rFonts w:cs="Times New Roman"/>
                <w:sz w:val="20"/>
                <w:szCs w:val="20"/>
              </w:rPr>
            </w:pPr>
            <w:r w:rsidRPr="00A86FA4">
              <w:rPr>
                <w:rFonts w:cs="Times New Roman"/>
                <w:sz w:val="20"/>
                <w:szCs w:val="20"/>
              </w:rPr>
              <w:t>0,00</w:t>
            </w:r>
          </w:p>
        </w:tc>
        <w:tc>
          <w:tcPr>
            <w:tcW w:w="1701" w:type="dxa"/>
            <w:vAlign w:val="center"/>
          </w:tcPr>
          <w:p w14:paraId="363B5893" w14:textId="77777777" w:rsidR="00474283" w:rsidRPr="00A86FA4" w:rsidRDefault="00474283" w:rsidP="002A04BF">
            <w:pPr>
              <w:spacing w:line="276" w:lineRule="auto"/>
              <w:jc w:val="center"/>
              <w:rPr>
                <w:rFonts w:cs="Times New Roman"/>
                <w:sz w:val="20"/>
                <w:szCs w:val="20"/>
              </w:rPr>
            </w:pPr>
            <w:r w:rsidRPr="00A86FA4">
              <w:rPr>
                <w:rFonts w:cs="Times New Roman"/>
                <w:sz w:val="20"/>
                <w:szCs w:val="20"/>
              </w:rPr>
              <w:t>0,00</w:t>
            </w:r>
          </w:p>
        </w:tc>
      </w:tr>
      <w:tr w:rsidR="00CE622A" w:rsidRPr="00F17D2C" w14:paraId="6F99F32D" w14:textId="77777777" w:rsidTr="00B66CD2">
        <w:tc>
          <w:tcPr>
            <w:tcW w:w="2830" w:type="dxa"/>
            <w:vMerge w:val="restart"/>
            <w:shd w:val="clear" w:color="auto" w:fill="F2F2F2" w:themeFill="background1" w:themeFillShade="F2"/>
            <w:vAlign w:val="center"/>
          </w:tcPr>
          <w:p w14:paraId="2E95C9C5" w14:textId="77777777" w:rsidR="00474283" w:rsidRPr="00A86FA4" w:rsidRDefault="00474283" w:rsidP="002A04BF">
            <w:pPr>
              <w:spacing w:line="276" w:lineRule="auto"/>
              <w:rPr>
                <w:rFonts w:cs="Times New Roman"/>
                <w:b/>
                <w:sz w:val="20"/>
                <w:szCs w:val="20"/>
              </w:rPr>
            </w:pPr>
            <w:r w:rsidRPr="00A86FA4">
              <w:rPr>
                <w:rFonts w:cs="Times New Roman"/>
                <w:b/>
                <w:sz w:val="20"/>
                <w:szCs w:val="20"/>
              </w:rPr>
              <w:t xml:space="preserve">UKUPNO UTROŠENA SREDSTVA PO IZVORU </w:t>
            </w:r>
          </w:p>
        </w:tc>
        <w:tc>
          <w:tcPr>
            <w:tcW w:w="2552" w:type="dxa"/>
            <w:vAlign w:val="center"/>
          </w:tcPr>
          <w:p w14:paraId="436A4D54" w14:textId="77777777" w:rsidR="00474283" w:rsidRPr="00A86FA4" w:rsidRDefault="00474283" w:rsidP="002A04BF">
            <w:pPr>
              <w:spacing w:line="276" w:lineRule="auto"/>
              <w:jc w:val="center"/>
              <w:rPr>
                <w:rFonts w:cs="Times New Roman"/>
                <w:b/>
                <w:sz w:val="20"/>
                <w:szCs w:val="20"/>
              </w:rPr>
            </w:pPr>
            <w:r w:rsidRPr="00A86FA4">
              <w:rPr>
                <w:rFonts w:cs="Times New Roman"/>
                <w:b/>
                <w:sz w:val="20"/>
                <w:szCs w:val="20"/>
              </w:rPr>
              <w:t>Državni proračun (EUR)</w:t>
            </w:r>
          </w:p>
        </w:tc>
        <w:tc>
          <w:tcPr>
            <w:tcW w:w="2126" w:type="dxa"/>
            <w:vAlign w:val="center"/>
          </w:tcPr>
          <w:p w14:paraId="60256349" w14:textId="77777777" w:rsidR="00474283" w:rsidRPr="00A86FA4" w:rsidRDefault="00474283" w:rsidP="002A04BF">
            <w:pPr>
              <w:spacing w:line="276" w:lineRule="auto"/>
              <w:jc w:val="center"/>
              <w:rPr>
                <w:rFonts w:cs="Times New Roman"/>
                <w:b/>
                <w:sz w:val="20"/>
                <w:szCs w:val="20"/>
              </w:rPr>
            </w:pPr>
            <w:r w:rsidRPr="00A86FA4">
              <w:rPr>
                <w:rFonts w:cs="Times New Roman"/>
                <w:b/>
                <w:sz w:val="20"/>
                <w:szCs w:val="20"/>
              </w:rPr>
              <w:t>EU financiranje (EUR)</w:t>
            </w:r>
          </w:p>
        </w:tc>
        <w:tc>
          <w:tcPr>
            <w:tcW w:w="1701" w:type="dxa"/>
            <w:vAlign w:val="center"/>
          </w:tcPr>
          <w:p w14:paraId="155EC435" w14:textId="77777777" w:rsidR="00474283" w:rsidRPr="00A86FA4" w:rsidRDefault="00474283" w:rsidP="002A04BF">
            <w:pPr>
              <w:spacing w:line="276" w:lineRule="auto"/>
              <w:jc w:val="center"/>
              <w:rPr>
                <w:rFonts w:cs="Times New Roman"/>
                <w:b/>
                <w:sz w:val="20"/>
                <w:szCs w:val="20"/>
              </w:rPr>
            </w:pPr>
            <w:r w:rsidRPr="00A86FA4">
              <w:rPr>
                <w:rFonts w:cs="Times New Roman"/>
                <w:b/>
                <w:sz w:val="20"/>
                <w:szCs w:val="20"/>
              </w:rPr>
              <w:t>Drugi izvori (EUR)</w:t>
            </w:r>
          </w:p>
        </w:tc>
      </w:tr>
      <w:tr w:rsidR="00CE622A" w:rsidRPr="00F17D2C" w14:paraId="73CE03D0" w14:textId="77777777" w:rsidTr="00B66CD2">
        <w:tc>
          <w:tcPr>
            <w:tcW w:w="2830" w:type="dxa"/>
            <w:vMerge/>
            <w:shd w:val="clear" w:color="auto" w:fill="F2F2F2" w:themeFill="background1" w:themeFillShade="F2"/>
            <w:vAlign w:val="center"/>
          </w:tcPr>
          <w:p w14:paraId="001301F5" w14:textId="77777777" w:rsidR="00474283" w:rsidRPr="00A86FA4" w:rsidRDefault="00474283" w:rsidP="002A04BF">
            <w:pPr>
              <w:spacing w:line="276" w:lineRule="auto"/>
              <w:rPr>
                <w:rFonts w:cs="Times New Roman"/>
                <w:b/>
                <w:sz w:val="20"/>
                <w:szCs w:val="20"/>
              </w:rPr>
            </w:pPr>
          </w:p>
        </w:tc>
        <w:tc>
          <w:tcPr>
            <w:tcW w:w="2552" w:type="dxa"/>
            <w:vAlign w:val="center"/>
          </w:tcPr>
          <w:p w14:paraId="6771332F" w14:textId="77777777" w:rsidR="006831BD" w:rsidRPr="00A86FA4" w:rsidRDefault="00670967" w:rsidP="002A04BF">
            <w:pPr>
              <w:spacing w:line="276" w:lineRule="auto"/>
              <w:jc w:val="center"/>
              <w:rPr>
                <w:rFonts w:eastAsia="Calibri" w:cs="Times New Roman"/>
                <w:sz w:val="20"/>
                <w:szCs w:val="20"/>
              </w:rPr>
            </w:pPr>
            <w:r w:rsidRPr="00A86FA4">
              <w:rPr>
                <w:rFonts w:eastAsia="Calibri" w:cs="Times New Roman"/>
                <w:sz w:val="20"/>
                <w:szCs w:val="20"/>
              </w:rPr>
              <w:t xml:space="preserve">A689016 - Profesionalno usmjeravanje, informiranje i zadržavanje postojeće zaposlenosti </w:t>
            </w:r>
          </w:p>
          <w:p w14:paraId="27DF06B4" w14:textId="6F80418D" w:rsidR="00474283" w:rsidRPr="004610D8" w:rsidRDefault="006D7DCA" w:rsidP="006D7DCA">
            <w:pPr>
              <w:spacing w:line="276" w:lineRule="auto"/>
              <w:jc w:val="center"/>
              <w:rPr>
                <w:rFonts w:eastAsia="Calibri" w:cs="Times New Roman"/>
                <w:b/>
                <w:sz w:val="20"/>
                <w:szCs w:val="20"/>
              </w:rPr>
            </w:pPr>
            <w:r w:rsidRPr="004610D8">
              <w:rPr>
                <w:b/>
                <w:sz w:val="20"/>
                <w:szCs w:val="20"/>
              </w:rPr>
              <w:t>3.483,49</w:t>
            </w:r>
          </w:p>
        </w:tc>
        <w:tc>
          <w:tcPr>
            <w:tcW w:w="2126" w:type="dxa"/>
            <w:vAlign w:val="center"/>
          </w:tcPr>
          <w:p w14:paraId="4E6C6881" w14:textId="225EB750" w:rsidR="00474283" w:rsidRPr="00A86FA4" w:rsidRDefault="00474283" w:rsidP="002A04BF">
            <w:pPr>
              <w:spacing w:line="276" w:lineRule="auto"/>
              <w:jc w:val="center"/>
              <w:rPr>
                <w:rFonts w:cs="Times New Roman"/>
                <w:sz w:val="20"/>
                <w:szCs w:val="20"/>
              </w:rPr>
            </w:pPr>
            <w:r w:rsidRPr="00A86FA4">
              <w:rPr>
                <w:rFonts w:cs="Times New Roman"/>
                <w:sz w:val="20"/>
                <w:szCs w:val="20"/>
              </w:rPr>
              <w:t>0,00</w:t>
            </w:r>
          </w:p>
        </w:tc>
        <w:tc>
          <w:tcPr>
            <w:tcW w:w="1701" w:type="dxa"/>
            <w:vAlign w:val="center"/>
          </w:tcPr>
          <w:p w14:paraId="2FF20C48" w14:textId="77777777" w:rsidR="00474283" w:rsidRPr="00A86FA4" w:rsidRDefault="00474283" w:rsidP="002A04BF">
            <w:pPr>
              <w:spacing w:line="276" w:lineRule="auto"/>
              <w:jc w:val="center"/>
              <w:rPr>
                <w:rFonts w:cs="Times New Roman"/>
                <w:sz w:val="20"/>
                <w:szCs w:val="20"/>
              </w:rPr>
            </w:pPr>
            <w:r w:rsidRPr="00A86FA4">
              <w:rPr>
                <w:rFonts w:cs="Times New Roman"/>
                <w:sz w:val="20"/>
                <w:szCs w:val="20"/>
              </w:rPr>
              <w:t xml:space="preserve">0,00 </w:t>
            </w:r>
          </w:p>
        </w:tc>
      </w:tr>
      <w:tr w:rsidR="00CE622A" w:rsidRPr="00F17D2C" w14:paraId="24964DCB" w14:textId="77777777" w:rsidTr="00B66CD2">
        <w:trPr>
          <w:trHeight w:val="388"/>
        </w:trPr>
        <w:tc>
          <w:tcPr>
            <w:tcW w:w="2830" w:type="dxa"/>
            <w:shd w:val="clear" w:color="auto" w:fill="F2F2F2" w:themeFill="background1" w:themeFillShade="F2"/>
            <w:vAlign w:val="center"/>
          </w:tcPr>
          <w:p w14:paraId="417544B7" w14:textId="6794D724" w:rsidR="00474283" w:rsidRPr="00A86FA4" w:rsidRDefault="00474283" w:rsidP="002A04BF">
            <w:pPr>
              <w:spacing w:line="276" w:lineRule="auto"/>
              <w:rPr>
                <w:rFonts w:cs="Times New Roman"/>
                <w:sz w:val="20"/>
                <w:szCs w:val="20"/>
              </w:rPr>
            </w:pPr>
            <w:r w:rsidRPr="00A86FA4">
              <w:rPr>
                <w:rFonts w:cs="Times New Roman"/>
                <w:sz w:val="20"/>
                <w:szCs w:val="20"/>
              </w:rPr>
              <w:t>ROK PROVEDBE AKTIVNOSTI</w:t>
            </w:r>
          </w:p>
        </w:tc>
        <w:tc>
          <w:tcPr>
            <w:tcW w:w="6379" w:type="dxa"/>
            <w:gridSpan w:val="3"/>
            <w:vAlign w:val="center"/>
          </w:tcPr>
          <w:p w14:paraId="4AD9E796" w14:textId="77777777" w:rsidR="00474283" w:rsidRPr="00A86FA4" w:rsidRDefault="00474283" w:rsidP="002A04BF">
            <w:pPr>
              <w:spacing w:line="276" w:lineRule="auto"/>
              <w:rPr>
                <w:rFonts w:cs="Times New Roman"/>
                <w:sz w:val="20"/>
                <w:szCs w:val="20"/>
              </w:rPr>
            </w:pPr>
            <w:r w:rsidRPr="00A86FA4">
              <w:rPr>
                <w:rFonts w:cs="Times New Roman"/>
                <w:sz w:val="20"/>
                <w:szCs w:val="20"/>
              </w:rPr>
              <w:t xml:space="preserve">IV. kvartal 2025. </w:t>
            </w:r>
          </w:p>
        </w:tc>
      </w:tr>
    </w:tbl>
    <w:p w14:paraId="1B20EB24" w14:textId="77777777" w:rsidR="00F67753" w:rsidRDefault="00F67753" w:rsidP="004A3B23">
      <w:pPr>
        <w:spacing w:after="0" w:line="276" w:lineRule="auto"/>
        <w:jc w:val="both"/>
        <w:rPr>
          <w:rFonts w:cs="Times New Roman"/>
          <w:i/>
          <w:iCs/>
          <w:szCs w:val="24"/>
        </w:rPr>
      </w:pPr>
      <w:bookmarkStart w:id="43" w:name="_Hlk164164787"/>
    </w:p>
    <w:p w14:paraId="4F6C6C27" w14:textId="77777777" w:rsidR="003379F1" w:rsidRPr="00FC64BF" w:rsidRDefault="003379F1" w:rsidP="004A3B23">
      <w:pPr>
        <w:spacing w:after="0" w:line="276" w:lineRule="auto"/>
        <w:jc w:val="both"/>
        <w:rPr>
          <w:rFonts w:cs="Times New Roman"/>
          <w:i/>
          <w:iCs/>
          <w:szCs w:val="24"/>
        </w:rPr>
      </w:pPr>
    </w:p>
    <w:p w14:paraId="0070AF65" w14:textId="1ED0B878" w:rsidR="00CA388F" w:rsidRPr="00FC64BF" w:rsidRDefault="009870E5" w:rsidP="00D36147">
      <w:pPr>
        <w:spacing w:after="0" w:line="276" w:lineRule="auto"/>
        <w:jc w:val="both"/>
        <w:rPr>
          <w:rFonts w:cs="Times New Roman"/>
          <w:i/>
          <w:iCs/>
          <w:szCs w:val="24"/>
        </w:rPr>
      </w:pPr>
      <w:r w:rsidRPr="00FC64BF">
        <w:rPr>
          <w:rFonts w:cs="Times New Roman"/>
          <w:i/>
          <w:iCs/>
          <w:szCs w:val="24"/>
        </w:rPr>
        <w:t xml:space="preserve">Aktivnost </w:t>
      </w:r>
      <w:r w:rsidR="0073254B" w:rsidRPr="00FC64BF">
        <w:rPr>
          <w:rFonts w:cs="Times New Roman"/>
          <w:i/>
          <w:iCs/>
          <w:szCs w:val="24"/>
        </w:rPr>
        <w:t>5</w:t>
      </w:r>
      <w:r w:rsidR="00AD0006" w:rsidRPr="00FC64BF">
        <w:rPr>
          <w:rFonts w:cs="Times New Roman"/>
          <w:i/>
          <w:iCs/>
          <w:szCs w:val="24"/>
        </w:rPr>
        <w:t>.1.2.</w:t>
      </w:r>
      <w:r w:rsidRPr="00FC64BF">
        <w:rPr>
          <w:rFonts w:cs="Times New Roman"/>
          <w:i/>
          <w:iCs/>
          <w:szCs w:val="24"/>
        </w:rPr>
        <w:t xml:space="preserve"> </w:t>
      </w:r>
      <w:r w:rsidR="00AD0006" w:rsidRPr="00FC64BF">
        <w:rPr>
          <w:rFonts w:cs="Times New Roman"/>
          <w:i/>
          <w:iCs/>
          <w:szCs w:val="24"/>
        </w:rPr>
        <w:t>Osnaživanje mladih nezaposlenih Roma kroz obrazovanje za</w:t>
      </w:r>
      <w:r w:rsidR="00CA388F" w:rsidRPr="00FC64BF">
        <w:rPr>
          <w:rFonts w:cs="Times New Roman"/>
          <w:i/>
          <w:iCs/>
          <w:szCs w:val="24"/>
        </w:rPr>
        <w:t xml:space="preserve"> osobni i profesionalni razvoj</w:t>
      </w:r>
    </w:p>
    <w:p w14:paraId="04118F64" w14:textId="46FADCA3" w:rsidR="00AD0006" w:rsidRPr="00FC64BF" w:rsidRDefault="00CA388F" w:rsidP="00D36147">
      <w:pPr>
        <w:spacing w:after="0" w:line="276" w:lineRule="auto"/>
        <w:jc w:val="both"/>
        <w:rPr>
          <w:rFonts w:cs="Times New Roman"/>
          <w:i/>
          <w:iCs/>
          <w:szCs w:val="24"/>
        </w:rPr>
      </w:pPr>
      <w:r w:rsidRPr="00FC64BF">
        <w:rPr>
          <w:rFonts w:cs="Times New Roman"/>
          <w:i/>
          <w:iCs/>
          <w:szCs w:val="24"/>
        </w:rPr>
        <w:t xml:space="preserve">Nositelj provedbe: </w:t>
      </w:r>
      <w:r w:rsidR="00AD0006" w:rsidRPr="00FC64BF">
        <w:rPr>
          <w:rFonts w:cs="Times New Roman"/>
          <w:i/>
          <w:iCs/>
          <w:szCs w:val="24"/>
        </w:rPr>
        <w:t>Hrvatski zavod za zapošljavanje</w:t>
      </w:r>
    </w:p>
    <w:p w14:paraId="4AB01DBC" w14:textId="77777777" w:rsidR="00593DCC" w:rsidRPr="00FC64BF" w:rsidRDefault="00593DCC" w:rsidP="00D36147">
      <w:pPr>
        <w:spacing w:after="0" w:line="276" w:lineRule="auto"/>
        <w:jc w:val="both"/>
        <w:rPr>
          <w:rFonts w:cs="Times New Roman"/>
          <w:i/>
          <w:iCs/>
          <w:szCs w:val="24"/>
        </w:rPr>
      </w:pPr>
    </w:p>
    <w:p w14:paraId="77853784" w14:textId="1BF9B477" w:rsidR="003056B7" w:rsidRPr="00FC64BF" w:rsidRDefault="006D7DCA">
      <w:pPr>
        <w:spacing w:after="0" w:line="276" w:lineRule="auto"/>
        <w:jc w:val="both"/>
        <w:rPr>
          <w:rFonts w:cs="Times New Roman"/>
          <w:szCs w:val="24"/>
        </w:rPr>
      </w:pPr>
      <w:r w:rsidRPr="00FC64BF">
        <w:rPr>
          <w:rFonts w:cs="Times New Roman"/>
          <w:szCs w:val="24"/>
        </w:rPr>
        <w:t>Navedena aktivnost obuhvaća grupni i individualni rad s ciljem da osobe osvijeste vlastite mogućnosti, detektiraju prepreke za zapošljavanje te se kroz program osoba definira što realniju sliku o sebi i vlastitim mogućnostima zapošljavanja te načinima kako prevladati ograničenja za ulazak na tržište rada. Mjera se provodi u kontinuitetu od srpnja 2022.</w:t>
      </w:r>
      <w:r w:rsidR="00AC0902" w:rsidRPr="00FC64BF">
        <w:rPr>
          <w:rFonts w:cs="Times New Roman"/>
          <w:szCs w:val="24"/>
        </w:rPr>
        <w:t xml:space="preserve"> </w:t>
      </w:r>
    </w:p>
    <w:bookmarkEnd w:id="43"/>
    <w:p w14:paraId="5BC6527F" w14:textId="526A105D" w:rsidR="00E5482D" w:rsidRPr="00FC64BF" w:rsidRDefault="00E5482D">
      <w:pPr>
        <w:rPr>
          <w:rFonts w:cs="Times New Roman"/>
          <w:szCs w:val="24"/>
        </w:rPr>
      </w:pPr>
    </w:p>
    <w:tbl>
      <w:tblPr>
        <w:tblStyle w:val="TableGrid"/>
        <w:tblW w:w="5000" w:type="pct"/>
        <w:tblLayout w:type="fixed"/>
        <w:tblLook w:val="04A0" w:firstRow="1" w:lastRow="0" w:firstColumn="1" w:lastColumn="0" w:noHBand="0" w:noVBand="1"/>
      </w:tblPr>
      <w:tblGrid>
        <w:gridCol w:w="2785"/>
        <w:gridCol w:w="2512"/>
        <w:gridCol w:w="2092"/>
        <w:gridCol w:w="1673"/>
      </w:tblGrid>
      <w:tr w:rsidR="00CE622A" w:rsidRPr="00F17D2C" w14:paraId="6FB079CD" w14:textId="77777777" w:rsidTr="00E5482D">
        <w:trPr>
          <w:trHeight w:val="606"/>
        </w:trPr>
        <w:tc>
          <w:tcPr>
            <w:tcW w:w="1537" w:type="pct"/>
            <w:shd w:val="clear" w:color="auto" w:fill="F2F2F2" w:themeFill="background1" w:themeFillShade="F2"/>
            <w:vAlign w:val="center"/>
          </w:tcPr>
          <w:p w14:paraId="5936C9C8" w14:textId="77777777" w:rsidR="008034FF" w:rsidRPr="00FC64BF" w:rsidRDefault="008034FF" w:rsidP="002A04BF">
            <w:pPr>
              <w:rPr>
                <w:rFonts w:cs="Times New Roman"/>
                <w:b/>
                <w:sz w:val="20"/>
                <w:szCs w:val="18"/>
              </w:rPr>
            </w:pPr>
            <w:r w:rsidRPr="00FC64BF">
              <w:rPr>
                <w:rFonts w:cs="Times New Roman"/>
                <w:b/>
                <w:sz w:val="20"/>
                <w:szCs w:val="18"/>
              </w:rPr>
              <w:t>Pokazatelji provedbe i pokazatelji uspješnosti provedbe</w:t>
            </w:r>
          </w:p>
        </w:tc>
        <w:tc>
          <w:tcPr>
            <w:tcW w:w="1386" w:type="pct"/>
            <w:shd w:val="clear" w:color="auto" w:fill="F2F2F2" w:themeFill="background1" w:themeFillShade="F2"/>
            <w:vAlign w:val="center"/>
          </w:tcPr>
          <w:p w14:paraId="25E7D819" w14:textId="4B8F2AC3" w:rsidR="008034FF" w:rsidRPr="00FC64BF" w:rsidRDefault="008034FF" w:rsidP="002A04BF">
            <w:pPr>
              <w:jc w:val="center"/>
              <w:rPr>
                <w:rFonts w:eastAsia="Calibri" w:cs="Times New Roman"/>
                <w:b/>
                <w:strike/>
                <w:sz w:val="20"/>
                <w:szCs w:val="18"/>
              </w:rPr>
            </w:pPr>
            <w:r w:rsidRPr="00FC64BF">
              <w:rPr>
                <w:rFonts w:eastAsia="Calibri" w:cs="Times New Roman"/>
                <w:b/>
                <w:sz w:val="20"/>
                <w:szCs w:val="18"/>
              </w:rPr>
              <w:t>Broj održanih programa</w:t>
            </w:r>
          </w:p>
        </w:tc>
        <w:tc>
          <w:tcPr>
            <w:tcW w:w="1154" w:type="pct"/>
            <w:shd w:val="clear" w:color="auto" w:fill="F2F2F2" w:themeFill="background1" w:themeFillShade="F2"/>
            <w:vAlign w:val="center"/>
          </w:tcPr>
          <w:p w14:paraId="4A59F3C6" w14:textId="2210B623" w:rsidR="008034FF" w:rsidRPr="00FC64BF" w:rsidRDefault="008034FF" w:rsidP="002A04BF">
            <w:pPr>
              <w:jc w:val="center"/>
              <w:rPr>
                <w:rFonts w:cs="Times New Roman"/>
                <w:b/>
                <w:sz w:val="20"/>
                <w:szCs w:val="18"/>
              </w:rPr>
            </w:pPr>
            <w:r w:rsidRPr="00FC64BF">
              <w:rPr>
                <w:rFonts w:eastAsia="Calibri" w:cs="Times New Roman"/>
                <w:b/>
                <w:sz w:val="20"/>
                <w:szCs w:val="18"/>
              </w:rPr>
              <w:t>Broj polaznika</w:t>
            </w:r>
          </w:p>
        </w:tc>
        <w:tc>
          <w:tcPr>
            <w:tcW w:w="923" w:type="pct"/>
            <w:shd w:val="clear" w:color="auto" w:fill="F2F2F2" w:themeFill="background1" w:themeFillShade="F2"/>
            <w:vAlign w:val="center"/>
          </w:tcPr>
          <w:p w14:paraId="402F44E2" w14:textId="4B8EA2F9" w:rsidR="008034FF" w:rsidRPr="00FC64BF" w:rsidRDefault="008034FF" w:rsidP="002A04BF">
            <w:pPr>
              <w:jc w:val="center"/>
              <w:rPr>
                <w:rFonts w:cs="Times New Roman"/>
                <w:b/>
                <w:sz w:val="20"/>
                <w:szCs w:val="18"/>
              </w:rPr>
            </w:pPr>
          </w:p>
        </w:tc>
      </w:tr>
      <w:tr w:rsidR="00CE622A" w:rsidRPr="00F17D2C" w14:paraId="0842CF0D" w14:textId="77777777" w:rsidTr="00E5482D">
        <w:tc>
          <w:tcPr>
            <w:tcW w:w="1537" w:type="pct"/>
            <w:shd w:val="clear" w:color="auto" w:fill="F2F2F2" w:themeFill="background1" w:themeFillShade="F2"/>
            <w:vAlign w:val="center"/>
          </w:tcPr>
          <w:p w14:paraId="71BAA1AD" w14:textId="7027029B" w:rsidR="008034FF" w:rsidRPr="00FC64BF" w:rsidRDefault="008034FF" w:rsidP="0061594B">
            <w:pPr>
              <w:rPr>
                <w:rFonts w:cs="Times New Roman"/>
                <w:sz w:val="20"/>
                <w:szCs w:val="18"/>
              </w:rPr>
            </w:pPr>
            <w:r w:rsidRPr="00FC64BF">
              <w:rPr>
                <w:rFonts w:cs="Times New Roman"/>
                <w:sz w:val="20"/>
                <w:szCs w:val="18"/>
              </w:rPr>
              <w:t>Planirani ishodi za pokazatelje provedbe u 202</w:t>
            </w:r>
            <w:r w:rsidR="00BE1546" w:rsidRPr="00FC64BF">
              <w:rPr>
                <w:rFonts w:cs="Times New Roman"/>
                <w:sz w:val="20"/>
                <w:szCs w:val="18"/>
              </w:rPr>
              <w:t>4</w:t>
            </w:r>
            <w:r w:rsidRPr="00FC64BF">
              <w:rPr>
                <w:rFonts w:cs="Times New Roman"/>
                <w:sz w:val="20"/>
                <w:szCs w:val="18"/>
              </w:rPr>
              <w:t>.</w:t>
            </w:r>
          </w:p>
        </w:tc>
        <w:tc>
          <w:tcPr>
            <w:tcW w:w="1386" w:type="pct"/>
            <w:vAlign w:val="center"/>
          </w:tcPr>
          <w:p w14:paraId="1FD95991" w14:textId="1528FEA2" w:rsidR="008034FF" w:rsidRPr="00FC64BF" w:rsidRDefault="00624548" w:rsidP="002A04BF">
            <w:pPr>
              <w:jc w:val="center"/>
              <w:rPr>
                <w:rFonts w:cs="Times New Roman"/>
                <w:sz w:val="20"/>
                <w:szCs w:val="18"/>
              </w:rPr>
            </w:pPr>
            <w:r w:rsidRPr="00FC64BF">
              <w:rPr>
                <w:rFonts w:cs="Times New Roman"/>
                <w:sz w:val="20"/>
                <w:szCs w:val="18"/>
              </w:rPr>
              <w:t>2</w:t>
            </w:r>
          </w:p>
        </w:tc>
        <w:tc>
          <w:tcPr>
            <w:tcW w:w="1154" w:type="pct"/>
            <w:vAlign w:val="center"/>
          </w:tcPr>
          <w:p w14:paraId="704DE2EB" w14:textId="60BD4C77" w:rsidR="008034FF" w:rsidRPr="00FC64BF" w:rsidRDefault="00624548" w:rsidP="002A04BF">
            <w:pPr>
              <w:jc w:val="center"/>
              <w:rPr>
                <w:rFonts w:cs="Times New Roman"/>
                <w:sz w:val="20"/>
                <w:szCs w:val="18"/>
              </w:rPr>
            </w:pPr>
            <w:r w:rsidRPr="00FC64BF">
              <w:rPr>
                <w:rFonts w:cs="Times New Roman"/>
                <w:sz w:val="20"/>
                <w:szCs w:val="18"/>
              </w:rPr>
              <w:t>50</w:t>
            </w:r>
          </w:p>
        </w:tc>
        <w:tc>
          <w:tcPr>
            <w:tcW w:w="923" w:type="pct"/>
            <w:vAlign w:val="center"/>
          </w:tcPr>
          <w:p w14:paraId="77074A01" w14:textId="77777777" w:rsidR="008034FF" w:rsidRPr="00FC64BF" w:rsidRDefault="008034FF" w:rsidP="002A04BF">
            <w:pPr>
              <w:jc w:val="center"/>
              <w:rPr>
                <w:rFonts w:cs="Times New Roman"/>
                <w:sz w:val="20"/>
                <w:szCs w:val="18"/>
              </w:rPr>
            </w:pPr>
          </w:p>
        </w:tc>
      </w:tr>
      <w:tr w:rsidR="00CE622A" w:rsidRPr="00F17D2C" w14:paraId="1A846F9F" w14:textId="77777777" w:rsidTr="00E5482D">
        <w:tc>
          <w:tcPr>
            <w:tcW w:w="1537" w:type="pct"/>
            <w:shd w:val="clear" w:color="auto" w:fill="F2F2F2" w:themeFill="background1" w:themeFillShade="F2"/>
            <w:vAlign w:val="center"/>
          </w:tcPr>
          <w:p w14:paraId="6BB81926" w14:textId="239BD5DE" w:rsidR="008034FF" w:rsidRPr="00FC64BF" w:rsidRDefault="008034FF" w:rsidP="0061594B">
            <w:pPr>
              <w:rPr>
                <w:rFonts w:cs="Times New Roman"/>
                <w:sz w:val="20"/>
                <w:szCs w:val="18"/>
              </w:rPr>
            </w:pPr>
            <w:r w:rsidRPr="00FC64BF">
              <w:rPr>
                <w:rFonts w:cs="Times New Roman"/>
                <w:sz w:val="20"/>
                <w:szCs w:val="18"/>
              </w:rPr>
              <w:t>Ostvareni ishodi za pokazatelje provedbe u 202</w:t>
            </w:r>
            <w:r w:rsidR="00BE1546" w:rsidRPr="00FC64BF">
              <w:rPr>
                <w:rFonts w:cs="Times New Roman"/>
                <w:sz w:val="20"/>
                <w:szCs w:val="18"/>
              </w:rPr>
              <w:t>4</w:t>
            </w:r>
            <w:r w:rsidRPr="00FC64BF">
              <w:rPr>
                <w:rFonts w:cs="Times New Roman"/>
                <w:sz w:val="20"/>
                <w:szCs w:val="18"/>
              </w:rPr>
              <w:t>.</w:t>
            </w:r>
          </w:p>
        </w:tc>
        <w:tc>
          <w:tcPr>
            <w:tcW w:w="1386" w:type="pct"/>
            <w:vAlign w:val="center"/>
          </w:tcPr>
          <w:p w14:paraId="10A9BAB9" w14:textId="6E25151D" w:rsidR="008034FF" w:rsidRPr="00FC64BF" w:rsidRDefault="00624548" w:rsidP="002A04BF">
            <w:pPr>
              <w:jc w:val="center"/>
              <w:rPr>
                <w:rFonts w:cs="Times New Roman"/>
                <w:sz w:val="20"/>
                <w:szCs w:val="18"/>
              </w:rPr>
            </w:pPr>
            <w:r w:rsidRPr="00FC64BF">
              <w:rPr>
                <w:rFonts w:cs="Times New Roman"/>
                <w:sz w:val="20"/>
                <w:szCs w:val="18"/>
              </w:rPr>
              <w:t>6</w:t>
            </w:r>
          </w:p>
        </w:tc>
        <w:tc>
          <w:tcPr>
            <w:tcW w:w="1154" w:type="pct"/>
            <w:vAlign w:val="center"/>
          </w:tcPr>
          <w:p w14:paraId="5A6CFEAE" w14:textId="1FA7DE17" w:rsidR="008034FF" w:rsidRPr="00FC64BF" w:rsidRDefault="00624548" w:rsidP="002A04BF">
            <w:pPr>
              <w:jc w:val="center"/>
              <w:rPr>
                <w:rFonts w:cs="Times New Roman"/>
                <w:sz w:val="20"/>
                <w:szCs w:val="18"/>
              </w:rPr>
            </w:pPr>
            <w:r w:rsidRPr="00FC64BF">
              <w:rPr>
                <w:rFonts w:cs="Times New Roman"/>
                <w:sz w:val="20"/>
                <w:szCs w:val="18"/>
              </w:rPr>
              <w:t>52</w:t>
            </w:r>
          </w:p>
        </w:tc>
        <w:tc>
          <w:tcPr>
            <w:tcW w:w="923" w:type="pct"/>
            <w:vAlign w:val="center"/>
          </w:tcPr>
          <w:p w14:paraId="22735140" w14:textId="77777777" w:rsidR="008034FF" w:rsidRPr="00FC64BF" w:rsidRDefault="008034FF" w:rsidP="002A04BF">
            <w:pPr>
              <w:jc w:val="center"/>
              <w:rPr>
                <w:rFonts w:eastAsia="Calibri" w:cs="Times New Roman"/>
                <w:b/>
                <w:sz w:val="20"/>
                <w:szCs w:val="18"/>
              </w:rPr>
            </w:pPr>
          </w:p>
        </w:tc>
      </w:tr>
      <w:tr w:rsidR="00CE622A" w:rsidRPr="00F17D2C" w14:paraId="7D316BC4" w14:textId="77777777" w:rsidTr="00E5482D">
        <w:tc>
          <w:tcPr>
            <w:tcW w:w="1537" w:type="pct"/>
            <w:shd w:val="clear" w:color="auto" w:fill="F2F2F2" w:themeFill="background1" w:themeFillShade="F2"/>
            <w:vAlign w:val="center"/>
          </w:tcPr>
          <w:p w14:paraId="5F83ED04" w14:textId="77777777" w:rsidR="008034FF" w:rsidRPr="00FC64BF" w:rsidRDefault="008034FF" w:rsidP="002A04BF">
            <w:pPr>
              <w:rPr>
                <w:rFonts w:cs="Times New Roman"/>
                <w:b/>
                <w:sz w:val="20"/>
                <w:szCs w:val="18"/>
              </w:rPr>
            </w:pPr>
            <w:r w:rsidRPr="00FC64BF">
              <w:rPr>
                <w:rFonts w:cs="Times New Roman"/>
                <w:b/>
                <w:sz w:val="20"/>
                <w:szCs w:val="18"/>
              </w:rPr>
              <w:t xml:space="preserve">IZVORI FINANCIRANJA </w:t>
            </w:r>
          </w:p>
        </w:tc>
        <w:tc>
          <w:tcPr>
            <w:tcW w:w="1386" w:type="pct"/>
            <w:vAlign w:val="center"/>
          </w:tcPr>
          <w:p w14:paraId="6328A491" w14:textId="77777777" w:rsidR="008034FF" w:rsidRPr="00FC64BF" w:rsidRDefault="008034FF" w:rsidP="002A04BF">
            <w:pPr>
              <w:jc w:val="center"/>
              <w:rPr>
                <w:rFonts w:cs="Times New Roman"/>
                <w:b/>
                <w:sz w:val="20"/>
                <w:szCs w:val="18"/>
              </w:rPr>
            </w:pPr>
            <w:r w:rsidRPr="00FC64BF">
              <w:rPr>
                <w:rFonts w:cs="Times New Roman"/>
                <w:b/>
                <w:sz w:val="20"/>
                <w:szCs w:val="18"/>
              </w:rPr>
              <w:t>Državni proračun (EUR)</w:t>
            </w:r>
          </w:p>
        </w:tc>
        <w:tc>
          <w:tcPr>
            <w:tcW w:w="1154" w:type="pct"/>
            <w:vAlign w:val="center"/>
          </w:tcPr>
          <w:p w14:paraId="293E4105" w14:textId="77777777" w:rsidR="008034FF" w:rsidRPr="00FC64BF" w:rsidRDefault="008034FF" w:rsidP="002A04BF">
            <w:pPr>
              <w:jc w:val="center"/>
              <w:rPr>
                <w:rFonts w:cs="Times New Roman"/>
                <w:b/>
                <w:sz w:val="20"/>
                <w:szCs w:val="18"/>
              </w:rPr>
            </w:pPr>
            <w:r w:rsidRPr="00FC64BF">
              <w:rPr>
                <w:rFonts w:cs="Times New Roman"/>
                <w:b/>
                <w:sz w:val="20"/>
                <w:szCs w:val="18"/>
              </w:rPr>
              <w:t>EU financiranje (EUR)</w:t>
            </w:r>
          </w:p>
        </w:tc>
        <w:tc>
          <w:tcPr>
            <w:tcW w:w="923" w:type="pct"/>
            <w:vAlign w:val="center"/>
          </w:tcPr>
          <w:p w14:paraId="54511756" w14:textId="77777777" w:rsidR="008034FF" w:rsidRPr="00FC64BF" w:rsidRDefault="008034FF" w:rsidP="002A04BF">
            <w:pPr>
              <w:jc w:val="center"/>
              <w:rPr>
                <w:rFonts w:cs="Times New Roman"/>
                <w:b/>
                <w:sz w:val="20"/>
                <w:szCs w:val="18"/>
              </w:rPr>
            </w:pPr>
            <w:r w:rsidRPr="00FC64BF">
              <w:rPr>
                <w:rFonts w:cs="Times New Roman"/>
                <w:b/>
                <w:sz w:val="20"/>
                <w:szCs w:val="18"/>
              </w:rPr>
              <w:t>Drugi izvori (EUR)</w:t>
            </w:r>
          </w:p>
        </w:tc>
      </w:tr>
      <w:tr w:rsidR="00CE622A" w:rsidRPr="00F17D2C" w14:paraId="416D5848" w14:textId="77777777" w:rsidTr="00E5482D">
        <w:tc>
          <w:tcPr>
            <w:tcW w:w="1537" w:type="pct"/>
            <w:shd w:val="clear" w:color="auto" w:fill="F2F2F2" w:themeFill="background1" w:themeFillShade="F2"/>
            <w:vAlign w:val="center"/>
          </w:tcPr>
          <w:p w14:paraId="7F51987B" w14:textId="2C686C4F" w:rsidR="008034FF" w:rsidRPr="00FC64BF" w:rsidRDefault="008034FF" w:rsidP="0061594B">
            <w:pPr>
              <w:rPr>
                <w:rFonts w:cs="Times New Roman"/>
                <w:sz w:val="20"/>
                <w:szCs w:val="18"/>
              </w:rPr>
            </w:pPr>
            <w:r w:rsidRPr="00FC64BF">
              <w:rPr>
                <w:rFonts w:cs="Times New Roman"/>
                <w:sz w:val="20"/>
                <w:szCs w:val="18"/>
              </w:rPr>
              <w:t>Izvori financiranja u 202</w:t>
            </w:r>
            <w:r w:rsidR="00F17D2C" w:rsidRPr="00FC64BF">
              <w:rPr>
                <w:rFonts w:cs="Times New Roman"/>
                <w:sz w:val="20"/>
                <w:szCs w:val="18"/>
              </w:rPr>
              <w:t>4</w:t>
            </w:r>
            <w:r w:rsidRPr="00FC64BF">
              <w:rPr>
                <w:rFonts w:cs="Times New Roman"/>
                <w:sz w:val="20"/>
                <w:szCs w:val="18"/>
              </w:rPr>
              <w:t>. (proračunska pozicija i predviđeni iznos sredstava)</w:t>
            </w:r>
          </w:p>
        </w:tc>
        <w:tc>
          <w:tcPr>
            <w:tcW w:w="1386" w:type="pct"/>
            <w:vAlign w:val="center"/>
          </w:tcPr>
          <w:p w14:paraId="45E183A8" w14:textId="77777777" w:rsidR="008034FF" w:rsidRPr="00FC64BF" w:rsidRDefault="008034FF" w:rsidP="002A04BF">
            <w:pPr>
              <w:jc w:val="center"/>
              <w:rPr>
                <w:rFonts w:cs="Times New Roman"/>
                <w:sz w:val="20"/>
                <w:szCs w:val="18"/>
              </w:rPr>
            </w:pPr>
            <w:r w:rsidRPr="00FC64BF">
              <w:rPr>
                <w:rFonts w:cs="Times New Roman"/>
                <w:sz w:val="20"/>
                <w:szCs w:val="18"/>
              </w:rPr>
              <w:t>A689013 –</w:t>
            </w:r>
          </w:p>
          <w:p w14:paraId="4CEFB7D9" w14:textId="17E5E75C" w:rsidR="00524406" w:rsidRPr="00FC64BF" w:rsidRDefault="008034FF" w:rsidP="002A04BF">
            <w:pPr>
              <w:jc w:val="center"/>
              <w:rPr>
                <w:rFonts w:cs="Times New Roman"/>
                <w:sz w:val="20"/>
                <w:szCs w:val="18"/>
              </w:rPr>
            </w:pPr>
            <w:r w:rsidRPr="00FC64BF">
              <w:rPr>
                <w:rFonts w:cs="Times New Roman"/>
                <w:sz w:val="20"/>
                <w:szCs w:val="18"/>
              </w:rPr>
              <w:t>Administracija i</w:t>
            </w:r>
            <w:r w:rsidR="00524406" w:rsidRPr="00FC64BF">
              <w:rPr>
                <w:rFonts w:cs="Times New Roman"/>
                <w:sz w:val="20"/>
                <w:szCs w:val="18"/>
              </w:rPr>
              <w:t xml:space="preserve"> </w:t>
            </w:r>
            <w:r w:rsidRPr="00FC64BF">
              <w:rPr>
                <w:rFonts w:cs="Times New Roman"/>
                <w:sz w:val="20"/>
                <w:szCs w:val="18"/>
              </w:rPr>
              <w:t>upravljanje i A689036 –</w:t>
            </w:r>
            <w:r w:rsidR="00524406" w:rsidRPr="00FC64BF">
              <w:rPr>
                <w:rFonts w:cs="Times New Roman"/>
                <w:sz w:val="20"/>
                <w:szCs w:val="18"/>
              </w:rPr>
              <w:t xml:space="preserve"> </w:t>
            </w:r>
            <w:r w:rsidRPr="00FC64BF">
              <w:rPr>
                <w:rFonts w:cs="Times New Roman"/>
                <w:sz w:val="20"/>
                <w:szCs w:val="18"/>
              </w:rPr>
              <w:t>naknade korisnicima</w:t>
            </w:r>
            <w:r w:rsidR="00524406" w:rsidRPr="00FC64BF">
              <w:rPr>
                <w:rFonts w:cs="Times New Roman"/>
                <w:sz w:val="20"/>
                <w:szCs w:val="18"/>
              </w:rPr>
              <w:t xml:space="preserve"> </w:t>
            </w:r>
            <w:r w:rsidRPr="00FC64BF">
              <w:rPr>
                <w:rFonts w:cs="Times New Roman"/>
                <w:sz w:val="20"/>
                <w:szCs w:val="18"/>
              </w:rPr>
              <w:t>aktivne politike</w:t>
            </w:r>
            <w:r w:rsidR="00524406" w:rsidRPr="00FC64BF">
              <w:rPr>
                <w:rFonts w:cs="Times New Roman"/>
                <w:sz w:val="20"/>
                <w:szCs w:val="18"/>
              </w:rPr>
              <w:t xml:space="preserve"> </w:t>
            </w:r>
            <w:r w:rsidRPr="00FC64BF">
              <w:rPr>
                <w:rFonts w:cs="Times New Roman"/>
                <w:sz w:val="20"/>
                <w:szCs w:val="18"/>
              </w:rPr>
              <w:t>zapošljavanja</w:t>
            </w:r>
            <w:r w:rsidR="00524406" w:rsidRPr="00FC64BF">
              <w:rPr>
                <w:rFonts w:cs="Times New Roman"/>
                <w:sz w:val="20"/>
                <w:szCs w:val="18"/>
              </w:rPr>
              <w:t xml:space="preserve"> </w:t>
            </w:r>
          </w:p>
          <w:p w14:paraId="0E1FD1BE" w14:textId="236CD33B" w:rsidR="008034FF" w:rsidRPr="00FC64BF" w:rsidRDefault="008034FF" w:rsidP="002A04BF">
            <w:pPr>
              <w:jc w:val="center"/>
              <w:rPr>
                <w:rFonts w:cs="Times New Roman"/>
                <w:sz w:val="20"/>
                <w:szCs w:val="18"/>
              </w:rPr>
            </w:pPr>
            <w:r w:rsidRPr="00FC64BF">
              <w:rPr>
                <w:rFonts w:cs="Times New Roman"/>
                <w:sz w:val="20"/>
                <w:szCs w:val="18"/>
              </w:rPr>
              <w:t>16.000,00</w:t>
            </w:r>
          </w:p>
        </w:tc>
        <w:tc>
          <w:tcPr>
            <w:tcW w:w="1154" w:type="pct"/>
            <w:vAlign w:val="center"/>
          </w:tcPr>
          <w:p w14:paraId="75BE31A0" w14:textId="77777777" w:rsidR="008034FF" w:rsidRPr="00FC64BF" w:rsidRDefault="008034FF" w:rsidP="002A04BF">
            <w:pPr>
              <w:jc w:val="center"/>
              <w:rPr>
                <w:rFonts w:cs="Times New Roman"/>
                <w:sz w:val="20"/>
                <w:szCs w:val="18"/>
              </w:rPr>
            </w:pPr>
            <w:r w:rsidRPr="00FC64BF">
              <w:rPr>
                <w:rFonts w:cs="Times New Roman"/>
                <w:sz w:val="20"/>
                <w:szCs w:val="18"/>
              </w:rPr>
              <w:t>0,00</w:t>
            </w:r>
          </w:p>
        </w:tc>
        <w:tc>
          <w:tcPr>
            <w:tcW w:w="923" w:type="pct"/>
            <w:vAlign w:val="center"/>
          </w:tcPr>
          <w:p w14:paraId="1C82AB88" w14:textId="77777777" w:rsidR="008034FF" w:rsidRPr="00FC64BF" w:rsidRDefault="008034FF" w:rsidP="002A04BF">
            <w:pPr>
              <w:jc w:val="center"/>
              <w:rPr>
                <w:rFonts w:cs="Times New Roman"/>
                <w:sz w:val="20"/>
                <w:szCs w:val="18"/>
              </w:rPr>
            </w:pPr>
            <w:r w:rsidRPr="00FC64BF">
              <w:rPr>
                <w:rFonts w:cs="Times New Roman"/>
                <w:sz w:val="20"/>
                <w:szCs w:val="18"/>
              </w:rPr>
              <w:t>0,00</w:t>
            </w:r>
          </w:p>
        </w:tc>
      </w:tr>
      <w:tr w:rsidR="00CE622A" w:rsidRPr="00F17D2C" w14:paraId="04092D76" w14:textId="77777777" w:rsidTr="00E5482D">
        <w:tc>
          <w:tcPr>
            <w:tcW w:w="1537" w:type="pct"/>
            <w:vMerge w:val="restart"/>
            <w:shd w:val="clear" w:color="auto" w:fill="F2F2F2" w:themeFill="background1" w:themeFillShade="F2"/>
            <w:vAlign w:val="center"/>
          </w:tcPr>
          <w:p w14:paraId="514C9C64" w14:textId="77777777" w:rsidR="008034FF" w:rsidRPr="00FC64BF" w:rsidRDefault="008034FF" w:rsidP="002A04BF">
            <w:pPr>
              <w:rPr>
                <w:rFonts w:cs="Times New Roman"/>
                <w:b/>
                <w:sz w:val="20"/>
                <w:szCs w:val="18"/>
              </w:rPr>
            </w:pPr>
            <w:r w:rsidRPr="00FC64BF">
              <w:rPr>
                <w:rFonts w:cs="Times New Roman"/>
                <w:b/>
                <w:sz w:val="20"/>
                <w:szCs w:val="18"/>
              </w:rPr>
              <w:t xml:space="preserve">UKUPNO UTROŠENA SREDSTVA PO IZVORU </w:t>
            </w:r>
          </w:p>
        </w:tc>
        <w:tc>
          <w:tcPr>
            <w:tcW w:w="1386" w:type="pct"/>
            <w:vAlign w:val="center"/>
          </w:tcPr>
          <w:p w14:paraId="03188505" w14:textId="77777777" w:rsidR="008034FF" w:rsidRPr="00FC64BF" w:rsidRDefault="008034FF" w:rsidP="002A04BF">
            <w:pPr>
              <w:jc w:val="center"/>
              <w:rPr>
                <w:rFonts w:cs="Times New Roman"/>
                <w:b/>
                <w:sz w:val="20"/>
                <w:szCs w:val="18"/>
              </w:rPr>
            </w:pPr>
            <w:r w:rsidRPr="00FC64BF">
              <w:rPr>
                <w:rFonts w:cs="Times New Roman"/>
                <w:b/>
                <w:sz w:val="20"/>
                <w:szCs w:val="18"/>
              </w:rPr>
              <w:t>Državni proračun (EUR)</w:t>
            </w:r>
          </w:p>
        </w:tc>
        <w:tc>
          <w:tcPr>
            <w:tcW w:w="1154" w:type="pct"/>
            <w:vAlign w:val="center"/>
          </w:tcPr>
          <w:p w14:paraId="5EB3B861" w14:textId="77777777" w:rsidR="008034FF" w:rsidRPr="00FC64BF" w:rsidRDefault="008034FF" w:rsidP="002A04BF">
            <w:pPr>
              <w:jc w:val="center"/>
              <w:rPr>
                <w:rFonts w:cs="Times New Roman"/>
                <w:b/>
                <w:sz w:val="20"/>
                <w:szCs w:val="18"/>
              </w:rPr>
            </w:pPr>
            <w:r w:rsidRPr="00FC64BF">
              <w:rPr>
                <w:rFonts w:cs="Times New Roman"/>
                <w:b/>
                <w:sz w:val="20"/>
                <w:szCs w:val="18"/>
              </w:rPr>
              <w:t>EU financiranje (EUR)</w:t>
            </w:r>
          </w:p>
        </w:tc>
        <w:tc>
          <w:tcPr>
            <w:tcW w:w="923" w:type="pct"/>
            <w:vAlign w:val="center"/>
          </w:tcPr>
          <w:p w14:paraId="2FB5377C" w14:textId="77777777" w:rsidR="008034FF" w:rsidRPr="00FC64BF" w:rsidRDefault="008034FF" w:rsidP="002A04BF">
            <w:pPr>
              <w:jc w:val="center"/>
              <w:rPr>
                <w:rFonts w:cs="Times New Roman"/>
                <w:b/>
                <w:sz w:val="20"/>
                <w:szCs w:val="18"/>
              </w:rPr>
            </w:pPr>
            <w:r w:rsidRPr="00FC64BF">
              <w:rPr>
                <w:rFonts w:cs="Times New Roman"/>
                <w:b/>
                <w:sz w:val="20"/>
                <w:szCs w:val="18"/>
              </w:rPr>
              <w:t>Drugi izvori (EUR)</w:t>
            </w:r>
          </w:p>
        </w:tc>
      </w:tr>
      <w:tr w:rsidR="00CE622A" w:rsidRPr="00F17D2C" w14:paraId="48ADC6F5" w14:textId="77777777" w:rsidTr="00E5482D">
        <w:tc>
          <w:tcPr>
            <w:tcW w:w="1537" w:type="pct"/>
            <w:vMerge/>
            <w:shd w:val="clear" w:color="auto" w:fill="F2F2F2" w:themeFill="background1" w:themeFillShade="F2"/>
            <w:vAlign w:val="center"/>
          </w:tcPr>
          <w:p w14:paraId="65E8511F" w14:textId="77777777" w:rsidR="008034FF" w:rsidRPr="00FC64BF" w:rsidRDefault="008034FF" w:rsidP="002A04BF">
            <w:pPr>
              <w:rPr>
                <w:rFonts w:cs="Times New Roman"/>
                <w:b/>
                <w:sz w:val="20"/>
                <w:szCs w:val="18"/>
              </w:rPr>
            </w:pPr>
          </w:p>
        </w:tc>
        <w:tc>
          <w:tcPr>
            <w:tcW w:w="1386" w:type="pct"/>
            <w:vAlign w:val="center"/>
          </w:tcPr>
          <w:p w14:paraId="3AABDE53" w14:textId="69E97D53" w:rsidR="00524406" w:rsidRPr="00FC64BF" w:rsidRDefault="008034FF" w:rsidP="002A04BF">
            <w:pPr>
              <w:jc w:val="center"/>
              <w:rPr>
                <w:rFonts w:eastAsia="Calibri" w:cs="Times New Roman"/>
                <w:b/>
                <w:sz w:val="20"/>
              </w:rPr>
            </w:pPr>
            <w:r w:rsidRPr="00FC64BF">
              <w:rPr>
                <w:rFonts w:eastAsia="Calibri" w:cs="Times New Roman"/>
                <w:sz w:val="20"/>
              </w:rPr>
              <w:t>A689013 – Administracija i upravljanje</w:t>
            </w:r>
            <w:r w:rsidRPr="00FC64BF">
              <w:rPr>
                <w:rFonts w:eastAsia="Calibri" w:cs="Times New Roman"/>
                <w:b/>
                <w:sz w:val="20"/>
              </w:rPr>
              <w:t xml:space="preserve"> </w:t>
            </w:r>
            <w:r w:rsidR="007D7BFE" w:rsidRPr="00FC64BF">
              <w:rPr>
                <w:rFonts w:eastAsia="Calibri" w:cs="Times New Roman"/>
                <w:b/>
                <w:sz w:val="20"/>
              </w:rPr>
              <w:t>– 0,00</w:t>
            </w:r>
          </w:p>
          <w:p w14:paraId="0B8981EC" w14:textId="2BEE3A87" w:rsidR="008034FF" w:rsidRPr="00FC64BF" w:rsidRDefault="008034FF" w:rsidP="002A04BF">
            <w:pPr>
              <w:jc w:val="center"/>
              <w:rPr>
                <w:rFonts w:eastAsia="Calibri" w:cs="Times New Roman"/>
                <w:sz w:val="20"/>
              </w:rPr>
            </w:pPr>
            <w:r w:rsidRPr="00FC64BF">
              <w:rPr>
                <w:rFonts w:eastAsia="Calibri" w:cs="Times New Roman"/>
                <w:b/>
                <w:sz w:val="20"/>
              </w:rPr>
              <w:t xml:space="preserve">i </w:t>
            </w:r>
            <w:r w:rsidRPr="00FC64BF">
              <w:rPr>
                <w:rFonts w:eastAsia="Calibri" w:cs="Times New Roman"/>
                <w:sz w:val="20"/>
              </w:rPr>
              <w:t>A689036 – naknade korisnicima aktivne politike zapošljavanja</w:t>
            </w:r>
          </w:p>
          <w:p w14:paraId="1C7CF5B2" w14:textId="5468E386" w:rsidR="008034FF" w:rsidRPr="00FC64BF" w:rsidRDefault="00624548" w:rsidP="00624548">
            <w:pPr>
              <w:jc w:val="center"/>
              <w:rPr>
                <w:rFonts w:eastAsia="Calibri" w:cs="Times New Roman"/>
                <w:sz w:val="20"/>
              </w:rPr>
            </w:pPr>
            <w:r w:rsidRPr="00FC64BF">
              <w:rPr>
                <w:rFonts w:eastAsia="Calibri" w:cs="Times New Roman"/>
                <w:b/>
                <w:sz w:val="20"/>
              </w:rPr>
              <w:t>15.609,36</w:t>
            </w:r>
            <w:r w:rsidR="002F7831">
              <w:rPr>
                <w:rFonts w:eastAsia="Calibri" w:cs="Times New Roman"/>
                <w:b/>
                <w:sz w:val="20"/>
              </w:rPr>
              <w:t xml:space="preserve"> </w:t>
            </w:r>
          </w:p>
        </w:tc>
        <w:tc>
          <w:tcPr>
            <w:tcW w:w="1154" w:type="pct"/>
            <w:vAlign w:val="center"/>
          </w:tcPr>
          <w:p w14:paraId="3AD4114B" w14:textId="3D79CF3D" w:rsidR="008034FF" w:rsidRPr="00FC64BF" w:rsidRDefault="008034FF" w:rsidP="002A04BF">
            <w:pPr>
              <w:jc w:val="center"/>
              <w:rPr>
                <w:rFonts w:cs="Times New Roman"/>
                <w:sz w:val="20"/>
                <w:szCs w:val="18"/>
              </w:rPr>
            </w:pPr>
            <w:r w:rsidRPr="00FC64BF">
              <w:rPr>
                <w:rFonts w:cs="Times New Roman"/>
                <w:sz w:val="20"/>
                <w:szCs w:val="18"/>
              </w:rPr>
              <w:t>0,00</w:t>
            </w:r>
          </w:p>
        </w:tc>
        <w:tc>
          <w:tcPr>
            <w:tcW w:w="923" w:type="pct"/>
            <w:vAlign w:val="center"/>
          </w:tcPr>
          <w:p w14:paraId="74A8420F" w14:textId="77777777" w:rsidR="008034FF" w:rsidRPr="00FC64BF" w:rsidRDefault="008034FF" w:rsidP="002A04BF">
            <w:pPr>
              <w:jc w:val="center"/>
              <w:rPr>
                <w:rFonts w:cs="Times New Roman"/>
                <w:sz w:val="20"/>
                <w:szCs w:val="18"/>
              </w:rPr>
            </w:pPr>
            <w:r w:rsidRPr="00FC64BF">
              <w:rPr>
                <w:rFonts w:cs="Times New Roman"/>
                <w:sz w:val="20"/>
                <w:szCs w:val="18"/>
              </w:rPr>
              <w:t xml:space="preserve">0,00 </w:t>
            </w:r>
          </w:p>
        </w:tc>
      </w:tr>
      <w:tr w:rsidR="00CE622A" w:rsidRPr="00F17D2C" w14:paraId="7480D696" w14:textId="77777777" w:rsidTr="00B66CD2">
        <w:trPr>
          <w:trHeight w:val="430"/>
        </w:trPr>
        <w:tc>
          <w:tcPr>
            <w:tcW w:w="1537" w:type="pct"/>
            <w:shd w:val="clear" w:color="auto" w:fill="F2F2F2" w:themeFill="background1" w:themeFillShade="F2"/>
            <w:vAlign w:val="center"/>
          </w:tcPr>
          <w:p w14:paraId="42EAE150" w14:textId="4BD6A1D5" w:rsidR="008034FF" w:rsidRPr="00FC64BF" w:rsidRDefault="008034FF" w:rsidP="002A04BF">
            <w:pPr>
              <w:rPr>
                <w:rFonts w:cs="Times New Roman"/>
                <w:sz w:val="20"/>
                <w:szCs w:val="18"/>
              </w:rPr>
            </w:pPr>
            <w:r w:rsidRPr="00FC64BF">
              <w:rPr>
                <w:rFonts w:cs="Times New Roman"/>
                <w:sz w:val="20"/>
                <w:szCs w:val="18"/>
              </w:rPr>
              <w:t>ROK PROVEDBE AKTIVNOSTI</w:t>
            </w:r>
          </w:p>
        </w:tc>
        <w:tc>
          <w:tcPr>
            <w:tcW w:w="3463" w:type="pct"/>
            <w:gridSpan w:val="3"/>
            <w:vAlign w:val="center"/>
          </w:tcPr>
          <w:p w14:paraId="47D293E7" w14:textId="77777777" w:rsidR="008034FF" w:rsidRPr="00FC64BF" w:rsidRDefault="008034FF" w:rsidP="002A04BF">
            <w:pPr>
              <w:rPr>
                <w:rFonts w:cs="Times New Roman"/>
                <w:sz w:val="20"/>
                <w:szCs w:val="18"/>
              </w:rPr>
            </w:pPr>
            <w:r w:rsidRPr="00FC64BF">
              <w:rPr>
                <w:rFonts w:cs="Times New Roman"/>
                <w:sz w:val="20"/>
                <w:szCs w:val="18"/>
              </w:rPr>
              <w:t xml:space="preserve">IV. kvartal 2025. </w:t>
            </w:r>
          </w:p>
        </w:tc>
      </w:tr>
    </w:tbl>
    <w:p w14:paraId="33ED8713" w14:textId="77777777" w:rsidR="0029699C" w:rsidRDefault="0029699C" w:rsidP="00D36147">
      <w:pPr>
        <w:spacing w:after="0" w:line="276" w:lineRule="auto"/>
        <w:jc w:val="both"/>
        <w:rPr>
          <w:rFonts w:cs="Times New Roman"/>
          <w:i/>
          <w:iCs/>
          <w:szCs w:val="24"/>
        </w:rPr>
      </w:pPr>
    </w:p>
    <w:p w14:paraId="70223333" w14:textId="39E9F580" w:rsidR="00330FAE" w:rsidRPr="004610D8" w:rsidRDefault="00330FAE">
      <w:pPr>
        <w:rPr>
          <w:rFonts w:cs="Times New Roman"/>
          <w:i/>
          <w:iCs/>
          <w:szCs w:val="24"/>
        </w:rPr>
      </w:pPr>
    </w:p>
    <w:p w14:paraId="7829E60D" w14:textId="0376658B" w:rsidR="00CA388F" w:rsidRPr="00FC64BF" w:rsidRDefault="009870E5" w:rsidP="00D36147">
      <w:pPr>
        <w:spacing w:after="0" w:line="276" w:lineRule="auto"/>
        <w:jc w:val="both"/>
        <w:rPr>
          <w:rFonts w:cs="Times New Roman"/>
          <w:i/>
          <w:iCs/>
          <w:szCs w:val="24"/>
        </w:rPr>
      </w:pPr>
      <w:r w:rsidRPr="00FC64BF">
        <w:rPr>
          <w:rFonts w:cs="Times New Roman"/>
          <w:i/>
          <w:iCs/>
          <w:szCs w:val="24"/>
        </w:rPr>
        <w:lastRenderedPageBreak/>
        <w:t xml:space="preserve">Aktivnost </w:t>
      </w:r>
      <w:r w:rsidR="0073254B" w:rsidRPr="00FC64BF">
        <w:rPr>
          <w:rFonts w:cs="Times New Roman"/>
          <w:i/>
          <w:iCs/>
          <w:szCs w:val="24"/>
        </w:rPr>
        <w:t>5</w:t>
      </w:r>
      <w:r w:rsidR="00AD0006" w:rsidRPr="00FC64BF">
        <w:rPr>
          <w:rFonts w:cs="Times New Roman"/>
          <w:i/>
          <w:iCs/>
          <w:szCs w:val="24"/>
        </w:rPr>
        <w:t>.1.3.</w:t>
      </w:r>
      <w:r w:rsidRPr="00FC64BF">
        <w:rPr>
          <w:rFonts w:cs="Times New Roman"/>
          <w:i/>
          <w:iCs/>
          <w:szCs w:val="24"/>
        </w:rPr>
        <w:t xml:space="preserve"> </w:t>
      </w:r>
      <w:r w:rsidR="00AD0006" w:rsidRPr="00FC64BF">
        <w:rPr>
          <w:rFonts w:cs="Times New Roman"/>
          <w:i/>
          <w:iCs/>
          <w:szCs w:val="24"/>
        </w:rPr>
        <w:t>Povećati zapošljivost Roma stjecanjem novih kompete</w:t>
      </w:r>
      <w:r w:rsidR="00CA388F" w:rsidRPr="00FC64BF">
        <w:rPr>
          <w:rFonts w:cs="Times New Roman"/>
          <w:i/>
          <w:iCs/>
          <w:szCs w:val="24"/>
        </w:rPr>
        <w:t>ncija traženih na tržištu rada</w:t>
      </w:r>
    </w:p>
    <w:p w14:paraId="5DB357BD" w14:textId="1F3BFCD7" w:rsidR="00CA388F" w:rsidRPr="00FC64BF" w:rsidRDefault="00CA388F" w:rsidP="00D36147">
      <w:pPr>
        <w:spacing w:after="0" w:line="276" w:lineRule="auto"/>
        <w:jc w:val="both"/>
        <w:rPr>
          <w:rFonts w:cs="Times New Roman"/>
          <w:i/>
          <w:iCs/>
          <w:szCs w:val="24"/>
        </w:rPr>
      </w:pPr>
      <w:r w:rsidRPr="00FC64BF">
        <w:rPr>
          <w:rFonts w:cs="Times New Roman"/>
          <w:i/>
          <w:iCs/>
          <w:szCs w:val="24"/>
        </w:rPr>
        <w:t>Nositelj provedbe:</w:t>
      </w:r>
      <w:r w:rsidR="00617565" w:rsidRPr="00FC64BF">
        <w:rPr>
          <w:rFonts w:cs="Times New Roman"/>
          <w:i/>
          <w:iCs/>
          <w:szCs w:val="24"/>
        </w:rPr>
        <w:t xml:space="preserve"> </w:t>
      </w:r>
      <w:r w:rsidR="00AD0006" w:rsidRPr="00FC64BF">
        <w:rPr>
          <w:rFonts w:cs="Times New Roman"/>
          <w:i/>
          <w:iCs/>
          <w:szCs w:val="24"/>
        </w:rPr>
        <w:t>Hrvatski zavod za zapošljavanje</w:t>
      </w:r>
      <w:r w:rsidRPr="00FC64BF">
        <w:rPr>
          <w:rFonts w:cs="Times New Roman"/>
          <w:i/>
          <w:iCs/>
          <w:szCs w:val="24"/>
        </w:rPr>
        <w:t xml:space="preserve"> </w:t>
      </w:r>
    </w:p>
    <w:p w14:paraId="30B6946B" w14:textId="56ED77A6" w:rsidR="00AD0006" w:rsidRPr="00FC64BF" w:rsidRDefault="00CA388F" w:rsidP="00D36147">
      <w:pPr>
        <w:spacing w:after="0" w:line="276" w:lineRule="auto"/>
        <w:jc w:val="both"/>
        <w:rPr>
          <w:rFonts w:cs="Times New Roman"/>
          <w:i/>
          <w:iCs/>
          <w:szCs w:val="24"/>
        </w:rPr>
      </w:pPr>
      <w:r w:rsidRPr="00FC64BF">
        <w:rPr>
          <w:rFonts w:cs="Times New Roman"/>
          <w:i/>
          <w:iCs/>
          <w:szCs w:val="24"/>
        </w:rPr>
        <w:t>P</w:t>
      </w:r>
      <w:r w:rsidR="00CD0B39" w:rsidRPr="00FC64BF">
        <w:rPr>
          <w:rFonts w:cs="Times New Roman"/>
          <w:i/>
          <w:iCs/>
          <w:szCs w:val="24"/>
        </w:rPr>
        <w:t xml:space="preserve">artneri: </w:t>
      </w:r>
      <w:r w:rsidR="00060B0A" w:rsidRPr="00FC64BF">
        <w:rPr>
          <w:rFonts w:cs="Times New Roman"/>
          <w:i/>
          <w:iCs/>
          <w:szCs w:val="24"/>
        </w:rPr>
        <w:t>Ministarstvo znanosti</w:t>
      </w:r>
      <w:r w:rsidR="003379F1">
        <w:rPr>
          <w:rFonts w:cs="Times New Roman"/>
          <w:i/>
          <w:iCs/>
          <w:szCs w:val="24"/>
        </w:rPr>
        <w:t xml:space="preserve">, </w:t>
      </w:r>
      <w:r w:rsidR="00060B0A" w:rsidRPr="00FC64BF">
        <w:rPr>
          <w:rFonts w:cs="Times New Roman"/>
          <w:i/>
          <w:iCs/>
          <w:szCs w:val="24"/>
        </w:rPr>
        <w:t>obrazovanja</w:t>
      </w:r>
      <w:r w:rsidR="003379F1">
        <w:rPr>
          <w:rFonts w:cs="Times New Roman"/>
          <w:i/>
          <w:iCs/>
          <w:szCs w:val="24"/>
        </w:rPr>
        <w:t xml:space="preserve"> i mladih</w:t>
      </w:r>
      <w:r w:rsidR="00060B0A" w:rsidRPr="00FC64BF">
        <w:rPr>
          <w:rFonts w:cs="Times New Roman"/>
          <w:i/>
          <w:iCs/>
          <w:szCs w:val="24"/>
        </w:rPr>
        <w:t>, Ustanove za obrazovanje odraslih, Poslodavci na lokalnom području</w:t>
      </w:r>
    </w:p>
    <w:p w14:paraId="493DDE63" w14:textId="77777777" w:rsidR="00524406" w:rsidRPr="00A81FA5" w:rsidRDefault="00524406" w:rsidP="00D36147">
      <w:pPr>
        <w:spacing w:after="0" w:line="276" w:lineRule="auto"/>
        <w:jc w:val="both"/>
        <w:rPr>
          <w:rFonts w:cs="Times New Roman"/>
          <w:i/>
          <w:iCs/>
          <w:szCs w:val="24"/>
        </w:rPr>
      </w:pPr>
    </w:p>
    <w:p w14:paraId="254B8148" w14:textId="5F7BF6FB" w:rsidR="00060B0A" w:rsidRPr="00A81FA5" w:rsidRDefault="00060B0A" w:rsidP="00D36147">
      <w:pPr>
        <w:spacing w:after="0" w:line="276" w:lineRule="auto"/>
        <w:jc w:val="both"/>
        <w:rPr>
          <w:rFonts w:cs="Times New Roman"/>
          <w:szCs w:val="24"/>
        </w:rPr>
      </w:pPr>
      <w:r w:rsidRPr="00A81FA5">
        <w:rPr>
          <w:rFonts w:cs="Times New Roman"/>
          <w:szCs w:val="24"/>
        </w:rPr>
        <w:t>Ovisno o individualnim potrebama i mogućnostima omoguć</w:t>
      </w:r>
      <w:r w:rsidR="0051774A" w:rsidRPr="00A81FA5">
        <w:rPr>
          <w:rFonts w:cs="Times New Roman"/>
          <w:szCs w:val="24"/>
        </w:rPr>
        <w:t>uje</w:t>
      </w:r>
      <w:r w:rsidRPr="00A81FA5">
        <w:rPr>
          <w:rFonts w:cs="Times New Roman"/>
          <w:szCs w:val="24"/>
        </w:rPr>
        <w:t xml:space="preserve"> se uključivanje nezaposlenih Roma u različite programe obrazovanja i osposobljavanja koji uključuju: programe završavanja osnovne škole i stjecanja prvog zanimanja, obrazovanje u ustanovama za obrazovanje odraslih, osposobljavanje na radnom mjestu te kroz kombinirani model obrazovanja (kod poslodavca i u ustanovama za obrazovanje odraslih). Svim polaznicima financira se trošak obrazovanja, putni trošak te novčana pomoć za vrijeme trajanja obrazovanja (osim za program završavanja osnovne škole koji uključuje samo putni trošak). U programu osposobljavanja na radnom mjestu polaznik ima individualiziranu podršku od strane mentora te po završetku programa </w:t>
      </w:r>
      <w:r w:rsidR="00225B66" w:rsidRPr="00A81FA5">
        <w:rPr>
          <w:rFonts w:cs="Times New Roman"/>
          <w:szCs w:val="24"/>
        </w:rPr>
        <w:t>dobije</w:t>
      </w:r>
      <w:r w:rsidRPr="00A81FA5">
        <w:rPr>
          <w:rFonts w:cs="Times New Roman"/>
          <w:szCs w:val="24"/>
        </w:rPr>
        <w:t xml:space="preserve"> potvrdu o stečenim kompetencijama.</w:t>
      </w:r>
    </w:p>
    <w:p w14:paraId="24FA98C7" w14:textId="77777777" w:rsidR="00593DCC" w:rsidRPr="00A81FA5" w:rsidRDefault="00593DCC" w:rsidP="00D36147">
      <w:pPr>
        <w:spacing w:after="0" w:line="276" w:lineRule="auto"/>
        <w:jc w:val="both"/>
        <w:rPr>
          <w:rFonts w:cs="Times New Roman"/>
          <w:szCs w:val="24"/>
        </w:rPr>
      </w:pPr>
    </w:p>
    <w:p w14:paraId="62505F82" w14:textId="763009AB" w:rsidR="00951569" w:rsidRPr="00194D9A" w:rsidRDefault="00951569" w:rsidP="00951569">
      <w:pPr>
        <w:jc w:val="both"/>
        <w:rPr>
          <w:rFonts w:cs="Times New Roman"/>
          <w:strike/>
          <w:szCs w:val="24"/>
        </w:rPr>
      </w:pPr>
      <w:r w:rsidRPr="00194D9A">
        <w:rPr>
          <w:rFonts w:cs="Times New Roman"/>
          <w:szCs w:val="24"/>
        </w:rPr>
        <w:t xml:space="preserve">Tijekom 2024. </w:t>
      </w:r>
      <w:r w:rsidR="00533E46">
        <w:rPr>
          <w:rFonts w:cs="Times New Roman"/>
          <w:szCs w:val="24"/>
        </w:rPr>
        <w:t xml:space="preserve">godine </w:t>
      </w:r>
      <w:r w:rsidRPr="00194D9A">
        <w:rPr>
          <w:rFonts w:cs="Times New Roman"/>
          <w:szCs w:val="24"/>
        </w:rPr>
        <w:t>u program obrazovanja za završetak osnovne škole uključeno je 95 nezaposlenih Roma od čega 48 žena. Kroz mjeru Obrazovanje nezaposlenih osoba i ostalih tražitelja zaposlenja u program Vozač C kategorije uključena su 2 nezaposlena Roma (oba muškog spola). U mjeru Osposobljavanje na radnom mjestu uključeno je 15 nezaposlenih osoba (od čega 6 žena) i to za poslove Stočara (5 korisnika), Pomoćnog soboslikara (1), Suradnika u zabrinjavanju metalnog otpada (3), Pomoćnog stolara (1), Poljoprivrednog tehničara biljne proizvodnje (1), Proizvođač opekarskih proizvoda (1), Pomoćnog kuhara (1), Prodavača (1) te Trgovca male vrtne mehanizacije (1).</w:t>
      </w:r>
    </w:p>
    <w:p w14:paraId="406CF597" w14:textId="77777777" w:rsidR="00951569" w:rsidRPr="00194D9A" w:rsidRDefault="00951569" w:rsidP="00951569">
      <w:pPr>
        <w:jc w:val="both"/>
        <w:rPr>
          <w:rFonts w:cs="Times New Roman"/>
          <w:szCs w:val="24"/>
        </w:rPr>
      </w:pPr>
      <w:r w:rsidRPr="00194D9A">
        <w:rPr>
          <w:rFonts w:cs="Times New Roman"/>
          <w:szCs w:val="24"/>
        </w:rPr>
        <w:t>U Obrazovanje za stjecanje kompetencija potrebnih za rad putem sustava vaučera uključeno je 30 pripadnika romske nacionalne manjine (od čega 18 muškaraca odnosno 12 žena; 16 nezaposlenih odnosno 14 zaposlenih Roma) i to u programe Pomoćnik u nastavi (1 korisnik), Priprema jednostavnih slatkih jela (1), Rukovanje mosnom dizalicom (1), Zavarivanje čelika kutnim spojem TIG postupkom (1), Osnove bravarskih poslova (2), Rukovanje bagerom (2), Njegovatelj u institucionalnoj i izvaninstitucionalnoj skrbi o starijim i nemoćnim osobama (3), Prodavač prema dualnom modelu obrazovanja (4), Rukovanje viličarom u logistici i prometu (4), Šivanje klasičnog stolnog i posteljnog rublja te uporabnih predmeta (4) i Rukovanje viličarom u skladišnom prostoru (7 korisnika).</w:t>
      </w:r>
    </w:p>
    <w:p w14:paraId="65894F5C" w14:textId="77777777" w:rsidR="00524406" w:rsidRPr="00FC64BF" w:rsidRDefault="00524406" w:rsidP="00D36147">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1697"/>
        <w:gridCol w:w="2409"/>
        <w:gridCol w:w="2410"/>
        <w:gridCol w:w="2546"/>
      </w:tblGrid>
      <w:tr w:rsidR="00CE622A" w:rsidRPr="006B4228" w14:paraId="65A653D9" w14:textId="77777777" w:rsidTr="005D72D8">
        <w:trPr>
          <w:trHeight w:val="606"/>
        </w:trPr>
        <w:tc>
          <w:tcPr>
            <w:tcW w:w="936" w:type="pct"/>
            <w:shd w:val="clear" w:color="auto" w:fill="F2F2F2" w:themeFill="background1" w:themeFillShade="F2"/>
            <w:vAlign w:val="center"/>
          </w:tcPr>
          <w:p w14:paraId="1BD874C1" w14:textId="77777777" w:rsidR="008034FF" w:rsidRPr="00A86FA4" w:rsidRDefault="008034FF" w:rsidP="004A3B23">
            <w:pPr>
              <w:spacing w:line="276" w:lineRule="auto"/>
              <w:rPr>
                <w:rFonts w:cs="Times New Roman"/>
                <w:b/>
                <w:sz w:val="20"/>
                <w:szCs w:val="20"/>
              </w:rPr>
            </w:pPr>
            <w:bookmarkStart w:id="44" w:name="_Hlk164165251"/>
            <w:r w:rsidRPr="00A86FA4">
              <w:rPr>
                <w:rFonts w:cs="Times New Roman"/>
                <w:b/>
                <w:sz w:val="20"/>
                <w:szCs w:val="20"/>
              </w:rPr>
              <w:t>Pokazatelji provedbe i pokazatelji uspješnosti provedbe</w:t>
            </w:r>
          </w:p>
        </w:tc>
        <w:tc>
          <w:tcPr>
            <w:tcW w:w="1329" w:type="pct"/>
            <w:shd w:val="clear" w:color="auto" w:fill="F2F2F2" w:themeFill="background1" w:themeFillShade="F2"/>
            <w:vAlign w:val="center"/>
          </w:tcPr>
          <w:p w14:paraId="1F2A2839" w14:textId="77777777" w:rsidR="008034FF" w:rsidRPr="00A86FA4" w:rsidRDefault="008034FF" w:rsidP="00D36147">
            <w:pPr>
              <w:spacing w:line="276" w:lineRule="auto"/>
              <w:jc w:val="center"/>
              <w:rPr>
                <w:rFonts w:eastAsia="Calibri" w:cs="Times New Roman"/>
                <w:b/>
                <w:sz w:val="20"/>
                <w:szCs w:val="20"/>
              </w:rPr>
            </w:pPr>
            <w:r w:rsidRPr="00A86FA4">
              <w:rPr>
                <w:rFonts w:eastAsia="Calibri" w:cs="Times New Roman"/>
                <w:b/>
                <w:sz w:val="20"/>
                <w:szCs w:val="20"/>
              </w:rPr>
              <w:t>Broj različitih obrazovnih</w:t>
            </w:r>
          </w:p>
          <w:p w14:paraId="5A03D63F" w14:textId="2F55D2C6" w:rsidR="008034FF" w:rsidRPr="00A86FA4" w:rsidRDefault="008034FF" w:rsidP="00D36147">
            <w:pPr>
              <w:spacing w:line="276" w:lineRule="auto"/>
              <w:jc w:val="center"/>
              <w:rPr>
                <w:rFonts w:eastAsia="Calibri" w:cs="Times New Roman"/>
                <w:b/>
                <w:strike/>
                <w:sz w:val="20"/>
                <w:szCs w:val="20"/>
              </w:rPr>
            </w:pPr>
            <w:r w:rsidRPr="00A86FA4">
              <w:rPr>
                <w:rFonts w:eastAsia="Calibri" w:cs="Times New Roman"/>
                <w:b/>
                <w:sz w:val="20"/>
                <w:szCs w:val="20"/>
              </w:rPr>
              <w:t>programa</w:t>
            </w:r>
          </w:p>
        </w:tc>
        <w:tc>
          <w:tcPr>
            <w:tcW w:w="1330" w:type="pct"/>
            <w:shd w:val="clear" w:color="auto" w:fill="F2F2F2" w:themeFill="background1" w:themeFillShade="F2"/>
            <w:vAlign w:val="center"/>
          </w:tcPr>
          <w:p w14:paraId="603F0953" w14:textId="2AA30DAA" w:rsidR="008034FF" w:rsidRPr="00A86FA4" w:rsidRDefault="008034FF" w:rsidP="00D36147">
            <w:pPr>
              <w:spacing w:line="276" w:lineRule="auto"/>
              <w:jc w:val="center"/>
              <w:rPr>
                <w:rFonts w:cs="Times New Roman"/>
                <w:b/>
                <w:sz w:val="20"/>
                <w:szCs w:val="20"/>
              </w:rPr>
            </w:pPr>
            <w:r w:rsidRPr="00A86FA4">
              <w:rPr>
                <w:rFonts w:eastAsia="Calibri" w:cs="Times New Roman"/>
                <w:b/>
                <w:sz w:val="20"/>
                <w:szCs w:val="20"/>
              </w:rPr>
              <w:t>Broj polaznika</w:t>
            </w:r>
          </w:p>
        </w:tc>
        <w:tc>
          <w:tcPr>
            <w:tcW w:w="1405" w:type="pct"/>
            <w:shd w:val="clear" w:color="auto" w:fill="F2F2F2" w:themeFill="background1" w:themeFillShade="F2"/>
            <w:vAlign w:val="center"/>
          </w:tcPr>
          <w:p w14:paraId="1C042258" w14:textId="3950CC2D" w:rsidR="008034FF" w:rsidRPr="00A86FA4" w:rsidRDefault="008034FF" w:rsidP="002A04BF">
            <w:pPr>
              <w:spacing w:line="276" w:lineRule="auto"/>
              <w:jc w:val="center"/>
              <w:rPr>
                <w:rFonts w:cs="Times New Roman"/>
                <w:b/>
                <w:sz w:val="20"/>
                <w:szCs w:val="20"/>
              </w:rPr>
            </w:pPr>
            <w:r w:rsidRPr="00A86FA4">
              <w:rPr>
                <w:rFonts w:cs="Times New Roman"/>
                <w:b/>
                <w:sz w:val="20"/>
                <w:szCs w:val="20"/>
              </w:rPr>
              <w:t>Broj ustanova za</w:t>
            </w:r>
            <w:r w:rsidR="00524406" w:rsidRPr="00A86FA4">
              <w:rPr>
                <w:rFonts w:cs="Times New Roman"/>
                <w:b/>
                <w:sz w:val="20"/>
                <w:szCs w:val="20"/>
              </w:rPr>
              <w:t xml:space="preserve"> </w:t>
            </w:r>
            <w:r w:rsidRPr="00A86FA4">
              <w:rPr>
                <w:rFonts w:cs="Times New Roman"/>
                <w:b/>
                <w:sz w:val="20"/>
                <w:szCs w:val="20"/>
              </w:rPr>
              <w:t>obrazovanje odraslih</w:t>
            </w:r>
            <w:r w:rsidR="00524406" w:rsidRPr="00A86FA4">
              <w:rPr>
                <w:rFonts w:cs="Times New Roman"/>
                <w:b/>
                <w:sz w:val="20"/>
                <w:szCs w:val="20"/>
              </w:rPr>
              <w:t xml:space="preserve"> </w:t>
            </w:r>
            <w:r w:rsidRPr="00A86FA4">
              <w:rPr>
                <w:rFonts w:cs="Times New Roman"/>
                <w:b/>
                <w:sz w:val="20"/>
                <w:szCs w:val="20"/>
              </w:rPr>
              <w:t>i broj poslodavaca s</w:t>
            </w:r>
            <w:r w:rsidR="00524406" w:rsidRPr="00A86FA4">
              <w:rPr>
                <w:rFonts w:cs="Times New Roman"/>
                <w:b/>
                <w:sz w:val="20"/>
                <w:szCs w:val="20"/>
              </w:rPr>
              <w:t xml:space="preserve"> </w:t>
            </w:r>
            <w:r w:rsidRPr="00A86FA4">
              <w:rPr>
                <w:rFonts w:cs="Times New Roman"/>
                <w:b/>
                <w:sz w:val="20"/>
                <w:szCs w:val="20"/>
              </w:rPr>
              <w:t>kojima su se</w:t>
            </w:r>
            <w:r w:rsidR="00524406" w:rsidRPr="00A86FA4">
              <w:rPr>
                <w:rFonts w:cs="Times New Roman"/>
                <w:b/>
                <w:sz w:val="20"/>
                <w:szCs w:val="20"/>
              </w:rPr>
              <w:t xml:space="preserve"> </w:t>
            </w:r>
            <w:r w:rsidRPr="00A86FA4">
              <w:rPr>
                <w:rFonts w:cs="Times New Roman"/>
                <w:b/>
                <w:sz w:val="20"/>
                <w:szCs w:val="20"/>
              </w:rPr>
              <w:t>provodili programi</w:t>
            </w:r>
          </w:p>
        </w:tc>
      </w:tr>
      <w:tr w:rsidR="00CE622A" w:rsidRPr="006B4228" w14:paraId="524EB492" w14:textId="77777777" w:rsidTr="005D72D8">
        <w:tc>
          <w:tcPr>
            <w:tcW w:w="936" w:type="pct"/>
            <w:shd w:val="clear" w:color="auto" w:fill="F2F2F2" w:themeFill="background1" w:themeFillShade="F2"/>
            <w:vAlign w:val="center"/>
          </w:tcPr>
          <w:p w14:paraId="38EB896B" w14:textId="22D90B03" w:rsidR="008034FF" w:rsidRPr="00A86FA4" w:rsidRDefault="008034FF" w:rsidP="0061594B">
            <w:pPr>
              <w:spacing w:line="276" w:lineRule="auto"/>
              <w:rPr>
                <w:rFonts w:cs="Times New Roman"/>
                <w:sz w:val="20"/>
                <w:szCs w:val="20"/>
              </w:rPr>
            </w:pPr>
            <w:r w:rsidRPr="00A86FA4">
              <w:rPr>
                <w:rFonts w:cs="Times New Roman"/>
                <w:sz w:val="20"/>
                <w:szCs w:val="20"/>
              </w:rPr>
              <w:t>Planirani ishodi za pokazatelje provedbe u 202</w:t>
            </w:r>
            <w:r w:rsidR="00951569" w:rsidRPr="00A86FA4">
              <w:rPr>
                <w:rFonts w:cs="Times New Roman"/>
                <w:sz w:val="20"/>
                <w:szCs w:val="20"/>
              </w:rPr>
              <w:t>4</w:t>
            </w:r>
            <w:r w:rsidRPr="00A86FA4">
              <w:rPr>
                <w:rFonts w:cs="Times New Roman"/>
                <w:sz w:val="20"/>
                <w:szCs w:val="20"/>
              </w:rPr>
              <w:t xml:space="preserve">. </w:t>
            </w:r>
          </w:p>
        </w:tc>
        <w:tc>
          <w:tcPr>
            <w:tcW w:w="1329" w:type="pct"/>
            <w:vAlign w:val="center"/>
          </w:tcPr>
          <w:p w14:paraId="3F03A2B1" w14:textId="161AA006" w:rsidR="008034FF" w:rsidRPr="00A86FA4" w:rsidRDefault="008034FF" w:rsidP="00D36147">
            <w:pPr>
              <w:spacing w:line="276" w:lineRule="auto"/>
              <w:jc w:val="center"/>
              <w:rPr>
                <w:rFonts w:cs="Times New Roman"/>
                <w:sz w:val="20"/>
                <w:szCs w:val="20"/>
              </w:rPr>
            </w:pPr>
            <w:r w:rsidRPr="00A86FA4">
              <w:rPr>
                <w:rFonts w:cs="Times New Roman"/>
                <w:sz w:val="20"/>
                <w:szCs w:val="20"/>
              </w:rPr>
              <w:t>4</w:t>
            </w:r>
          </w:p>
        </w:tc>
        <w:tc>
          <w:tcPr>
            <w:tcW w:w="1330" w:type="pct"/>
            <w:vAlign w:val="center"/>
          </w:tcPr>
          <w:p w14:paraId="09852B75" w14:textId="62AB360B" w:rsidR="008034FF" w:rsidRPr="00A86FA4" w:rsidRDefault="00951569" w:rsidP="00D36147">
            <w:pPr>
              <w:spacing w:line="276" w:lineRule="auto"/>
              <w:jc w:val="center"/>
              <w:rPr>
                <w:rFonts w:cs="Times New Roman"/>
                <w:sz w:val="20"/>
                <w:szCs w:val="20"/>
              </w:rPr>
            </w:pPr>
            <w:r w:rsidRPr="00A86FA4">
              <w:rPr>
                <w:rFonts w:cs="Times New Roman"/>
                <w:sz w:val="20"/>
                <w:szCs w:val="20"/>
              </w:rPr>
              <w:t>34</w:t>
            </w:r>
          </w:p>
        </w:tc>
        <w:tc>
          <w:tcPr>
            <w:tcW w:w="1405" w:type="pct"/>
            <w:vAlign w:val="center"/>
          </w:tcPr>
          <w:p w14:paraId="54E0E219" w14:textId="77777777" w:rsidR="008034FF" w:rsidRPr="00A86FA4" w:rsidRDefault="008034FF" w:rsidP="00D36147">
            <w:pPr>
              <w:spacing w:line="276" w:lineRule="auto"/>
              <w:jc w:val="center"/>
              <w:rPr>
                <w:rFonts w:cs="Times New Roman"/>
                <w:sz w:val="20"/>
                <w:szCs w:val="20"/>
              </w:rPr>
            </w:pPr>
          </w:p>
        </w:tc>
      </w:tr>
      <w:tr w:rsidR="00CE622A" w:rsidRPr="006B4228" w14:paraId="1CCEA96F" w14:textId="77777777" w:rsidTr="005D72D8">
        <w:tc>
          <w:tcPr>
            <w:tcW w:w="936" w:type="pct"/>
            <w:shd w:val="clear" w:color="auto" w:fill="F2F2F2" w:themeFill="background1" w:themeFillShade="F2"/>
            <w:vAlign w:val="center"/>
          </w:tcPr>
          <w:p w14:paraId="30721690" w14:textId="7B882D21" w:rsidR="008034FF" w:rsidRPr="00A86FA4" w:rsidRDefault="008034FF" w:rsidP="0061594B">
            <w:pPr>
              <w:spacing w:line="276" w:lineRule="auto"/>
              <w:rPr>
                <w:rFonts w:cs="Times New Roman"/>
                <w:sz w:val="20"/>
                <w:szCs w:val="20"/>
              </w:rPr>
            </w:pPr>
            <w:r w:rsidRPr="00A86FA4">
              <w:rPr>
                <w:rFonts w:cs="Times New Roman"/>
                <w:sz w:val="20"/>
                <w:szCs w:val="20"/>
              </w:rPr>
              <w:t>Ostvareni ishodi za pokazatelje provedbe u 202</w:t>
            </w:r>
            <w:r w:rsidR="00951569" w:rsidRPr="00A86FA4">
              <w:rPr>
                <w:rFonts w:cs="Times New Roman"/>
                <w:sz w:val="20"/>
                <w:szCs w:val="20"/>
              </w:rPr>
              <w:t>4</w:t>
            </w:r>
            <w:r w:rsidRPr="00A86FA4">
              <w:rPr>
                <w:rFonts w:cs="Times New Roman"/>
                <w:sz w:val="20"/>
                <w:szCs w:val="20"/>
              </w:rPr>
              <w:t xml:space="preserve">. </w:t>
            </w:r>
          </w:p>
        </w:tc>
        <w:tc>
          <w:tcPr>
            <w:tcW w:w="1329" w:type="pct"/>
            <w:vAlign w:val="center"/>
          </w:tcPr>
          <w:p w14:paraId="23D85DC4" w14:textId="445655B6" w:rsidR="008034FF" w:rsidRPr="00A86FA4" w:rsidRDefault="00951569" w:rsidP="00D36147">
            <w:pPr>
              <w:spacing w:line="276" w:lineRule="auto"/>
              <w:jc w:val="center"/>
              <w:rPr>
                <w:rFonts w:cs="Times New Roman"/>
                <w:sz w:val="20"/>
                <w:szCs w:val="20"/>
              </w:rPr>
            </w:pPr>
            <w:r w:rsidRPr="00A86FA4">
              <w:rPr>
                <w:rFonts w:cs="Times New Roman"/>
                <w:sz w:val="20"/>
                <w:szCs w:val="20"/>
              </w:rPr>
              <w:t>22</w:t>
            </w:r>
          </w:p>
        </w:tc>
        <w:tc>
          <w:tcPr>
            <w:tcW w:w="1330" w:type="pct"/>
            <w:vAlign w:val="center"/>
          </w:tcPr>
          <w:p w14:paraId="3E91FEAC" w14:textId="3F22EFA6" w:rsidR="008034FF" w:rsidRPr="00A86FA4" w:rsidRDefault="00951569" w:rsidP="00D36147">
            <w:pPr>
              <w:spacing w:line="276" w:lineRule="auto"/>
              <w:jc w:val="center"/>
              <w:rPr>
                <w:rFonts w:cs="Times New Roman"/>
                <w:sz w:val="20"/>
                <w:szCs w:val="20"/>
              </w:rPr>
            </w:pPr>
            <w:r w:rsidRPr="00A86FA4">
              <w:rPr>
                <w:rFonts w:cs="Times New Roman"/>
                <w:sz w:val="20"/>
                <w:szCs w:val="20"/>
              </w:rPr>
              <w:t>164</w:t>
            </w:r>
          </w:p>
        </w:tc>
        <w:tc>
          <w:tcPr>
            <w:tcW w:w="1405" w:type="pct"/>
            <w:vAlign w:val="center"/>
          </w:tcPr>
          <w:p w14:paraId="01E3D77E" w14:textId="3A50868D" w:rsidR="008034FF" w:rsidRPr="00A86FA4" w:rsidRDefault="00951569" w:rsidP="00D36147">
            <w:pPr>
              <w:spacing w:line="276" w:lineRule="auto"/>
              <w:jc w:val="center"/>
              <w:rPr>
                <w:rFonts w:eastAsia="Calibri" w:cs="Times New Roman"/>
                <w:bCs/>
                <w:sz w:val="20"/>
                <w:szCs w:val="20"/>
              </w:rPr>
            </w:pPr>
            <w:r w:rsidRPr="00A86FA4">
              <w:rPr>
                <w:rFonts w:eastAsia="Calibri" w:cs="Times New Roman"/>
                <w:bCs/>
                <w:sz w:val="20"/>
                <w:szCs w:val="20"/>
              </w:rPr>
              <w:t>29</w:t>
            </w:r>
          </w:p>
        </w:tc>
      </w:tr>
      <w:tr w:rsidR="00CE622A" w:rsidRPr="006B4228" w14:paraId="15CE8618" w14:textId="77777777" w:rsidTr="005D72D8">
        <w:tc>
          <w:tcPr>
            <w:tcW w:w="936" w:type="pct"/>
            <w:shd w:val="clear" w:color="auto" w:fill="F2F2F2" w:themeFill="background1" w:themeFillShade="F2"/>
            <w:vAlign w:val="center"/>
          </w:tcPr>
          <w:p w14:paraId="3F46C4B1" w14:textId="77777777" w:rsidR="008034FF" w:rsidRPr="00A86FA4" w:rsidRDefault="008034FF" w:rsidP="004A3B23">
            <w:pPr>
              <w:spacing w:line="276" w:lineRule="auto"/>
              <w:rPr>
                <w:rFonts w:cs="Times New Roman"/>
                <w:b/>
                <w:sz w:val="20"/>
                <w:szCs w:val="20"/>
              </w:rPr>
            </w:pPr>
            <w:r w:rsidRPr="00A86FA4">
              <w:rPr>
                <w:rFonts w:cs="Times New Roman"/>
                <w:b/>
                <w:sz w:val="20"/>
                <w:szCs w:val="20"/>
              </w:rPr>
              <w:lastRenderedPageBreak/>
              <w:t xml:space="preserve">IZVORI FINANCIRANJA </w:t>
            </w:r>
          </w:p>
        </w:tc>
        <w:tc>
          <w:tcPr>
            <w:tcW w:w="1329" w:type="pct"/>
            <w:vAlign w:val="center"/>
          </w:tcPr>
          <w:p w14:paraId="18F4A214" w14:textId="77777777" w:rsidR="008034FF" w:rsidRPr="00A86FA4" w:rsidRDefault="008034FF" w:rsidP="00D36147">
            <w:pPr>
              <w:spacing w:line="276" w:lineRule="auto"/>
              <w:jc w:val="center"/>
              <w:rPr>
                <w:rFonts w:cs="Times New Roman"/>
                <w:b/>
                <w:sz w:val="20"/>
                <w:szCs w:val="20"/>
              </w:rPr>
            </w:pPr>
            <w:r w:rsidRPr="00A86FA4">
              <w:rPr>
                <w:rFonts w:cs="Times New Roman"/>
                <w:b/>
                <w:sz w:val="20"/>
                <w:szCs w:val="20"/>
              </w:rPr>
              <w:t>Državni proračun (EUR)</w:t>
            </w:r>
          </w:p>
        </w:tc>
        <w:tc>
          <w:tcPr>
            <w:tcW w:w="1330" w:type="pct"/>
            <w:vAlign w:val="center"/>
          </w:tcPr>
          <w:p w14:paraId="7BFAA2B1" w14:textId="77777777" w:rsidR="008034FF" w:rsidRPr="00A86FA4" w:rsidRDefault="008034FF" w:rsidP="00D36147">
            <w:pPr>
              <w:spacing w:line="276" w:lineRule="auto"/>
              <w:jc w:val="center"/>
              <w:rPr>
                <w:rFonts w:cs="Times New Roman"/>
                <w:b/>
                <w:sz w:val="20"/>
                <w:szCs w:val="20"/>
              </w:rPr>
            </w:pPr>
            <w:r w:rsidRPr="00A86FA4">
              <w:rPr>
                <w:rFonts w:cs="Times New Roman"/>
                <w:b/>
                <w:sz w:val="20"/>
                <w:szCs w:val="20"/>
              </w:rPr>
              <w:t>EU financiranje (EUR)</w:t>
            </w:r>
          </w:p>
        </w:tc>
        <w:tc>
          <w:tcPr>
            <w:tcW w:w="1405" w:type="pct"/>
            <w:vAlign w:val="center"/>
          </w:tcPr>
          <w:p w14:paraId="594060CD" w14:textId="77777777" w:rsidR="008034FF" w:rsidRPr="00A86FA4" w:rsidRDefault="008034FF" w:rsidP="00D36147">
            <w:pPr>
              <w:spacing w:line="276" w:lineRule="auto"/>
              <w:jc w:val="center"/>
              <w:rPr>
                <w:rFonts w:cs="Times New Roman"/>
                <w:b/>
                <w:sz w:val="20"/>
                <w:szCs w:val="20"/>
              </w:rPr>
            </w:pPr>
            <w:r w:rsidRPr="00A86FA4">
              <w:rPr>
                <w:rFonts w:cs="Times New Roman"/>
                <w:b/>
                <w:sz w:val="20"/>
                <w:szCs w:val="20"/>
              </w:rPr>
              <w:t>Drugi izvori (EUR)</w:t>
            </w:r>
          </w:p>
        </w:tc>
      </w:tr>
      <w:tr w:rsidR="00CE622A" w:rsidRPr="006B4228" w14:paraId="663D7390" w14:textId="77777777" w:rsidTr="005D72D8">
        <w:tc>
          <w:tcPr>
            <w:tcW w:w="936" w:type="pct"/>
            <w:shd w:val="clear" w:color="auto" w:fill="F2F2F2" w:themeFill="background1" w:themeFillShade="F2"/>
            <w:vAlign w:val="center"/>
          </w:tcPr>
          <w:p w14:paraId="2EFB1698" w14:textId="32385049" w:rsidR="008034FF" w:rsidRPr="00A86FA4" w:rsidRDefault="008034FF" w:rsidP="0061594B">
            <w:pPr>
              <w:spacing w:line="276" w:lineRule="auto"/>
              <w:rPr>
                <w:rFonts w:cs="Times New Roman"/>
                <w:sz w:val="20"/>
                <w:szCs w:val="20"/>
              </w:rPr>
            </w:pPr>
            <w:r w:rsidRPr="00A86FA4">
              <w:rPr>
                <w:rFonts w:cs="Times New Roman"/>
                <w:sz w:val="20"/>
                <w:szCs w:val="20"/>
              </w:rPr>
              <w:t>Izvori financiranja u 202</w:t>
            </w:r>
            <w:r w:rsidR="00951569" w:rsidRPr="00A86FA4">
              <w:rPr>
                <w:rFonts w:cs="Times New Roman"/>
                <w:sz w:val="20"/>
                <w:szCs w:val="20"/>
              </w:rPr>
              <w:t>4</w:t>
            </w:r>
            <w:r w:rsidRPr="00A86FA4">
              <w:rPr>
                <w:rFonts w:cs="Times New Roman"/>
                <w:sz w:val="20"/>
                <w:szCs w:val="20"/>
              </w:rPr>
              <w:t>. (proračunska pozicija i predviđeni iznos sredstava)</w:t>
            </w:r>
          </w:p>
        </w:tc>
        <w:tc>
          <w:tcPr>
            <w:tcW w:w="1329" w:type="pct"/>
            <w:vAlign w:val="center"/>
          </w:tcPr>
          <w:p w14:paraId="14B75593" w14:textId="77777777" w:rsidR="008034FF" w:rsidRPr="00A86FA4" w:rsidRDefault="008034FF" w:rsidP="00D36147">
            <w:pPr>
              <w:spacing w:line="276" w:lineRule="auto"/>
              <w:jc w:val="center"/>
              <w:rPr>
                <w:rFonts w:cs="Times New Roman"/>
                <w:sz w:val="20"/>
                <w:szCs w:val="20"/>
              </w:rPr>
            </w:pPr>
            <w:r w:rsidRPr="00A86FA4">
              <w:rPr>
                <w:rFonts w:cs="Times New Roman"/>
                <w:sz w:val="20"/>
                <w:szCs w:val="20"/>
              </w:rPr>
              <w:t>A689036 – naknade</w:t>
            </w:r>
          </w:p>
          <w:p w14:paraId="585AA744" w14:textId="77777777" w:rsidR="008034FF" w:rsidRPr="00A86FA4" w:rsidRDefault="008034FF" w:rsidP="00D36147">
            <w:pPr>
              <w:spacing w:line="276" w:lineRule="auto"/>
              <w:jc w:val="center"/>
              <w:rPr>
                <w:rFonts w:cs="Times New Roman"/>
                <w:sz w:val="20"/>
                <w:szCs w:val="20"/>
              </w:rPr>
            </w:pPr>
            <w:r w:rsidRPr="00A86FA4">
              <w:rPr>
                <w:rFonts w:cs="Times New Roman"/>
                <w:sz w:val="20"/>
                <w:szCs w:val="20"/>
              </w:rPr>
              <w:t>korisnicima aktivne politike</w:t>
            </w:r>
          </w:p>
          <w:p w14:paraId="28CFC4C1" w14:textId="77777777" w:rsidR="008034FF" w:rsidRPr="00A86FA4" w:rsidRDefault="008034FF" w:rsidP="00D36147">
            <w:pPr>
              <w:spacing w:line="276" w:lineRule="auto"/>
              <w:jc w:val="center"/>
              <w:rPr>
                <w:rFonts w:cs="Times New Roman"/>
                <w:sz w:val="20"/>
                <w:szCs w:val="20"/>
              </w:rPr>
            </w:pPr>
            <w:r w:rsidRPr="00A86FA4">
              <w:rPr>
                <w:rFonts w:cs="Times New Roman"/>
                <w:sz w:val="20"/>
                <w:szCs w:val="20"/>
              </w:rPr>
              <w:t>zapošljavanja i A689027 -</w:t>
            </w:r>
          </w:p>
          <w:p w14:paraId="45BBECEA" w14:textId="77777777" w:rsidR="008034FF" w:rsidRPr="00A86FA4" w:rsidRDefault="008034FF" w:rsidP="00D36147">
            <w:pPr>
              <w:spacing w:line="276" w:lineRule="auto"/>
              <w:jc w:val="center"/>
              <w:rPr>
                <w:rFonts w:cs="Times New Roman"/>
                <w:sz w:val="20"/>
                <w:szCs w:val="20"/>
              </w:rPr>
            </w:pPr>
            <w:r w:rsidRPr="00A86FA4">
              <w:rPr>
                <w:rFonts w:cs="Times New Roman"/>
                <w:sz w:val="20"/>
                <w:szCs w:val="20"/>
              </w:rPr>
              <w:t>Akcijski plan za uključivanje</w:t>
            </w:r>
          </w:p>
          <w:p w14:paraId="64BF19D2" w14:textId="77777777" w:rsidR="00E63507" w:rsidRPr="00A86FA4" w:rsidRDefault="008034FF" w:rsidP="00D36147">
            <w:pPr>
              <w:spacing w:line="276" w:lineRule="auto"/>
              <w:jc w:val="center"/>
              <w:rPr>
                <w:rFonts w:cs="Times New Roman"/>
                <w:sz w:val="20"/>
                <w:szCs w:val="20"/>
              </w:rPr>
            </w:pPr>
            <w:r w:rsidRPr="00A86FA4">
              <w:rPr>
                <w:rFonts w:cs="Times New Roman"/>
                <w:sz w:val="20"/>
                <w:szCs w:val="20"/>
              </w:rPr>
              <w:t>Roma</w:t>
            </w:r>
          </w:p>
          <w:p w14:paraId="55438871" w14:textId="71B2FC18" w:rsidR="008034FF" w:rsidRPr="00A86FA4" w:rsidRDefault="008034FF" w:rsidP="00D36147">
            <w:pPr>
              <w:spacing w:line="276" w:lineRule="auto"/>
              <w:jc w:val="center"/>
              <w:rPr>
                <w:rFonts w:cs="Times New Roman"/>
                <w:sz w:val="20"/>
                <w:szCs w:val="20"/>
              </w:rPr>
            </w:pPr>
            <w:r w:rsidRPr="00A86FA4">
              <w:rPr>
                <w:rFonts w:cs="Times New Roman"/>
                <w:sz w:val="20"/>
                <w:szCs w:val="20"/>
              </w:rPr>
              <w:t>23.225,21</w:t>
            </w:r>
          </w:p>
        </w:tc>
        <w:tc>
          <w:tcPr>
            <w:tcW w:w="1330" w:type="pct"/>
            <w:vAlign w:val="center"/>
          </w:tcPr>
          <w:p w14:paraId="3872E546" w14:textId="77777777" w:rsidR="008034FF" w:rsidRPr="00A86FA4" w:rsidRDefault="008034FF" w:rsidP="00D36147">
            <w:pPr>
              <w:spacing w:line="276" w:lineRule="auto"/>
              <w:jc w:val="center"/>
              <w:rPr>
                <w:rFonts w:cs="Times New Roman"/>
                <w:sz w:val="20"/>
                <w:szCs w:val="20"/>
              </w:rPr>
            </w:pPr>
            <w:r w:rsidRPr="00A86FA4">
              <w:rPr>
                <w:rFonts w:cs="Times New Roman"/>
                <w:sz w:val="20"/>
                <w:szCs w:val="20"/>
              </w:rPr>
              <w:t>T813039 – NPOO</w:t>
            </w:r>
          </w:p>
          <w:p w14:paraId="1AD63AB5" w14:textId="2AD28BB8" w:rsidR="008034FF" w:rsidRPr="00A86FA4" w:rsidRDefault="008034FF" w:rsidP="00D36147">
            <w:pPr>
              <w:spacing w:line="276" w:lineRule="auto"/>
              <w:jc w:val="center"/>
              <w:rPr>
                <w:rFonts w:cs="Times New Roman"/>
                <w:sz w:val="20"/>
                <w:szCs w:val="20"/>
              </w:rPr>
            </w:pPr>
            <w:r w:rsidRPr="00A86FA4">
              <w:rPr>
                <w:rFonts w:cs="Times New Roman"/>
                <w:sz w:val="20"/>
                <w:szCs w:val="20"/>
              </w:rPr>
              <w:t>6.000,00</w:t>
            </w:r>
          </w:p>
        </w:tc>
        <w:tc>
          <w:tcPr>
            <w:tcW w:w="1405" w:type="pct"/>
            <w:vAlign w:val="center"/>
          </w:tcPr>
          <w:p w14:paraId="2796FB8F" w14:textId="77777777" w:rsidR="008034FF" w:rsidRPr="00A86FA4" w:rsidRDefault="008034FF" w:rsidP="00D36147">
            <w:pPr>
              <w:spacing w:line="276" w:lineRule="auto"/>
              <w:jc w:val="center"/>
              <w:rPr>
                <w:rFonts w:cs="Times New Roman"/>
                <w:sz w:val="20"/>
                <w:szCs w:val="20"/>
              </w:rPr>
            </w:pPr>
            <w:r w:rsidRPr="00A86FA4">
              <w:rPr>
                <w:rFonts w:cs="Times New Roman"/>
                <w:sz w:val="20"/>
                <w:szCs w:val="20"/>
              </w:rPr>
              <w:t>0,00</w:t>
            </w:r>
          </w:p>
        </w:tc>
      </w:tr>
      <w:tr w:rsidR="00CE622A" w:rsidRPr="006B4228" w14:paraId="059E090A" w14:textId="77777777" w:rsidTr="005D72D8">
        <w:tc>
          <w:tcPr>
            <w:tcW w:w="936" w:type="pct"/>
            <w:vMerge w:val="restart"/>
            <w:shd w:val="clear" w:color="auto" w:fill="F2F2F2" w:themeFill="background1" w:themeFillShade="F2"/>
            <w:vAlign w:val="center"/>
          </w:tcPr>
          <w:p w14:paraId="5E875A9D" w14:textId="77777777" w:rsidR="008034FF" w:rsidRPr="00A86FA4" w:rsidRDefault="008034FF" w:rsidP="004A3B23">
            <w:pPr>
              <w:spacing w:line="276" w:lineRule="auto"/>
              <w:rPr>
                <w:rFonts w:cs="Times New Roman"/>
                <w:b/>
                <w:sz w:val="20"/>
                <w:szCs w:val="20"/>
              </w:rPr>
            </w:pPr>
            <w:r w:rsidRPr="00A86FA4">
              <w:rPr>
                <w:rFonts w:cs="Times New Roman"/>
                <w:b/>
                <w:sz w:val="20"/>
                <w:szCs w:val="20"/>
              </w:rPr>
              <w:t xml:space="preserve">UKUPNO UTROŠENA SREDSTVA PO IZVORU </w:t>
            </w:r>
          </w:p>
        </w:tc>
        <w:tc>
          <w:tcPr>
            <w:tcW w:w="1329" w:type="pct"/>
            <w:vAlign w:val="center"/>
          </w:tcPr>
          <w:p w14:paraId="09AC2A2E" w14:textId="77777777" w:rsidR="008034FF" w:rsidRPr="00A86FA4" w:rsidRDefault="008034FF" w:rsidP="00D36147">
            <w:pPr>
              <w:spacing w:line="276" w:lineRule="auto"/>
              <w:rPr>
                <w:rFonts w:cs="Times New Roman"/>
                <w:b/>
                <w:sz w:val="20"/>
                <w:szCs w:val="20"/>
              </w:rPr>
            </w:pPr>
            <w:r w:rsidRPr="00A86FA4">
              <w:rPr>
                <w:rFonts w:cs="Times New Roman"/>
                <w:b/>
                <w:sz w:val="20"/>
                <w:szCs w:val="20"/>
              </w:rPr>
              <w:t>Državni proračun (EUR)</w:t>
            </w:r>
          </w:p>
        </w:tc>
        <w:tc>
          <w:tcPr>
            <w:tcW w:w="1330" w:type="pct"/>
            <w:vAlign w:val="center"/>
          </w:tcPr>
          <w:p w14:paraId="2CDAE4D4" w14:textId="77777777" w:rsidR="008034FF" w:rsidRPr="00A86FA4" w:rsidRDefault="008034FF" w:rsidP="00D36147">
            <w:pPr>
              <w:spacing w:line="276" w:lineRule="auto"/>
              <w:jc w:val="center"/>
              <w:rPr>
                <w:rFonts w:cs="Times New Roman"/>
                <w:b/>
                <w:sz w:val="20"/>
                <w:szCs w:val="20"/>
              </w:rPr>
            </w:pPr>
            <w:r w:rsidRPr="00A86FA4">
              <w:rPr>
                <w:rFonts w:cs="Times New Roman"/>
                <w:b/>
                <w:sz w:val="20"/>
                <w:szCs w:val="20"/>
              </w:rPr>
              <w:t>EU financiranje (EUR)</w:t>
            </w:r>
          </w:p>
        </w:tc>
        <w:tc>
          <w:tcPr>
            <w:tcW w:w="1405" w:type="pct"/>
            <w:vAlign w:val="center"/>
          </w:tcPr>
          <w:p w14:paraId="648962BE" w14:textId="77777777" w:rsidR="008034FF" w:rsidRPr="00A86FA4" w:rsidRDefault="008034FF" w:rsidP="00D36147">
            <w:pPr>
              <w:spacing w:line="276" w:lineRule="auto"/>
              <w:jc w:val="center"/>
              <w:rPr>
                <w:rFonts w:cs="Times New Roman"/>
                <w:b/>
                <w:sz w:val="20"/>
                <w:szCs w:val="20"/>
              </w:rPr>
            </w:pPr>
            <w:r w:rsidRPr="00A86FA4">
              <w:rPr>
                <w:rFonts w:cs="Times New Roman"/>
                <w:b/>
                <w:sz w:val="20"/>
                <w:szCs w:val="20"/>
              </w:rPr>
              <w:t>Drugi izvori (EUR)</w:t>
            </w:r>
          </w:p>
        </w:tc>
      </w:tr>
      <w:tr w:rsidR="00CE622A" w:rsidRPr="00CE622A" w14:paraId="79FDF3E6" w14:textId="77777777" w:rsidTr="005D72D8">
        <w:tc>
          <w:tcPr>
            <w:tcW w:w="936" w:type="pct"/>
            <w:vMerge/>
            <w:shd w:val="clear" w:color="auto" w:fill="F2F2F2" w:themeFill="background1" w:themeFillShade="F2"/>
            <w:vAlign w:val="center"/>
          </w:tcPr>
          <w:p w14:paraId="1ACD7B55" w14:textId="77777777" w:rsidR="008034FF" w:rsidRPr="00A86FA4" w:rsidRDefault="008034FF" w:rsidP="00D36147">
            <w:pPr>
              <w:spacing w:line="276" w:lineRule="auto"/>
              <w:rPr>
                <w:rFonts w:cs="Times New Roman"/>
                <w:b/>
                <w:color w:val="FF0000"/>
                <w:sz w:val="20"/>
                <w:szCs w:val="20"/>
              </w:rPr>
            </w:pPr>
          </w:p>
        </w:tc>
        <w:tc>
          <w:tcPr>
            <w:tcW w:w="1329" w:type="pct"/>
            <w:vAlign w:val="center"/>
          </w:tcPr>
          <w:p w14:paraId="7798CF0D" w14:textId="6EDEEE8D" w:rsidR="00951569" w:rsidRPr="00A86FA4" w:rsidRDefault="00951569" w:rsidP="00FC64BF">
            <w:pPr>
              <w:jc w:val="center"/>
              <w:rPr>
                <w:rFonts w:cs="Times New Roman"/>
                <w:sz w:val="20"/>
                <w:szCs w:val="20"/>
              </w:rPr>
            </w:pPr>
            <w:r w:rsidRPr="00A86FA4">
              <w:rPr>
                <w:rFonts w:cs="Times New Roman"/>
                <w:sz w:val="20"/>
                <w:szCs w:val="20"/>
              </w:rPr>
              <w:t>A689013 – Administracija i upravljanje i A689036 – naknade korisnicima aktivne politike zapošljavanja (16.055,00 € za programe završavanja osnovne škole i stjecanja prvog zanimanja</w:t>
            </w:r>
          </w:p>
          <w:p w14:paraId="014A9BCD" w14:textId="77777777" w:rsidR="00951569" w:rsidRPr="00A86FA4" w:rsidRDefault="00951569" w:rsidP="00951569">
            <w:pPr>
              <w:spacing w:line="276" w:lineRule="auto"/>
              <w:jc w:val="center"/>
              <w:rPr>
                <w:rFonts w:eastAsia="Calibri" w:cs="Times New Roman"/>
                <w:b/>
                <w:bCs/>
                <w:sz w:val="20"/>
                <w:szCs w:val="20"/>
              </w:rPr>
            </w:pPr>
          </w:p>
          <w:p w14:paraId="79D1BDA0" w14:textId="2B730BCF" w:rsidR="007D7BFE" w:rsidRPr="00A86FA4" w:rsidRDefault="007D7BFE" w:rsidP="00D36147">
            <w:pPr>
              <w:spacing w:line="276" w:lineRule="auto"/>
              <w:jc w:val="center"/>
              <w:rPr>
                <w:rFonts w:eastAsia="Calibri" w:cs="Times New Roman"/>
                <w:bCs/>
                <w:sz w:val="20"/>
                <w:szCs w:val="20"/>
              </w:rPr>
            </w:pPr>
            <w:r w:rsidRPr="00A86FA4">
              <w:rPr>
                <w:rFonts w:eastAsia="Calibri" w:cs="Times New Roman"/>
                <w:bCs/>
                <w:sz w:val="20"/>
                <w:szCs w:val="20"/>
              </w:rPr>
              <w:t>A689023 – Aktivna politika zapošljavanja</w:t>
            </w:r>
          </w:p>
          <w:p w14:paraId="4769435F" w14:textId="77777777" w:rsidR="003D288E" w:rsidRPr="00A86FA4" w:rsidRDefault="003D288E" w:rsidP="00D36147">
            <w:pPr>
              <w:spacing w:line="276" w:lineRule="auto"/>
              <w:jc w:val="center"/>
              <w:rPr>
                <w:rFonts w:eastAsia="Calibri" w:cs="Times New Roman"/>
                <w:b/>
                <w:bCs/>
                <w:sz w:val="20"/>
                <w:szCs w:val="20"/>
              </w:rPr>
            </w:pPr>
            <w:bookmarkStart w:id="45" w:name="_Hlk168564267"/>
          </w:p>
          <w:p w14:paraId="7E649B88" w14:textId="77777777" w:rsidR="007D7BFE" w:rsidRPr="000B764D" w:rsidRDefault="007D7BFE" w:rsidP="00FC64BF">
            <w:pPr>
              <w:spacing w:line="276" w:lineRule="auto"/>
              <w:jc w:val="both"/>
              <w:rPr>
                <w:rFonts w:eastAsia="Calibri" w:cs="Times New Roman"/>
                <w:i/>
                <w:iCs/>
                <w:sz w:val="20"/>
                <w:szCs w:val="20"/>
              </w:rPr>
            </w:pPr>
            <w:r w:rsidRPr="00A86FA4">
              <w:rPr>
                <w:rFonts w:eastAsia="Calibri" w:cs="Times New Roman"/>
                <w:iCs/>
                <w:sz w:val="20"/>
                <w:szCs w:val="20"/>
              </w:rPr>
              <w:t xml:space="preserve">Osobe romske nacionalne manjine mogu se uključivati i u mjere aktivne politike zapošljavanja koje se financiraju iz Državnog proračuna te nije moguće prikazati financijski utrošak za osobe romske </w:t>
            </w:r>
            <w:r w:rsidRPr="000B764D">
              <w:rPr>
                <w:rFonts w:eastAsia="Calibri" w:cs="Times New Roman"/>
                <w:iCs/>
                <w:sz w:val="20"/>
                <w:szCs w:val="20"/>
              </w:rPr>
              <w:t>nacionalne manjine</w:t>
            </w:r>
            <w:r w:rsidRPr="000B764D">
              <w:rPr>
                <w:rFonts w:eastAsia="Calibri" w:cs="Times New Roman"/>
                <w:i/>
                <w:iCs/>
                <w:sz w:val="20"/>
                <w:szCs w:val="20"/>
              </w:rPr>
              <w:t>.</w:t>
            </w:r>
          </w:p>
          <w:bookmarkEnd w:id="45"/>
          <w:p w14:paraId="4575B20E" w14:textId="77777777" w:rsidR="003D288E" w:rsidRPr="000B764D" w:rsidRDefault="003D288E" w:rsidP="00FC64BF">
            <w:pPr>
              <w:spacing w:line="276" w:lineRule="auto"/>
              <w:jc w:val="both"/>
              <w:rPr>
                <w:rFonts w:eastAsia="Calibri" w:cs="Times New Roman"/>
                <w:i/>
                <w:iCs/>
                <w:sz w:val="20"/>
                <w:szCs w:val="20"/>
              </w:rPr>
            </w:pPr>
          </w:p>
          <w:p w14:paraId="55A754E8" w14:textId="6FF78CD6" w:rsidR="00744E2D" w:rsidRPr="000B764D" w:rsidRDefault="00064343" w:rsidP="00FC64BF">
            <w:pPr>
              <w:spacing w:line="276" w:lineRule="auto"/>
              <w:jc w:val="both"/>
              <w:rPr>
                <w:rFonts w:eastAsia="Calibri" w:cs="Times New Roman"/>
                <w:sz w:val="20"/>
                <w:szCs w:val="20"/>
              </w:rPr>
            </w:pPr>
            <w:r w:rsidRPr="000B764D">
              <w:rPr>
                <w:sz w:val="20"/>
                <w:szCs w:val="20"/>
              </w:rPr>
              <w:t>Ukupno utrošena financijska sredstva</w:t>
            </w:r>
            <w:r w:rsidR="002F7831" w:rsidRPr="000B764D">
              <w:rPr>
                <w:sz w:val="20"/>
                <w:szCs w:val="20"/>
              </w:rPr>
              <w:t xml:space="preserve"> </w:t>
            </w:r>
            <w:r w:rsidRPr="000B764D">
              <w:rPr>
                <w:sz w:val="20"/>
                <w:szCs w:val="20"/>
              </w:rPr>
              <w:t>u 2024. godini iznosila su</w:t>
            </w:r>
            <w:r w:rsidR="002F7831" w:rsidRPr="000B764D">
              <w:rPr>
                <w:sz w:val="20"/>
                <w:szCs w:val="20"/>
              </w:rPr>
              <w:t xml:space="preserve"> </w:t>
            </w:r>
            <w:r w:rsidRPr="000B764D">
              <w:rPr>
                <w:sz w:val="20"/>
                <w:szCs w:val="20"/>
              </w:rPr>
              <w:t>49.274.988,56 EUR od toga 2.389.052,14 EUR za obrazovanj</w:t>
            </w:r>
            <w:r w:rsidR="00F17D2C" w:rsidRPr="000B764D">
              <w:rPr>
                <w:sz w:val="20"/>
                <w:szCs w:val="20"/>
              </w:rPr>
              <w:t>e</w:t>
            </w:r>
          </w:p>
          <w:p w14:paraId="58013648" w14:textId="5AF78C25" w:rsidR="008034FF" w:rsidRPr="00A86FA4" w:rsidRDefault="00744E2D" w:rsidP="00D36147">
            <w:pPr>
              <w:spacing w:line="276" w:lineRule="auto"/>
              <w:jc w:val="center"/>
              <w:rPr>
                <w:rFonts w:eastAsia="Calibri" w:cs="Times New Roman"/>
                <w:color w:val="FF0000"/>
                <w:sz w:val="20"/>
                <w:szCs w:val="20"/>
                <w:highlight w:val="yellow"/>
              </w:rPr>
            </w:pPr>
            <w:r w:rsidRPr="00A86FA4">
              <w:rPr>
                <w:rFonts w:eastAsia="Calibri" w:cs="Times New Roman"/>
                <w:color w:val="FF0000"/>
                <w:sz w:val="20"/>
                <w:szCs w:val="20"/>
              </w:rPr>
              <w:t>.</w:t>
            </w:r>
          </w:p>
        </w:tc>
        <w:tc>
          <w:tcPr>
            <w:tcW w:w="1330" w:type="pct"/>
            <w:vAlign w:val="center"/>
          </w:tcPr>
          <w:p w14:paraId="11518F99" w14:textId="0D2B7784" w:rsidR="003D288E" w:rsidRPr="00A86FA4" w:rsidRDefault="003D288E" w:rsidP="00D36147">
            <w:pPr>
              <w:spacing w:line="276" w:lineRule="auto"/>
              <w:jc w:val="center"/>
              <w:rPr>
                <w:rFonts w:cs="Times New Roman"/>
                <w:b/>
                <w:bCs/>
                <w:sz w:val="20"/>
                <w:szCs w:val="20"/>
              </w:rPr>
            </w:pPr>
            <w:r w:rsidRPr="00A86FA4">
              <w:rPr>
                <w:rFonts w:cs="Times New Roman"/>
                <w:b/>
                <w:bCs/>
                <w:sz w:val="20"/>
                <w:szCs w:val="20"/>
              </w:rPr>
              <w:t>T689039</w:t>
            </w:r>
            <w:r w:rsidR="00AC0902" w:rsidRPr="00A86FA4">
              <w:rPr>
                <w:rFonts w:cs="Times New Roman"/>
                <w:b/>
                <w:bCs/>
                <w:sz w:val="20"/>
                <w:szCs w:val="20"/>
              </w:rPr>
              <w:t xml:space="preserve"> </w:t>
            </w:r>
            <w:r w:rsidRPr="00A86FA4">
              <w:rPr>
                <w:rFonts w:cs="Times New Roman"/>
                <w:b/>
                <w:bCs/>
                <w:sz w:val="20"/>
                <w:szCs w:val="20"/>
              </w:rPr>
              <w:t>-</w:t>
            </w:r>
            <w:r w:rsidR="00AC0902" w:rsidRPr="00A86FA4">
              <w:rPr>
                <w:rFonts w:cs="Times New Roman"/>
                <w:b/>
                <w:bCs/>
                <w:sz w:val="20"/>
                <w:szCs w:val="20"/>
              </w:rPr>
              <w:t xml:space="preserve"> </w:t>
            </w:r>
            <w:r w:rsidRPr="00A86FA4">
              <w:rPr>
                <w:rFonts w:cs="Times New Roman"/>
                <w:b/>
                <w:bCs/>
                <w:sz w:val="20"/>
                <w:szCs w:val="20"/>
              </w:rPr>
              <w:t>Operativni program Europski socijalni fond plus (ESF+)</w:t>
            </w:r>
          </w:p>
          <w:p w14:paraId="5A0810D9" w14:textId="77777777" w:rsidR="003D288E" w:rsidRPr="00A86FA4" w:rsidRDefault="003D288E" w:rsidP="00D36147">
            <w:pPr>
              <w:spacing w:line="276" w:lineRule="auto"/>
              <w:jc w:val="center"/>
              <w:rPr>
                <w:rFonts w:cs="Times New Roman"/>
                <w:b/>
                <w:bCs/>
                <w:sz w:val="20"/>
                <w:szCs w:val="20"/>
              </w:rPr>
            </w:pPr>
          </w:p>
          <w:p w14:paraId="00FE8E98" w14:textId="77777777" w:rsidR="003D288E" w:rsidRPr="00A86FA4" w:rsidRDefault="003D288E" w:rsidP="00D36147">
            <w:pPr>
              <w:spacing w:line="276" w:lineRule="auto"/>
              <w:jc w:val="center"/>
              <w:rPr>
                <w:rFonts w:cs="Times New Roman"/>
                <w:i/>
                <w:iCs/>
                <w:sz w:val="20"/>
                <w:szCs w:val="20"/>
              </w:rPr>
            </w:pPr>
            <w:bookmarkStart w:id="46" w:name="_Hlk168564284"/>
            <w:r w:rsidRPr="00A86FA4">
              <w:rPr>
                <w:rFonts w:cs="Times New Roman"/>
                <w:iCs/>
                <w:sz w:val="20"/>
                <w:szCs w:val="20"/>
              </w:rPr>
              <w:t>Osobe romske nacionalne manjine mogu se uključivati i u mjere aktivne politike zapošljavanja koje se financiraju iz drugih izvora financiranja (Operativni program Europski socijalni fond plus (ESF+)) te nije moguće prikazati financijski utrošak za osobe romske nacionalne manjine koje su uključene u neku od mjera financiranih iz Operativnog programa</w:t>
            </w:r>
            <w:r w:rsidRPr="00A86FA4">
              <w:rPr>
                <w:rFonts w:cs="Times New Roman"/>
                <w:i/>
                <w:iCs/>
                <w:sz w:val="20"/>
                <w:szCs w:val="20"/>
              </w:rPr>
              <w:t>.</w:t>
            </w:r>
          </w:p>
          <w:bookmarkEnd w:id="46"/>
          <w:p w14:paraId="0D1E4696" w14:textId="77777777" w:rsidR="003D288E" w:rsidRPr="00A86FA4" w:rsidRDefault="003D288E" w:rsidP="00D36147">
            <w:pPr>
              <w:spacing w:line="276" w:lineRule="auto"/>
              <w:jc w:val="center"/>
              <w:rPr>
                <w:rFonts w:cs="Times New Roman"/>
                <w:i/>
                <w:iCs/>
                <w:sz w:val="20"/>
                <w:szCs w:val="20"/>
              </w:rPr>
            </w:pPr>
          </w:p>
          <w:p w14:paraId="75958C72" w14:textId="06E2F059" w:rsidR="00CD6AF3" w:rsidRPr="000B764D" w:rsidRDefault="00CD6AF3" w:rsidP="00FC64BF">
            <w:pPr>
              <w:jc w:val="center"/>
              <w:rPr>
                <w:sz w:val="20"/>
                <w:szCs w:val="20"/>
              </w:rPr>
            </w:pPr>
            <w:r w:rsidRPr="00A86FA4">
              <w:rPr>
                <w:sz w:val="20"/>
                <w:szCs w:val="20"/>
              </w:rPr>
              <w:t>Ukupno utrošena financijska sredstva u 2024. godini iznosila su</w:t>
            </w:r>
            <w:r w:rsidR="002F7831">
              <w:rPr>
                <w:sz w:val="20"/>
                <w:szCs w:val="20"/>
              </w:rPr>
              <w:t xml:space="preserve"> </w:t>
            </w:r>
            <w:r w:rsidRPr="00A86FA4">
              <w:rPr>
                <w:sz w:val="20"/>
                <w:szCs w:val="20"/>
              </w:rPr>
              <w:t>106.673.085,</w:t>
            </w:r>
            <w:r w:rsidRPr="000B764D">
              <w:rPr>
                <w:sz w:val="20"/>
                <w:szCs w:val="20"/>
              </w:rPr>
              <w:t>18 EUR</w:t>
            </w:r>
          </w:p>
          <w:p w14:paraId="1BF6E090" w14:textId="5B4ACA93" w:rsidR="00CD6AF3" w:rsidRPr="000B764D" w:rsidRDefault="00CD6AF3" w:rsidP="00FC64BF">
            <w:pPr>
              <w:jc w:val="center"/>
              <w:rPr>
                <w:sz w:val="20"/>
                <w:szCs w:val="20"/>
              </w:rPr>
            </w:pPr>
            <w:r w:rsidRPr="000B764D">
              <w:rPr>
                <w:sz w:val="20"/>
                <w:szCs w:val="20"/>
              </w:rPr>
              <w:t>od toga 14.060.038,90</w:t>
            </w:r>
          </w:p>
          <w:p w14:paraId="40B0FE90" w14:textId="55AC72D0" w:rsidR="003D288E" w:rsidRPr="000B764D" w:rsidRDefault="00CD6AF3" w:rsidP="00CD6AF3">
            <w:pPr>
              <w:spacing w:line="276" w:lineRule="auto"/>
              <w:jc w:val="center"/>
              <w:rPr>
                <w:rFonts w:cs="Times New Roman"/>
                <w:sz w:val="20"/>
                <w:szCs w:val="20"/>
              </w:rPr>
            </w:pPr>
            <w:r w:rsidRPr="000B764D">
              <w:rPr>
                <w:sz w:val="20"/>
                <w:szCs w:val="20"/>
              </w:rPr>
              <w:t>EUR za obrazovanje.</w:t>
            </w:r>
          </w:p>
          <w:p w14:paraId="64C56087" w14:textId="53BD668F" w:rsidR="007D7BFE" w:rsidRPr="000B764D" w:rsidRDefault="00744E2D" w:rsidP="00D36147">
            <w:pPr>
              <w:spacing w:line="276" w:lineRule="auto"/>
              <w:jc w:val="center"/>
              <w:rPr>
                <w:rFonts w:cs="Times New Roman"/>
                <w:sz w:val="20"/>
                <w:szCs w:val="20"/>
              </w:rPr>
            </w:pPr>
            <w:r w:rsidRPr="000B764D">
              <w:rPr>
                <w:rFonts w:cs="Times New Roman"/>
                <w:sz w:val="20"/>
                <w:szCs w:val="20"/>
              </w:rPr>
              <w:t>.</w:t>
            </w:r>
          </w:p>
          <w:p w14:paraId="298355FD" w14:textId="3F31E56F" w:rsidR="00064343" w:rsidRPr="00A86FA4" w:rsidRDefault="00064343" w:rsidP="00C05221">
            <w:pPr>
              <w:jc w:val="center"/>
              <w:rPr>
                <w:sz w:val="20"/>
                <w:szCs w:val="20"/>
              </w:rPr>
            </w:pPr>
            <w:r w:rsidRPr="00A86FA4">
              <w:rPr>
                <w:sz w:val="20"/>
                <w:szCs w:val="20"/>
              </w:rPr>
              <w:t>T813039 –</w:t>
            </w:r>
          </w:p>
          <w:p w14:paraId="2E868462" w14:textId="7E644DFC" w:rsidR="00064343" w:rsidRPr="00A86FA4" w:rsidRDefault="00064343" w:rsidP="00C05221">
            <w:pPr>
              <w:jc w:val="center"/>
              <w:rPr>
                <w:sz w:val="20"/>
                <w:szCs w:val="20"/>
              </w:rPr>
            </w:pPr>
            <w:r w:rsidRPr="00A86FA4">
              <w:rPr>
                <w:sz w:val="20"/>
                <w:szCs w:val="20"/>
              </w:rPr>
              <w:t>Unaprjeđenje mjera zapošljavanja i pravnog okvira za moderno tržište rada i gospodarstvo budućnosti –NPOO</w:t>
            </w:r>
          </w:p>
          <w:p w14:paraId="7991634A" w14:textId="6910A90A" w:rsidR="00064343" w:rsidRPr="00A86FA4" w:rsidRDefault="00064343" w:rsidP="00C05221">
            <w:pPr>
              <w:jc w:val="center"/>
              <w:rPr>
                <w:sz w:val="20"/>
                <w:szCs w:val="20"/>
              </w:rPr>
            </w:pPr>
            <w:r w:rsidRPr="00A86FA4">
              <w:rPr>
                <w:sz w:val="20"/>
                <w:szCs w:val="20"/>
              </w:rPr>
              <w:t>Osobe romske nacionalne manjine mogu se uključivati i u mjere aktivne politike zapošljavanja koje se financiraju</w:t>
            </w:r>
            <w:r w:rsidR="002F7831">
              <w:rPr>
                <w:sz w:val="20"/>
                <w:szCs w:val="20"/>
              </w:rPr>
              <w:t xml:space="preserve"> </w:t>
            </w:r>
            <w:r w:rsidRPr="00A86FA4">
              <w:rPr>
                <w:sz w:val="20"/>
                <w:szCs w:val="20"/>
              </w:rPr>
              <w:t xml:space="preserve">iz NPOO-a -Unaprjeđenje mjera zapošljavanja i pravnog </w:t>
            </w:r>
            <w:r w:rsidRPr="00A86FA4">
              <w:rPr>
                <w:sz w:val="20"/>
                <w:szCs w:val="20"/>
              </w:rPr>
              <w:lastRenderedPageBreak/>
              <w:t>okvira za moderno tržište rada i gospodarstvo budućnosti te nije moguće prikazati financijski utrošak za osobe romske nacionalne manjine.</w:t>
            </w:r>
          </w:p>
          <w:p w14:paraId="3EEBECDE" w14:textId="24152A6C" w:rsidR="00064343" w:rsidRPr="00A86FA4" w:rsidRDefault="00064343" w:rsidP="00C05221">
            <w:pPr>
              <w:jc w:val="center"/>
              <w:rPr>
                <w:rFonts w:cs="Times New Roman"/>
                <w:color w:val="FF0000"/>
                <w:sz w:val="20"/>
                <w:szCs w:val="20"/>
                <w:highlight w:val="yellow"/>
              </w:rPr>
            </w:pPr>
            <w:r w:rsidRPr="00A86FA4">
              <w:rPr>
                <w:sz w:val="20"/>
                <w:szCs w:val="20"/>
              </w:rPr>
              <w:t>Ukupno utrošena financijska sredstva</w:t>
            </w:r>
            <w:r w:rsidR="002F7831">
              <w:rPr>
                <w:sz w:val="20"/>
                <w:szCs w:val="20"/>
              </w:rPr>
              <w:t xml:space="preserve"> </w:t>
            </w:r>
            <w:r w:rsidRPr="00A86FA4">
              <w:rPr>
                <w:sz w:val="20"/>
                <w:szCs w:val="20"/>
              </w:rPr>
              <w:t>u 2024. godini iznosila su</w:t>
            </w:r>
            <w:r w:rsidR="002F7831">
              <w:rPr>
                <w:sz w:val="20"/>
                <w:szCs w:val="20"/>
              </w:rPr>
              <w:t xml:space="preserve"> </w:t>
            </w:r>
            <w:r w:rsidRPr="00A86FA4">
              <w:rPr>
                <w:sz w:val="20"/>
                <w:szCs w:val="20"/>
              </w:rPr>
              <w:t>24.014.059,82 EUR , od toga 6.040.304,05,</w:t>
            </w:r>
            <w:r w:rsidR="002F7831">
              <w:rPr>
                <w:sz w:val="20"/>
                <w:szCs w:val="20"/>
              </w:rPr>
              <w:t xml:space="preserve"> </w:t>
            </w:r>
            <w:r w:rsidRPr="00A86FA4">
              <w:rPr>
                <w:sz w:val="20"/>
                <w:szCs w:val="20"/>
              </w:rPr>
              <w:t>EUR za obrazovanje putem sustava vaučera.</w:t>
            </w:r>
          </w:p>
        </w:tc>
        <w:tc>
          <w:tcPr>
            <w:tcW w:w="1405" w:type="pct"/>
            <w:vAlign w:val="center"/>
          </w:tcPr>
          <w:p w14:paraId="7BEACE6C" w14:textId="4BDA4DF4" w:rsidR="008034FF" w:rsidRPr="00A86FA4" w:rsidRDefault="008034FF" w:rsidP="00D36147">
            <w:pPr>
              <w:spacing w:line="276" w:lineRule="auto"/>
              <w:jc w:val="center"/>
              <w:rPr>
                <w:rFonts w:cs="Times New Roman"/>
                <w:color w:val="FF0000"/>
                <w:sz w:val="20"/>
                <w:szCs w:val="20"/>
              </w:rPr>
            </w:pPr>
          </w:p>
        </w:tc>
      </w:tr>
      <w:tr w:rsidR="00CE622A" w:rsidRPr="00CE622A" w14:paraId="523AD11A" w14:textId="77777777" w:rsidTr="005D72D8">
        <w:tc>
          <w:tcPr>
            <w:tcW w:w="936" w:type="pct"/>
            <w:shd w:val="clear" w:color="auto" w:fill="F2F2F2" w:themeFill="background1" w:themeFillShade="F2"/>
            <w:vAlign w:val="center"/>
          </w:tcPr>
          <w:p w14:paraId="1E82C9B3" w14:textId="7EA4E7FD" w:rsidR="008034FF" w:rsidRPr="00A86FA4" w:rsidRDefault="008034FF" w:rsidP="004A3B23">
            <w:pPr>
              <w:spacing w:line="276" w:lineRule="auto"/>
              <w:rPr>
                <w:rFonts w:cs="Times New Roman"/>
                <w:sz w:val="20"/>
                <w:szCs w:val="20"/>
              </w:rPr>
            </w:pPr>
            <w:r w:rsidRPr="00A86FA4">
              <w:rPr>
                <w:rFonts w:cs="Times New Roman"/>
                <w:sz w:val="20"/>
                <w:szCs w:val="20"/>
              </w:rPr>
              <w:t xml:space="preserve">ROK PROVEDBE </w:t>
            </w:r>
            <w:r w:rsidR="00EA317F" w:rsidRPr="00A86FA4">
              <w:rPr>
                <w:rFonts w:cs="Times New Roman"/>
                <w:sz w:val="20"/>
                <w:szCs w:val="20"/>
              </w:rPr>
              <w:t>A</w:t>
            </w:r>
            <w:r w:rsidRPr="00A86FA4">
              <w:rPr>
                <w:rFonts w:cs="Times New Roman"/>
                <w:sz w:val="20"/>
                <w:szCs w:val="20"/>
              </w:rPr>
              <w:t>KTIVNOSTI</w:t>
            </w:r>
          </w:p>
        </w:tc>
        <w:tc>
          <w:tcPr>
            <w:tcW w:w="4064" w:type="pct"/>
            <w:gridSpan w:val="3"/>
            <w:vAlign w:val="center"/>
          </w:tcPr>
          <w:p w14:paraId="1A809758" w14:textId="7EDB3CF7" w:rsidR="008034FF" w:rsidRPr="00A86FA4" w:rsidRDefault="008034FF" w:rsidP="00D36147">
            <w:pPr>
              <w:spacing w:line="276" w:lineRule="auto"/>
              <w:rPr>
                <w:rFonts w:cs="Times New Roman"/>
                <w:sz w:val="20"/>
                <w:szCs w:val="20"/>
              </w:rPr>
            </w:pPr>
            <w:r w:rsidRPr="00A86FA4">
              <w:rPr>
                <w:rFonts w:cs="Times New Roman"/>
                <w:sz w:val="20"/>
                <w:szCs w:val="20"/>
              </w:rPr>
              <w:t xml:space="preserve">IV. kvartal 2025. </w:t>
            </w:r>
          </w:p>
        </w:tc>
      </w:tr>
    </w:tbl>
    <w:p w14:paraId="34E8825B" w14:textId="77777777" w:rsidR="00005D9B" w:rsidRPr="000B764D" w:rsidRDefault="00005D9B" w:rsidP="00D36147">
      <w:pPr>
        <w:spacing w:after="0" w:line="276" w:lineRule="auto"/>
        <w:jc w:val="both"/>
        <w:rPr>
          <w:rFonts w:cs="Times New Roman"/>
          <w:i/>
          <w:iCs/>
          <w:szCs w:val="24"/>
        </w:rPr>
      </w:pPr>
      <w:bookmarkStart w:id="47" w:name="_Hlk164165860"/>
      <w:bookmarkEnd w:id="44"/>
    </w:p>
    <w:p w14:paraId="44444364" w14:textId="77777777" w:rsidR="003379F1" w:rsidRPr="000B764D" w:rsidRDefault="003379F1" w:rsidP="00D36147">
      <w:pPr>
        <w:spacing w:after="0" w:line="276" w:lineRule="auto"/>
        <w:jc w:val="both"/>
        <w:rPr>
          <w:rFonts w:cs="Times New Roman"/>
          <w:i/>
          <w:iCs/>
          <w:szCs w:val="24"/>
        </w:rPr>
      </w:pPr>
    </w:p>
    <w:p w14:paraId="554DA331" w14:textId="11062C91" w:rsidR="00CA388F" w:rsidRPr="00FC64BF" w:rsidRDefault="009870E5" w:rsidP="00D36147">
      <w:pPr>
        <w:spacing w:after="0" w:line="276" w:lineRule="auto"/>
        <w:jc w:val="both"/>
        <w:rPr>
          <w:rFonts w:cs="Times New Roman"/>
          <w:i/>
          <w:iCs/>
          <w:szCs w:val="24"/>
        </w:rPr>
      </w:pPr>
      <w:r w:rsidRPr="00FC64BF">
        <w:rPr>
          <w:rFonts w:cs="Times New Roman"/>
          <w:i/>
          <w:iCs/>
          <w:szCs w:val="24"/>
        </w:rPr>
        <w:t xml:space="preserve">Aktivnost </w:t>
      </w:r>
      <w:r w:rsidR="0073254B" w:rsidRPr="00FC64BF">
        <w:rPr>
          <w:rFonts w:cs="Times New Roman"/>
          <w:i/>
          <w:iCs/>
          <w:szCs w:val="24"/>
        </w:rPr>
        <w:t>5</w:t>
      </w:r>
      <w:r w:rsidR="00AD0006" w:rsidRPr="00FC64BF">
        <w:rPr>
          <w:rFonts w:cs="Times New Roman"/>
          <w:i/>
          <w:iCs/>
          <w:szCs w:val="24"/>
        </w:rPr>
        <w:t>.1.4.</w:t>
      </w:r>
      <w:r w:rsidRPr="00FC64BF">
        <w:rPr>
          <w:rFonts w:cs="Times New Roman"/>
          <w:i/>
          <w:iCs/>
          <w:szCs w:val="24"/>
        </w:rPr>
        <w:t xml:space="preserve"> P</w:t>
      </w:r>
      <w:r w:rsidR="00CA388F" w:rsidRPr="00FC64BF">
        <w:rPr>
          <w:rFonts w:cs="Times New Roman"/>
          <w:i/>
          <w:iCs/>
          <w:szCs w:val="24"/>
        </w:rPr>
        <w:t>odrška održivom zapošljavanju</w:t>
      </w:r>
    </w:p>
    <w:bookmarkEnd w:id="47"/>
    <w:p w14:paraId="3E3C63E7" w14:textId="0800B1ED" w:rsidR="005F79E1" w:rsidRPr="00FC64BF" w:rsidRDefault="00CA388F" w:rsidP="00D36147">
      <w:pPr>
        <w:spacing w:after="0" w:line="276" w:lineRule="auto"/>
        <w:jc w:val="both"/>
        <w:rPr>
          <w:rFonts w:cs="Times New Roman"/>
          <w:i/>
          <w:iCs/>
          <w:szCs w:val="24"/>
        </w:rPr>
      </w:pPr>
      <w:r w:rsidRPr="00FC64BF">
        <w:rPr>
          <w:rFonts w:cs="Times New Roman"/>
          <w:i/>
          <w:iCs/>
          <w:szCs w:val="24"/>
        </w:rPr>
        <w:t xml:space="preserve">Nositelj provedbe: </w:t>
      </w:r>
      <w:r w:rsidR="00AD0006" w:rsidRPr="00FC64BF">
        <w:rPr>
          <w:rFonts w:cs="Times New Roman"/>
          <w:i/>
          <w:iCs/>
          <w:szCs w:val="24"/>
        </w:rPr>
        <w:t>Hrvatski zavod za zapošljavanje</w:t>
      </w:r>
      <w:r w:rsidRPr="00FC64BF">
        <w:rPr>
          <w:rFonts w:cs="Times New Roman"/>
          <w:i/>
          <w:iCs/>
          <w:szCs w:val="24"/>
        </w:rPr>
        <w:t xml:space="preserve"> </w:t>
      </w:r>
    </w:p>
    <w:p w14:paraId="7234224F" w14:textId="77777777" w:rsidR="005F79E1" w:rsidRPr="00FC64BF" w:rsidRDefault="005F79E1" w:rsidP="00D36147">
      <w:pPr>
        <w:spacing w:after="0" w:line="276" w:lineRule="auto"/>
        <w:jc w:val="both"/>
        <w:rPr>
          <w:rFonts w:cs="Times New Roman"/>
          <w:i/>
          <w:iCs/>
          <w:szCs w:val="24"/>
        </w:rPr>
      </w:pPr>
    </w:p>
    <w:p w14:paraId="69CB6844" w14:textId="77D1B46F" w:rsidR="00093942" w:rsidRDefault="00093942" w:rsidP="00D36147">
      <w:pPr>
        <w:spacing w:after="0" w:line="276" w:lineRule="auto"/>
        <w:jc w:val="both"/>
        <w:rPr>
          <w:rFonts w:cs="Times New Roman"/>
          <w:szCs w:val="24"/>
        </w:rPr>
      </w:pPr>
      <w:r w:rsidRPr="00FC64BF">
        <w:rPr>
          <w:rFonts w:cs="Times New Roman"/>
          <w:szCs w:val="24"/>
        </w:rPr>
        <w:t>Hrvatski zavod za zapošljavanje provodi mjer</w:t>
      </w:r>
      <w:r w:rsidR="0081043E" w:rsidRPr="00FC64BF">
        <w:rPr>
          <w:rFonts w:cs="Times New Roman"/>
          <w:szCs w:val="24"/>
        </w:rPr>
        <w:t>e</w:t>
      </w:r>
      <w:r w:rsidRPr="00FC64BF">
        <w:rPr>
          <w:rFonts w:cs="Times New Roman"/>
          <w:szCs w:val="24"/>
        </w:rPr>
        <w:t xml:space="preserve"> koje su namijenjene osobama u nepovoljnom položaju na tržištu rada kako bi se i one integrirale na tržište. U takvoj situaciji, gdje je položaj marginaliziranim skupinama na tržištu rada dodatno otežan, potrebno je subvencijama motivirati poslodavce na zapošljavanje pripadnika određenih ciljanih skupina. Na taj način poslodavci imaju šire mogućnosti izbora te izbjegavaju zapošljavanje radnika koje smatraju manje produktivnima, što zbog nedostatka radnog iskustva, što zbog percepcije da radnicima nedostaju određena znanja i vještine zbog dugotrajne nezaposlenosti, godina starosti, neiskustva i sl. </w:t>
      </w:r>
    </w:p>
    <w:p w14:paraId="4303F093" w14:textId="29CE992A" w:rsidR="00FE6954" w:rsidRDefault="00FE6954" w:rsidP="00D36147">
      <w:pPr>
        <w:spacing w:after="0" w:line="276" w:lineRule="auto"/>
        <w:jc w:val="both"/>
        <w:rPr>
          <w:rFonts w:cs="Times New Roman"/>
          <w:szCs w:val="24"/>
        </w:rPr>
      </w:pPr>
    </w:p>
    <w:p w14:paraId="75D6AEC8" w14:textId="7EC43BB6" w:rsidR="00FE6954" w:rsidRDefault="00FE6954" w:rsidP="00FE6954">
      <w:pPr>
        <w:spacing w:after="0" w:line="276" w:lineRule="auto"/>
        <w:jc w:val="both"/>
        <w:rPr>
          <w:szCs w:val="24"/>
        </w:rPr>
      </w:pPr>
      <w:r w:rsidRPr="00E35099">
        <w:rPr>
          <w:szCs w:val="24"/>
        </w:rPr>
        <w:t xml:space="preserve">Hrvatski zavod za zapošljavanje je u 2024. </w:t>
      </w:r>
      <w:r w:rsidR="00C05221">
        <w:rPr>
          <w:szCs w:val="24"/>
        </w:rPr>
        <w:t xml:space="preserve">godini </w:t>
      </w:r>
      <w:r w:rsidRPr="00E35099">
        <w:rPr>
          <w:szCs w:val="24"/>
        </w:rPr>
        <w:t>provodio potpore za zapošljavanje kojima se potiče zapošljavanje osoba sufinanciranjem troška plaće poslodavcima</w:t>
      </w:r>
      <w:r>
        <w:rPr>
          <w:szCs w:val="24"/>
        </w:rPr>
        <w:t xml:space="preserve"> </w:t>
      </w:r>
      <w:r w:rsidRPr="00FE6954">
        <w:rPr>
          <w:szCs w:val="24"/>
        </w:rPr>
        <w:t>te potpore za zapošljavanje za stjecanje prvog radnog iskustva/pripravništvo kojima se potiče zapošljavanje osoba za stjecanje prvog radnog iskustva</w:t>
      </w:r>
      <w:r>
        <w:rPr>
          <w:szCs w:val="24"/>
        </w:rPr>
        <w:t>.</w:t>
      </w:r>
    </w:p>
    <w:p w14:paraId="52636E91" w14:textId="769BB827" w:rsidR="00FE6954" w:rsidRDefault="00FE6954" w:rsidP="00FE6954">
      <w:pPr>
        <w:spacing w:after="0" w:line="276" w:lineRule="auto"/>
        <w:jc w:val="both"/>
        <w:rPr>
          <w:rFonts w:cs="Times New Roman"/>
          <w:szCs w:val="24"/>
        </w:rPr>
      </w:pPr>
      <w:r w:rsidRPr="00E35099">
        <w:rPr>
          <w:szCs w:val="24"/>
        </w:rPr>
        <w:t>U 2024</w:t>
      </w:r>
      <w:r w:rsidRPr="00AF179D">
        <w:rPr>
          <w:szCs w:val="24"/>
        </w:rPr>
        <w:t xml:space="preserve">. </w:t>
      </w:r>
      <w:r w:rsidR="00C05221">
        <w:rPr>
          <w:szCs w:val="24"/>
        </w:rPr>
        <w:t xml:space="preserve">godini </w:t>
      </w:r>
      <w:r w:rsidRPr="00AF179D">
        <w:rPr>
          <w:szCs w:val="24"/>
        </w:rPr>
        <w:t xml:space="preserve">ukupno je 68 poslodavaca koristilo mjere potpore za zapošljavanje i potpore za zapošljavanje za stjecanje prvog radnog iskustva, dok ih je u 2023. </w:t>
      </w:r>
      <w:r w:rsidR="00C05221">
        <w:rPr>
          <w:szCs w:val="24"/>
        </w:rPr>
        <w:t xml:space="preserve">godini </w:t>
      </w:r>
      <w:r w:rsidRPr="00AF179D">
        <w:rPr>
          <w:szCs w:val="24"/>
        </w:rPr>
        <w:t>koristilo 33. Od 68 dodijeljene potpore u 2024.</w:t>
      </w:r>
      <w:r w:rsidR="00C05221">
        <w:rPr>
          <w:szCs w:val="24"/>
        </w:rPr>
        <w:t xml:space="preserve"> godini</w:t>
      </w:r>
      <w:r w:rsidRPr="00AF179D">
        <w:rPr>
          <w:szCs w:val="24"/>
        </w:rPr>
        <w:t>, njih 19 je</w:t>
      </w:r>
      <w:r w:rsidRPr="00FE6954">
        <w:rPr>
          <w:rFonts w:asciiTheme="minorHAnsi" w:hAnsiTheme="minorHAnsi"/>
          <w:sz w:val="22"/>
          <w:szCs w:val="24"/>
        </w:rPr>
        <w:t xml:space="preserve"> </w:t>
      </w:r>
      <w:r w:rsidRPr="00FE6954">
        <w:rPr>
          <w:szCs w:val="24"/>
        </w:rPr>
        <w:t>dodijeljeno za zapošljavanje žena</w:t>
      </w:r>
      <w:r>
        <w:rPr>
          <w:szCs w:val="24"/>
        </w:rPr>
        <w:t>.</w:t>
      </w:r>
    </w:p>
    <w:p w14:paraId="110CFACD" w14:textId="77777777" w:rsidR="00FE6954" w:rsidRPr="00FC64BF" w:rsidRDefault="00FE6954" w:rsidP="00D36147">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1980"/>
        <w:gridCol w:w="2410"/>
        <w:gridCol w:w="2267"/>
        <w:gridCol w:w="2405"/>
      </w:tblGrid>
      <w:tr w:rsidR="00CE622A" w:rsidRPr="00CE622A" w14:paraId="2C477F9D" w14:textId="77777777" w:rsidTr="008C00C5">
        <w:trPr>
          <w:trHeight w:val="606"/>
        </w:trPr>
        <w:tc>
          <w:tcPr>
            <w:tcW w:w="1092" w:type="pct"/>
            <w:shd w:val="clear" w:color="auto" w:fill="F2F2F2" w:themeFill="background1" w:themeFillShade="F2"/>
            <w:vAlign w:val="center"/>
          </w:tcPr>
          <w:p w14:paraId="7E6438D6" w14:textId="77777777" w:rsidR="008034FF" w:rsidRPr="00A86FA4" w:rsidRDefault="008034FF" w:rsidP="00D36147">
            <w:pPr>
              <w:spacing w:line="276" w:lineRule="auto"/>
              <w:rPr>
                <w:rFonts w:cs="Times New Roman"/>
                <w:b/>
                <w:sz w:val="20"/>
                <w:szCs w:val="20"/>
              </w:rPr>
            </w:pPr>
            <w:bookmarkStart w:id="48" w:name="_Hlk164165823"/>
            <w:r w:rsidRPr="00A86FA4">
              <w:rPr>
                <w:rFonts w:cs="Times New Roman"/>
                <w:b/>
                <w:sz w:val="20"/>
                <w:szCs w:val="20"/>
              </w:rPr>
              <w:t>Pokazatelji provedbe i pokazatelji uspješnosti provedbe</w:t>
            </w:r>
          </w:p>
        </w:tc>
        <w:tc>
          <w:tcPr>
            <w:tcW w:w="1330" w:type="pct"/>
            <w:shd w:val="clear" w:color="auto" w:fill="F2F2F2" w:themeFill="background1" w:themeFillShade="F2"/>
            <w:vAlign w:val="center"/>
          </w:tcPr>
          <w:p w14:paraId="2A975814" w14:textId="77777777" w:rsidR="008034FF" w:rsidRPr="00A86FA4" w:rsidRDefault="008034FF" w:rsidP="00D36147">
            <w:pPr>
              <w:spacing w:line="276" w:lineRule="auto"/>
              <w:jc w:val="center"/>
              <w:rPr>
                <w:rFonts w:eastAsia="Calibri" w:cs="Times New Roman"/>
                <w:b/>
                <w:sz w:val="20"/>
                <w:szCs w:val="20"/>
              </w:rPr>
            </w:pPr>
            <w:r w:rsidRPr="00A86FA4">
              <w:rPr>
                <w:rFonts w:eastAsia="Calibri" w:cs="Times New Roman"/>
                <w:b/>
                <w:sz w:val="20"/>
                <w:szCs w:val="20"/>
              </w:rPr>
              <w:t>Broj osoba uključenih u</w:t>
            </w:r>
          </w:p>
          <w:p w14:paraId="0B1ACC8A" w14:textId="77777777" w:rsidR="008034FF" w:rsidRPr="00A86FA4" w:rsidRDefault="008034FF" w:rsidP="00D36147">
            <w:pPr>
              <w:spacing w:line="276" w:lineRule="auto"/>
              <w:jc w:val="center"/>
              <w:rPr>
                <w:rFonts w:eastAsia="Calibri" w:cs="Times New Roman"/>
                <w:b/>
                <w:sz w:val="20"/>
                <w:szCs w:val="20"/>
              </w:rPr>
            </w:pPr>
            <w:r w:rsidRPr="00A86FA4">
              <w:rPr>
                <w:rFonts w:eastAsia="Calibri" w:cs="Times New Roman"/>
                <w:b/>
                <w:sz w:val="20"/>
                <w:szCs w:val="20"/>
              </w:rPr>
              <w:t>sufinancirano</w:t>
            </w:r>
          </w:p>
          <w:p w14:paraId="2A7D98ED" w14:textId="5403EE7B" w:rsidR="008034FF" w:rsidRPr="00A86FA4" w:rsidRDefault="008034FF" w:rsidP="00D36147">
            <w:pPr>
              <w:spacing w:line="276" w:lineRule="auto"/>
              <w:jc w:val="center"/>
              <w:rPr>
                <w:rFonts w:eastAsia="Calibri" w:cs="Times New Roman"/>
                <w:b/>
                <w:strike/>
                <w:sz w:val="20"/>
                <w:szCs w:val="20"/>
              </w:rPr>
            </w:pPr>
            <w:r w:rsidRPr="00A86FA4">
              <w:rPr>
                <w:rFonts w:eastAsia="Calibri" w:cs="Times New Roman"/>
                <w:b/>
                <w:sz w:val="20"/>
                <w:szCs w:val="20"/>
              </w:rPr>
              <w:t>zapošljavanje</w:t>
            </w:r>
          </w:p>
        </w:tc>
        <w:tc>
          <w:tcPr>
            <w:tcW w:w="1251" w:type="pct"/>
            <w:shd w:val="clear" w:color="auto" w:fill="F2F2F2" w:themeFill="background1" w:themeFillShade="F2"/>
            <w:vAlign w:val="center"/>
          </w:tcPr>
          <w:p w14:paraId="7D59681E" w14:textId="77777777" w:rsidR="008034FF" w:rsidRPr="00A86FA4" w:rsidRDefault="008034FF" w:rsidP="00D36147">
            <w:pPr>
              <w:spacing w:line="276" w:lineRule="auto"/>
              <w:jc w:val="center"/>
              <w:rPr>
                <w:rFonts w:eastAsia="Calibri" w:cs="Times New Roman"/>
                <w:b/>
                <w:sz w:val="20"/>
                <w:szCs w:val="20"/>
              </w:rPr>
            </w:pPr>
            <w:r w:rsidRPr="00A86FA4">
              <w:rPr>
                <w:rFonts w:eastAsia="Calibri" w:cs="Times New Roman"/>
                <w:b/>
                <w:sz w:val="20"/>
                <w:szCs w:val="20"/>
              </w:rPr>
              <w:t>Broj poslodavaca</w:t>
            </w:r>
          </w:p>
          <w:p w14:paraId="2F607B57" w14:textId="56D9650B" w:rsidR="008034FF" w:rsidRPr="00A86FA4" w:rsidRDefault="008034FF" w:rsidP="00D36147">
            <w:pPr>
              <w:spacing w:line="276" w:lineRule="auto"/>
              <w:jc w:val="center"/>
              <w:rPr>
                <w:rFonts w:cs="Times New Roman"/>
                <w:b/>
                <w:sz w:val="20"/>
                <w:szCs w:val="20"/>
              </w:rPr>
            </w:pPr>
            <w:r w:rsidRPr="00A86FA4">
              <w:rPr>
                <w:rFonts w:eastAsia="Calibri" w:cs="Times New Roman"/>
                <w:b/>
                <w:sz w:val="20"/>
                <w:szCs w:val="20"/>
              </w:rPr>
              <w:t>uključenih u program</w:t>
            </w:r>
          </w:p>
        </w:tc>
        <w:tc>
          <w:tcPr>
            <w:tcW w:w="1327" w:type="pct"/>
            <w:shd w:val="clear" w:color="auto" w:fill="F2F2F2" w:themeFill="background1" w:themeFillShade="F2"/>
            <w:vAlign w:val="center"/>
          </w:tcPr>
          <w:p w14:paraId="1B371C5B" w14:textId="21DAF770" w:rsidR="008034FF" w:rsidRPr="00A86FA4" w:rsidRDefault="008034FF" w:rsidP="00D36147">
            <w:pPr>
              <w:spacing w:line="276" w:lineRule="auto"/>
              <w:jc w:val="center"/>
              <w:rPr>
                <w:rFonts w:cs="Times New Roman"/>
                <w:b/>
                <w:sz w:val="20"/>
                <w:szCs w:val="20"/>
              </w:rPr>
            </w:pPr>
          </w:p>
        </w:tc>
      </w:tr>
      <w:tr w:rsidR="008C00C5" w:rsidRPr="00CE622A" w14:paraId="59F6387C" w14:textId="77777777" w:rsidTr="00FC64BF">
        <w:tc>
          <w:tcPr>
            <w:tcW w:w="1092" w:type="pct"/>
            <w:shd w:val="clear" w:color="auto" w:fill="F2F2F2" w:themeFill="background1" w:themeFillShade="F2"/>
          </w:tcPr>
          <w:p w14:paraId="4DF7787C" w14:textId="63D98303" w:rsidR="008C00C5" w:rsidRPr="00A86FA4" w:rsidRDefault="008C00C5" w:rsidP="0061594B">
            <w:pPr>
              <w:spacing w:line="276" w:lineRule="auto"/>
              <w:rPr>
                <w:rFonts w:cs="Times New Roman"/>
                <w:sz w:val="20"/>
                <w:szCs w:val="20"/>
              </w:rPr>
            </w:pPr>
            <w:r w:rsidRPr="00A86FA4">
              <w:rPr>
                <w:rFonts w:cs="Times New Roman"/>
                <w:sz w:val="20"/>
                <w:szCs w:val="20"/>
              </w:rPr>
              <w:t>Planirani ishodi za pokazatelje provedbe u 2024.</w:t>
            </w:r>
          </w:p>
        </w:tc>
        <w:tc>
          <w:tcPr>
            <w:tcW w:w="1330" w:type="pct"/>
          </w:tcPr>
          <w:p w14:paraId="29D60DB5" w14:textId="20F38B5B" w:rsidR="008C00C5" w:rsidRPr="00A86FA4" w:rsidRDefault="008C00C5" w:rsidP="008C00C5">
            <w:pPr>
              <w:spacing w:line="276" w:lineRule="auto"/>
              <w:jc w:val="center"/>
              <w:rPr>
                <w:rFonts w:cs="Times New Roman"/>
                <w:sz w:val="20"/>
                <w:szCs w:val="20"/>
              </w:rPr>
            </w:pPr>
            <w:r w:rsidRPr="00A86FA4">
              <w:rPr>
                <w:sz w:val="20"/>
                <w:szCs w:val="20"/>
              </w:rPr>
              <w:t>30</w:t>
            </w:r>
          </w:p>
        </w:tc>
        <w:tc>
          <w:tcPr>
            <w:tcW w:w="1251" w:type="pct"/>
          </w:tcPr>
          <w:p w14:paraId="13D8985F" w14:textId="3A35F71A" w:rsidR="008C00C5" w:rsidRPr="00A86FA4" w:rsidRDefault="008C00C5" w:rsidP="008C00C5">
            <w:pPr>
              <w:spacing w:line="276" w:lineRule="auto"/>
              <w:jc w:val="center"/>
              <w:rPr>
                <w:rFonts w:cs="Times New Roman"/>
                <w:sz w:val="20"/>
                <w:szCs w:val="20"/>
              </w:rPr>
            </w:pPr>
            <w:r w:rsidRPr="00A86FA4">
              <w:rPr>
                <w:sz w:val="20"/>
                <w:szCs w:val="20"/>
              </w:rPr>
              <w:t>30</w:t>
            </w:r>
          </w:p>
        </w:tc>
        <w:tc>
          <w:tcPr>
            <w:tcW w:w="1327" w:type="pct"/>
            <w:vAlign w:val="center"/>
          </w:tcPr>
          <w:p w14:paraId="775A3027" w14:textId="77777777" w:rsidR="008C00C5" w:rsidRPr="00A86FA4" w:rsidRDefault="008C00C5" w:rsidP="008C00C5">
            <w:pPr>
              <w:spacing w:line="276" w:lineRule="auto"/>
              <w:jc w:val="center"/>
              <w:rPr>
                <w:rFonts w:cs="Times New Roman"/>
                <w:sz w:val="20"/>
                <w:szCs w:val="20"/>
              </w:rPr>
            </w:pPr>
          </w:p>
        </w:tc>
      </w:tr>
      <w:tr w:rsidR="008C00C5" w:rsidRPr="00CE622A" w14:paraId="65062828" w14:textId="77777777" w:rsidTr="00FC64BF">
        <w:tc>
          <w:tcPr>
            <w:tcW w:w="1092" w:type="pct"/>
            <w:shd w:val="clear" w:color="auto" w:fill="F2F2F2" w:themeFill="background1" w:themeFillShade="F2"/>
          </w:tcPr>
          <w:p w14:paraId="55E1D1AD" w14:textId="2A840712" w:rsidR="008C00C5" w:rsidRPr="00A86FA4" w:rsidRDefault="008C00C5" w:rsidP="0061594B">
            <w:pPr>
              <w:spacing w:line="276" w:lineRule="auto"/>
              <w:rPr>
                <w:rFonts w:cs="Times New Roman"/>
                <w:sz w:val="20"/>
                <w:szCs w:val="20"/>
              </w:rPr>
            </w:pPr>
            <w:r w:rsidRPr="00A86FA4">
              <w:rPr>
                <w:rFonts w:cs="Times New Roman"/>
                <w:sz w:val="20"/>
                <w:szCs w:val="20"/>
              </w:rPr>
              <w:t xml:space="preserve">Ostvareni ishodi za pokazatelje provedbe u 2024. </w:t>
            </w:r>
          </w:p>
        </w:tc>
        <w:tc>
          <w:tcPr>
            <w:tcW w:w="1330" w:type="pct"/>
          </w:tcPr>
          <w:p w14:paraId="5335B183" w14:textId="422FA975" w:rsidR="008C00C5" w:rsidRPr="00A86FA4" w:rsidRDefault="008C00C5" w:rsidP="008C00C5">
            <w:pPr>
              <w:spacing w:line="276" w:lineRule="auto"/>
              <w:jc w:val="center"/>
              <w:rPr>
                <w:rFonts w:cs="Times New Roman"/>
                <w:sz w:val="20"/>
                <w:szCs w:val="20"/>
              </w:rPr>
            </w:pPr>
            <w:r w:rsidRPr="00A86FA4">
              <w:rPr>
                <w:sz w:val="20"/>
                <w:szCs w:val="20"/>
              </w:rPr>
              <w:t>68</w:t>
            </w:r>
          </w:p>
        </w:tc>
        <w:tc>
          <w:tcPr>
            <w:tcW w:w="1251" w:type="pct"/>
          </w:tcPr>
          <w:p w14:paraId="4DE7DC5C" w14:textId="3984CA1E" w:rsidR="008C00C5" w:rsidRPr="00A86FA4" w:rsidRDefault="008C00C5" w:rsidP="008C00C5">
            <w:pPr>
              <w:spacing w:line="276" w:lineRule="auto"/>
              <w:jc w:val="center"/>
              <w:rPr>
                <w:rFonts w:cs="Times New Roman"/>
                <w:sz w:val="20"/>
                <w:szCs w:val="20"/>
              </w:rPr>
            </w:pPr>
            <w:r w:rsidRPr="00A86FA4">
              <w:rPr>
                <w:sz w:val="20"/>
                <w:szCs w:val="20"/>
              </w:rPr>
              <w:t>68</w:t>
            </w:r>
          </w:p>
        </w:tc>
        <w:tc>
          <w:tcPr>
            <w:tcW w:w="1327" w:type="pct"/>
            <w:vAlign w:val="center"/>
          </w:tcPr>
          <w:p w14:paraId="52FD933B" w14:textId="77777777" w:rsidR="008C00C5" w:rsidRPr="00A86FA4" w:rsidRDefault="008C00C5" w:rsidP="008C00C5">
            <w:pPr>
              <w:spacing w:line="276" w:lineRule="auto"/>
              <w:jc w:val="center"/>
              <w:rPr>
                <w:rFonts w:eastAsia="Calibri" w:cs="Times New Roman"/>
                <w:b/>
                <w:sz w:val="20"/>
                <w:szCs w:val="20"/>
              </w:rPr>
            </w:pPr>
          </w:p>
        </w:tc>
      </w:tr>
      <w:tr w:rsidR="008C00C5" w:rsidRPr="00CE622A" w14:paraId="18173DFA" w14:textId="77777777" w:rsidTr="008C00C5">
        <w:tc>
          <w:tcPr>
            <w:tcW w:w="1092" w:type="pct"/>
            <w:shd w:val="clear" w:color="auto" w:fill="F2F2F2" w:themeFill="background1" w:themeFillShade="F2"/>
            <w:vAlign w:val="center"/>
          </w:tcPr>
          <w:p w14:paraId="383F6BAF" w14:textId="77777777" w:rsidR="008C00C5" w:rsidRPr="00A86FA4" w:rsidRDefault="008C00C5" w:rsidP="008C00C5">
            <w:pPr>
              <w:spacing w:line="276" w:lineRule="auto"/>
              <w:rPr>
                <w:rFonts w:cs="Times New Roman"/>
                <w:b/>
                <w:sz w:val="20"/>
                <w:szCs w:val="20"/>
              </w:rPr>
            </w:pPr>
            <w:r w:rsidRPr="00A86FA4">
              <w:rPr>
                <w:rFonts w:cs="Times New Roman"/>
                <w:b/>
                <w:sz w:val="20"/>
                <w:szCs w:val="20"/>
              </w:rPr>
              <w:lastRenderedPageBreak/>
              <w:t xml:space="preserve">IZVORI FINANCIRANJA </w:t>
            </w:r>
          </w:p>
        </w:tc>
        <w:tc>
          <w:tcPr>
            <w:tcW w:w="1330" w:type="pct"/>
            <w:vAlign w:val="center"/>
          </w:tcPr>
          <w:p w14:paraId="7412FAA7" w14:textId="77777777" w:rsidR="008C00C5" w:rsidRPr="00A86FA4" w:rsidRDefault="008C00C5" w:rsidP="008C00C5">
            <w:pPr>
              <w:spacing w:line="276" w:lineRule="auto"/>
              <w:jc w:val="center"/>
              <w:rPr>
                <w:rFonts w:cs="Times New Roman"/>
                <w:b/>
                <w:sz w:val="20"/>
                <w:szCs w:val="20"/>
              </w:rPr>
            </w:pPr>
            <w:r w:rsidRPr="00A86FA4">
              <w:rPr>
                <w:rFonts w:cs="Times New Roman"/>
                <w:b/>
                <w:sz w:val="20"/>
                <w:szCs w:val="20"/>
              </w:rPr>
              <w:t>Državni proračun (EUR)</w:t>
            </w:r>
          </w:p>
        </w:tc>
        <w:tc>
          <w:tcPr>
            <w:tcW w:w="1251" w:type="pct"/>
            <w:vAlign w:val="center"/>
          </w:tcPr>
          <w:p w14:paraId="1726CFF5" w14:textId="77777777" w:rsidR="008C00C5" w:rsidRPr="00A86FA4" w:rsidRDefault="008C00C5" w:rsidP="008C00C5">
            <w:pPr>
              <w:spacing w:line="276" w:lineRule="auto"/>
              <w:jc w:val="center"/>
              <w:rPr>
                <w:rFonts w:cs="Times New Roman"/>
                <w:b/>
                <w:sz w:val="20"/>
                <w:szCs w:val="20"/>
              </w:rPr>
            </w:pPr>
            <w:r w:rsidRPr="00A86FA4">
              <w:rPr>
                <w:rFonts w:cs="Times New Roman"/>
                <w:b/>
                <w:sz w:val="20"/>
                <w:szCs w:val="20"/>
              </w:rPr>
              <w:t>EU financiranje (EUR)</w:t>
            </w:r>
          </w:p>
        </w:tc>
        <w:tc>
          <w:tcPr>
            <w:tcW w:w="1327" w:type="pct"/>
            <w:vAlign w:val="center"/>
          </w:tcPr>
          <w:p w14:paraId="4704A413" w14:textId="77777777" w:rsidR="008C00C5" w:rsidRPr="00A86FA4" w:rsidRDefault="008C00C5" w:rsidP="008C00C5">
            <w:pPr>
              <w:spacing w:line="276" w:lineRule="auto"/>
              <w:jc w:val="center"/>
              <w:rPr>
                <w:rFonts w:cs="Times New Roman"/>
                <w:b/>
                <w:sz w:val="20"/>
                <w:szCs w:val="20"/>
              </w:rPr>
            </w:pPr>
            <w:r w:rsidRPr="00A86FA4">
              <w:rPr>
                <w:rFonts w:cs="Times New Roman"/>
                <w:b/>
                <w:sz w:val="20"/>
                <w:szCs w:val="20"/>
              </w:rPr>
              <w:t>Drugi izvori (EUR)</w:t>
            </w:r>
          </w:p>
        </w:tc>
      </w:tr>
      <w:tr w:rsidR="008C00C5" w:rsidRPr="00CE622A" w14:paraId="3EAE068D" w14:textId="77777777" w:rsidTr="008C00C5">
        <w:tc>
          <w:tcPr>
            <w:tcW w:w="1092" w:type="pct"/>
            <w:shd w:val="clear" w:color="auto" w:fill="F2F2F2" w:themeFill="background1" w:themeFillShade="F2"/>
            <w:vAlign w:val="center"/>
          </w:tcPr>
          <w:p w14:paraId="4EB167D3" w14:textId="1C668D7C" w:rsidR="008C00C5" w:rsidRPr="00A86FA4" w:rsidRDefault="008C00C5" w:rsidP="008C1190">
            <w:pPr>
              <w:spacing w:line="276" w:lineRule="auto"/>
              <w:rPr>
                <w:rFonts w:cs="Times New Roman"/>
                <w:sz w:val="20"/>
                <w:szCs w:val="20"/>
              </w:rPr>
            </w:pPr>
            <w:r w:rsidRPr="00A86FA4">
              <w:rPr>
                <w:rFonts w:cs="Times New Roman"/>
                <w:sz w:val="20"/>
                <w:szCs w:val="20"/>
              </w:rPr>
              <w:t>Izvori financiranja u 202</w:t>
            </w:r>
            <w:r w:rsidR="008C1190">
              <w:rPr>
                <w:rFonts w:cs="Times New Roman"/>
                <w:sz w:val="20"/>
                <w:szCs w:val="20"/>
              </w:rPr>
              <w:t>4</w:t>
            </w:r>
            <w:r w:rsidRPr="00A86FA4">
              <w:rPr>
                <w:rFonts w:cs="Times New Roman"/>
                <w:sz w:val="20"/>
                <w:szCs w:val="20"/>
              </w:rPr>
              <w:t>. (proračunska pozicija i predviđeni iznos sredstava)</w:t>
            </w:r>
          </w:p>
        </w:tc>
        <w:tc>
          <w:tcPr>
            <w:tcW w:w="1330" w:type="pct"/>
            <w:vAlign w:val="center"/>
          </w:tcPr>
          <w:p w14:paraId="626876ED" w14:textId="77777777" w:rsidR="008C00C5" w:rsidRPr="00A86FA4" w:rsidRDefault="008C00C5" w:rsidP="008C00C5">
            <w:pPr>
              <w:spacing w:line="276" w:lineRule="auto"/>
              <w:jc w:val="center"/>
              <w:rPr>
                <w:rFonts w:cs="Times New Roman"/>
                <w:sz w:val="20"/>
                <w:szCs w:val="20"/>
              </w:rPr>
            </w:pPr>
            <w:r w:rsidRPr="00A86FA4">
              <w:rPr>
                <w:rFonts w:cs="Times New Roman"/>
                <w:sz w:val="20"/>
                <w:szCs w:val="20"/>
              </w:rPr>
              <w:t>A689027 – Akcijski plan</w:t>
            </w:r>
          </w:p>
          <w:p w14:paraId="5CA7593B" w14:textId="109A775D" w:rsidR="008C00C5" w:rsidRPr="00A86FA4" w:rsidRDefault="008C00C5" w:rsidP="008C00C5">
            <w:pPr>
              <w:spacing w:line="276" w:lineRule="auto"/>
              <w:jc w:val="center"/>
              <w:rPr>
                <w:rFonts w:cs="Times New Roman"/>
                <w:sz w:val="20"/>
                <w:szCs w:val="20"/>
              </w:rPr>
            </w:pPr>
            <w:r w:rsidRPr="00A86FA4">
              <w:rPr>
                <w:rFonts w:cs="Times New Roman"/>
                <w:sz w:val="20"/>
                <w:szCs w:val="20"/>
              </w:rPr>
              <w:t>za uključivanje Roma</w:t>
            </w:r>
          </w:p>
          <w:p w14:paraId="57CD7EBA" w14:textId="1B17254C" w:rsidR="008C00C5" w:rsidRPr="00A86FA4" w:rsidRDefault="008C00C5" w:rsidP="008C00C5">
            <w:pPr>
              <w:spacing w:line="276" w:lineRule="auto"/>
              <w:jc w:val="center"/>
              <w:rPr>
                <w:rFonts w:cs="Times New Roman"/>
                <w:sz w:val="20"/>
                <w:szCs w:val="20"/>
              </w:rPr>
            </w:pPr>
            <w:r w:rsidRPr="00A86FA4">
              <w:rPr>
                <w:rFonts w:cs="Times New Roman"/>
                <w:sz w:val="20"/>
                <w:szCs w:val="20"/>
              </w:rPr>
              <w:t>85.407,13</w:t>
            </w:r>
          </w:p>
        </w:tc>
        <w:tc>
          <w:tcPr>
            <w:tcW w:w="1251" w:type="pct"/>
            <w:vAlign w:val="center"/>
          </w:tcPr>
          <w:p w14:paraId="2FF78B92" w14:textId="10491ECC" w:rsidR="008C00C5" w:rsidRPr="00A86FA4" w:rsidRDefault="008C00C5" w:rsidP="008C00C5">
            <w:pPr>
              <w:spacing w:line="276" w:lineRule="auto"/>
              <w:jc w:val="center"/>
              <w:rPr>
                <w:rFonts w:cs="Times New Roman"/>
                <w:sz w:val="20"/>
                <w:szCs w:val="20"/>
              </w:rPr>
            </w:pPr>
            <w:r w:rsidRPr="00A86FA4">
              <w:rPr>
                <w:rFonts w:cs="Times New Roman"/>
                <w:sz w:val="20"/>
                <w:szCs w:val="20"/>
              </w:rPr>
              <w:t>0,00</w:t>
            </w:r>
          </w:p>
        </w:tc>
        <w:tc>
          <w:tcPr>
            <w:tcW w:w="1327" w:type="pct"/>
            <w:vAlign w:val="center"/>
          </w:tcPr>
          <w:p w14:paraId="46B23BD4" w14:textId="77777777" w:rsidR="008C00C5" w:rsidRPr="00A86FA4" w:rsidRDefault="008C00C5" w:rsidP="008C00C5">
            <w:pPr>
              <w:spacing w:line="276" w:lineRule="auto"/>
              <w:jc w:val="center"/>
              <w:rPr>
                <w:rFonts w:cs="Times New Roman"/>
                <w:sz w:val="20"/>
                <w:szCs w:val="20"/>
              </w:rPr>
            </w:pPr>
            <w:r w:rsidRPr="00A86FA4">
              <w:rPr>
                <w:rFonts w:cs="Times New Roman"/>
                <w:sz w:val="20"/>
                <w:szCs w:val="20"/>
              </w:rPr>
              <w:t>0,00</w:t>
            </w:r>
          </w:p>
        </w:tc>
      </w:tr>
      <w:tr w:rsidR="008C00C5" w:rsidRPr="00CE622A" w14:paraId="2642B5B1" w14:textId="77777777" w:rsidTr="008C00C5">
        <w:tc>
          <w:tcPr>
            <w:tcW w:w="1092" w:type="pct"/>
            <w:vMerge w:val="restart"/>
            <w:shd w:val="clear" w:color="auto" w:fill="F2F2F2" w:themeFill="background1" w:themeFillShade="F2"/>
            <w:vAlign w:val="center"/>
          </w:tcPr>
          <w:p w14:paraId="353E18CE" w14:textId="77777777" w:rsidR="008C00C5" w:rsidRPr="00A86FA4" w:rsidRDefault="008C00C5" w:rsidP="008C00C5">
            <w:pPr>
              <w:spacing w:line="276" w:lineRule="auto"/>
              <w:rPr>
                <w:rFonts w:cs="Times New Roman"/>
                <w:b/>
                <w:sz w:val="20"/>
                <w:szCs w:val="20"/>
              </w:rPr>
            </w:pPr>
            <w:r w:rsidRPr="00A86FA4">
              <w:rPr>
                <w:rFonts w:cs="Times New Roman"/>
                <w:b/>
                <w:sz w:val="20"/>
                <w:szCs w:val="20"/>
              </w:rPr>
              <w:t xml:space="preserve">UKUPNO UTROŠENA SREDSTVA PO IZVORU </w:t>
            </w:r>
          </w:p>
        </w:tc>
        <w:tc>
          <w:tcPr>
            <w:tcW w:w="1330" w:type="pct"/>
            <w:vAlign w:val="center"/>
          </w:tcPr>
          <w:p w14:paraId="2A4A588D" w14:textId="77777777" w:rsidR="008C00C5" w:rsidRPr="00A86FA4" w:rsidRDefault="008C00C5" w:rsidP="008C00C5">
            <w:pPr>
              <w:spacing w:line="276" w:lineRule="auto"/>
              <w:jc w:val="center"/>
              <w:rPr>
                <w:rFonts w:cs="Times New Roman"/>
                <w:b/>
                <w:sz w:val="20"/>
                <w:szCs w:val="20"/>
              </w:rPr>
            </w:pPr>
            <w:r w:rsidRPr="00A86FA4">
              <w:rPr>
                <w:rFonts w:cs="Times New Roman"/>
                <w:b/>
                <w:sz w:val="20"/>
                <w:szCs w:val="20"/>
              </w:rPr>
              <w:t>Državni proračun (EUR)</w:t>
            </w:r>
          </w:p>
        </w:tc>
        <w:tc>
          <w:tcPr>
            <w:tcW w:w="1251" w:type="pct"/>
            <w:vAlign w:val="center"/>
          </w:tcPr>
          <w:p w14:paraId="0133D82B" w14:textId="77777777" w:rsidR="008C00C5" w:rsidRPr="00A86FA4" w:rsidRDefault="008C00C5" w:rsidP="008C00C5">
            <w:pPr>
              <w:spacing w:line="276" w:lineRule="auto"/>
              <w:jc w:val="center"/>
              <w:rPr>
                <w:rFonts w:cs="Times New Roman"/>
                <w:b/>
                <w:sz w:val="20"/>
                <w:szCs w:val="20"/>
              </w:rPr>
            </w:pPr>
            <w:r w:rsidRPr="00A86FA4">
              <w:rPr>
                <w:rFonts w:cs="Times New Roman"/>
                <w:b/>
                <w:sz w:val="20"/>
                <w:szCs w:val="20"/>
              </w:rPr>
              <w:t>EU financiranje (EUR)</w:t>
            </w:r>
          </w:p>
        </w:tc>
        <w:tc>
          <w:tcPr>
            <w:tcW w:w="1327" w:type="pct"/>
            <w:vAlign w:val="center"/>
          </w:tcPr>
          <w:p w14:paraId="3CF88CEA" w14:textId="77777777" w:rsidR="008C00C5" w:rsidRPr="00A86FA4" w:rsidRDefault="008C00C5" w:rsidP="008C00C5">
            <w:pPr>
              <w:spacing w:line="276" w:lineRule="auto"/>
              <w:jc w:val="center"/>
              <w:rPr>
                <w:rFonts w:cs="Times New Roman"/>
                <w:b/>
                <w:sz w:val="20"/>
                <w:szCs w:val="20"/>
              </w:rPr>
            </w:pPr>
            <w:r w:rsidRPr="00A86FA4">
              <w:rPr>
                <w:rFonts w:cs="Times New Roman"/>
                <w:b/>
                <w:sz w:val="20"/>
                <w:szCs w:val="20"/>
              </w:rPr>
              <w:t>Drugi izvori (EUR)</w:t>
            </w:r>
          </w:p>
        </w:tc>
      </w:tr>
      <w:tr w:rsidR="008C00C5" w:rsidRPr="00CE622A" w14:paraId="465A45C8" w14:textId="77777777" w:rsidTr="008C00C5">
        <w:tc>
          <w:tcPr>
            <w:tcW w:w="1092" w:type="pct"/>
            <w:vMerge/>
            <w:shd w:val="clear" w:color="auto" w:fill="F2F2F2" w:themeFill="background1" w:themeFillShade="F2"/>
            <w:vAlign w:val="center"/>
          </w:tcPr>
          <w:p w14:paraId="68410D95" w14:textId="77777777" w:rsidR="008C00C5" w:rsidRPr="00A86FA4" w:rsidRDefault="008C00C5" w:rsidP="008C00C5">
            <w:pPr>
              <w:spacing w:line="276" w:lineRule="auto"/>
              <w:rPr>
                <w:rFonts w:cs="Times New Roman"/>
                <w:b/>
                <w:sz w:val="20"/>
                <w:szCs w:val="20"/>
              </w:rPr>
            </w:pPr>
          </w:p>
        </w:tc>
        <w:tc>
          <w:tcPr>
            <w:tcW w:w="1330" w:type="pct"/>
            <w:vAlign w:val="center"/>
          </w:tcPr>
          <w:p w14:paraId="5A4D80C2" w14:textId="08BA8A6C" w:rsidR="008C00C5" w:rsidRPr="00A86FA4" w:rsidRDefault="008C00C5" w:rsidP="00C05221">
            <w:pPr>
              <w:spacing w:line="276" w:lineRule="auto"/>
              <w:jc w:val="center"/>
              <w:rPr>
                <w:rFonts w:eastAsia="Calibri" w:cs="Times New Roman"/>
                <w:sz w:val="20"/>
                <w:szCs w:val="20"/>
              </w:rPr>
            </w:pPr>
          </w:p>
          <w:p w14:paraId="504DB5C1" w14:textId="775CFB44" w:rsidR="008C00C5" w:rsidRPr="00A86FA4" w:rsidRDefault="008C00C5" w:rsidP="00C05221">
            <w:pPr>
              <w:spacing w:line="276" w:lineRule="auto"/>
              <w:jc w:val="center"/>
              <w:rPr>
                <w:rFonts w:eastAsia="Calibri" w:cs="Times New Roman"/>
                <w:sz w:val="20"/>
                <w:szCs w:val="20"/>
              </w:rPr>
            </w:pPr>
            <w:r w:rsidRPr="00A86FA4">
              <w:rPr>
                <w:rFonts w:eastAsia="Calibri" w:cs="Times New Roman"/>
                <w:sz w:val="20"/>
                <w:szCs w:val="20"/>
              </w:rPr>
              <w:t>A689027 - Akcijski plan za uključivanje Roma</w:t>
            </w:r>
          </w:p>
          <w:p w14:paraId="185AA057" w14:textId="77777777" w:rsidR="008C00C5" w:rsidRPr="00A86FA4" w:rsidRDefault="008C00C5" w:rsidP="00C05221">
            <w:pPr>
              <w:spacing w:line="276" w:lineRule="auto"/>
              <w:jc w:val="center"/>
              <w:rPr>
                <w:rFonts w:eastAsia="Calibri" w:cs="Times New Roman"/>
                <w:sz w:val="20"/>
                <w:szCs w:val="20"/>
              </w:rPr>
            </w:pPr>
          </w:p>
          <w:p w14:paraId="2F578B57" w14:textId="254E7EC1" w:rsidR="001D2279" w:rsidRPr="00247F33" w:rsidRDefault="001D2279" w:rsidP="00C05221">
            <w:pPr>
              <w:jc w:val="center"/>
              <w:rPr>
                <w:sz w:val="20"/>
                <w:szCs w:val="20"/>
                <w:highlight w:val="red"/>
              </w:rPr>
            </w:pPr>
            <w:r w:rsidRPr="00A86FA4">
              <w:rPr>
                <w:sz w:val="20"/>
                <w:szCs w:val="20"/>
              </w:rPr>
              <w:t>Ukupno utrošena financijska sredstva</w:t>
            </w:r>
            <w:r w:rsidR="002F7831">
              <w:rPr>
                <w:sz w:val="20"/>
                <w:szCs w:val="20"/>
              </w:rPr>
              <w:t xml:space="preserve"> </w:t>
            </w:r>
            <w:r w:rsidRPr="00A86FA4">
              <w:rPr>
                <w:sz w:val="20"/>
                <w:szCs w:val="20"/>
              </w:rPr>
              <w:t>u 2024. godini iznosila su</w:t>
            </w:r>
            <w:r w:rsidR="002F7831">
              <w:rPr>
                <w:sz w:val="20"/>
                <w:szCs w:val="20"/>
              </w:rPr>
              <w:t xml:space="preserve"> </w:t>
            </w:r>
            <w:r w:rsidR="008C1190" w:rsidRPr="00AA36B5">
              <w:rPr>
                <w:sz w:val="20"/>
                <w:szCs w:val="20"/>
              </w:rPr>
              <w:t xml:space="preserve">1.590.826,77 </w:t>
            </w:r>
            <w:r w:rsidRPr="00AA36B5">
              <w:rPr>
                <w:sz w:val="20"/>
                <w:szCs w:val="20"/>
              </w:rPr>
              <w:t>EUR</w:t>
            </w:r>
          </w:p>
          <w:p w14:paraId="4C895901" w14:textId="44CA42C6" w:rsidR="001D2279" w:rsidRPr="00A86FA4" w:rsidRDefault="001D2279" w:rsidP="00C05221">
            <w:pPr>
              <w:jc w:val="center"/>
              <w:rPr>
                <w:sz w:val="20"/>
                <w:szCs w:val="20"/>
              </w:rPr>
            </w:pPr>
            <w:r w:rsidRPr="005138DF">
              <w:rPr>
                <w:sz w:val="20"/>
                <w:szCs w:val="20"/>
              </w:rPr>
              <w:t>od toga</w:t>
            </w:r>
            <w:r w:rsidR="002F7831" w:rsidRPr="005138DF">
              <w:rPr>
                <w:sz w:val="20"/>
                <w:szCs w:val="20"/>
              </w:rPr>
              <w:t xml:space="preserve"> </w:t>
            </w:r>
            <w:r w:rsidRPr="005138DF">
              <w:rPr>
                <w:sz w:val="20"/>
                <w:szCs w:val="20"/>
              </w:rPr>
              <w:t>42.960,00 EUR</w:t>
            </w:r>
            <w:r w:rsidRPr="00A86FA4">
              <w:rPr>
                <w:sz w:val="20"/>
                <w:szCs w:val="20"/>
              </w:rPr>
              <w:t xml:space="preserve"> za potpore za zapošljavanje.</w:t>
            </w:r>
          </w:p>
          <w:p w14:paraId="4C285161" w14:textId="77777777" w:rsidR="001D2279" w:rsidRPr="00A86FA4" w:rsidRDefault="001D2279" w:rsidP="00C05221">
            <w:pPr>
              <w:jc w:val="center"/>
              <w:rPr>
                <w:b/>
                <w:sz w:val="20"/>
                <w:szCs w:val="20"/>
              </w:rPr>
            </w:pPr>
          </w:p>
          <w:p w14:paraId="41C6E429" w14:textId="77777777" w:rsidR="001D2279" w:rsidRPr="00A86FA4" w:rsidRDefault="001D2279" w:rsidP="00C05221">
            <w:pPr>
              <w:jc w:val="center"/>
              <w:rPr>
                <w:b/>
                <w:sz w:val="20"/>
                <w:szCs w:val="20"/>
              </w:rPr>
            </w:pPr>
            <w:r w:rsidRPr="00A86FA4">
              <w:rPr>
                <w:b/>
                <w:sz w:val="20"/>
                <w:szCs w:val="20"/>
              </w:rPr>
              <w:t>A689023 – Aktivna politika zapošljavanja</w:t>
            </w:r>
          </w:p>
          <w:p w14:paraId="062BBE48" w14:textId="77777777" w:rsidR="001D2279" w:rsidRPr="00A86FA4" w:rsidRDefault="001D2279" w:rsidP="00C05221">
            <w:pPr>
              <w:jc w:val="center"/>
              <w:rPr>
                <w:sz w:val="20"/>
                <w:szCs w:val="20"/>
              </w:rPr>
            </w:pPr>
            <w:r w:rsidRPr="00A86FA4">
              <w:rPr>
                <w:sz w:val="20"/>
                <w:szCs w:val="20"/>
              </w:rPr>
              <w:t>Osobe romske nacionalne manjine mogu se uključivati i u mjere aktivne politike zapošljavanja koje se financiraju iz Državnog proračuna te nije moguće prikazati financijski utrošak za osobe romske nacionalne manjine.</w:t>
            </w:r>
          </w:p>
          <w:p w14:paraId="572F8B46" w14:textId="45205C16" w:rsidR="001D2279" w:rsidRPr="00A86FA4" w:rsidRDefault="001D2279" w:rsidP="00C05221">
            <w:pPr>
              <w:jc w:val="center"/>
              <w:rPr>
                <w:sz w:val="20"/>
                <w:szCs w:val="20"/>
              </w:rPr>
            </w:pPr>
            <w:r w:rsidRPr="00A86FA4">
              <w:rPr>
                <w:sz w:val="20"/>
                <w:szCs w:val="20"/>
              </w:rPr>
              <w:t>Ukupno utrošena financijska sredstva</w:t>
            </w:r>
            <w:r w:rsidR="002F7831">
              <w:rPr>
                <w:sz w:val="20"/>
                <w:szCs w:val="20"/>
              </w:rPr>
              <w:t xml:space="preserve"> </w:t>
            </w:r>
            <w:r w:rsidRPr="00A86FA4">
              <w:rPr>
                <w:sz w:val="20"/>
                <w:szCs w:val="20"/>
              </w:rPr>
              <w:t>u 2024. godini iznosila su</w:t>
            </w:r>
            <w:r w:rsidR="002F7831">
              <w:rPr>
                <w:sz w:val="20"/>
                <w:szCs w:val="20"/>
              </w:rPr>
              <w:t xml:space="preserve"> </w:t>
            </w:r>
            <w:r w:rsidRPr="00A86FA4">
              <w:rPr>
                <w:sz w:val="20"/>
                <w:szCs w:val="20"/>
              </w:rPr>
              <w:t>49.274.988,56 EUR</w:t>
            </w:r>
          </w:p>
          <w:p w14:paraId="22B2F582" w14:textId="328DFCF5" w:rsidR="008C00C5" w:rsidRPr="00A86FA4" w:rsidRDefault="001D2279" w:rsidP="00C05221">
            <w:pPr>
              <w:spacing w:line="276" w:lineRule="auto"/>
              <w:jc w:val="center"/>
              <w:rPr>
                <w:rFonts w:eastAsia="Calibri" w:cs="Times New Roman"/>
                <w:sz w:val="20"/>
                <w:szCs w:val="20"/>
              </w:rPr>
            </w:pPr>
            <w:r w:rsidRPr="00A86FA4">
              <w:rPr>
                <w:sz w:val="20"/>
                <w:szCs w:val="20"/>
              </w:rPr>
              <w:t>od toga</w:t>
            </w:r>
            <w:r w:rsidR="002F7831">
              <w:rPr>
                <w:sz w:val="20"/>
                <w:szCs w:val="20"/>
              </w:rPr>
              <w:t xml:space="preserve"> </w:t>
            </w:r>
            <w:r w:rsidRPr="00A86FA4">
              <w:rPr>
                <w:sz w:val="20"/>
                <w:szCs w:val="20"/>
              </w:rPr>
              <w:t>15.677.093,47 EUR za potpore za zapošljavanje i potpore pripravništvo.</w:t>
            </w:r>
          </w:p>
        </w:tc>
        <w:tc>
          <w:tcPr>
            <w:tcW w:w="1251" w:type="pct"/>
            <w:vAlign w:val="center"/>
          </w:tcPr>
          <w:p w14:paraId="3488920F" w14:textId="7C105D87" w:rsidR="008C00C5" w:rsidRPr="00A86FA4" w:rsidRDefault="008C00C5" w:rsidP="00C05221">
            <w:pPr>
              <w:spacing w:line="276" w:lineRule="auto"/>
              <w:jc w:val="center"/>
              <w:rPr>
                <w:rFonts w:cs="Times New Roman"/>
                <w:sz w:val="20"/>
                <w:szCs w:val="20"/>
              </w:rPr>
            </w:pPr>
            <w:r w:rsidRPr="00A86FA4">
              <w:rPr>
                <w:rFonts w:cs="Times New Roman"/>
                <w:sz w:val="20"/>
                <w:szCs w:val="20"/>
              </w:rPr>
              <w:t>T689039 - Operativni program Europski socijalni fond plus (ESF+)</w:t>
            </w:r>
          </w:p>
          <w:p w14:paraId="6C412538" w14:textId="77777777" w:rsidR="008C00C5" w:rsidRPr="00A86FA4" w:rsidRDefault="008C00C5" w:rsidP="00C05221">
            <w:pPr>
              <w:spacing w:line="276" w:lineRule="auto"/>
              <w:jc w:val="center"/>
              <w:rPr>
                <w:rFonts w:cs="Times New Roman"/>
                <w:sz w:val="20"/>
                <w:szCs w:val="20"/>
              </w:rPr>
            </w:pPr>
          </w:p>
          <w:p w14:paraId="1AC1C392" w14:textId="60D5F379" w:rsidR="001D2279" w:rsidRPr="00A86FA4" w:rsidRDefault="001D2279" w:rsidP="00C05221">
            <w:pPr>
              <w:jc w:val="center"/>
              <w:rPr>
                <w:b/>
                <w:sz w:val="20"/>
                <w:szCs w:val="20"/>
              </w:rPr>
            </w:pPr>
            <w:r w:rsidRPr="00A86FA4">
              <w:rPr>
                <w:b/>
                <w:sz w:val="20"/>
                <w:szCs w:val="20"/>
              </w:rPr>
              <w:t>T689039</w:t>
            </w:r>
            <w:r w:rsidR="002F7831">
              <w:rPr>
                <w:b/>
                <w:sz w:val="20"/>
                <w:szCs w:val="20"/>
              </w:rPr>
              <w:t xml:space="preserve"> </w:t>
            </w:r>
            <w:r w:rsidRPr="00A86FA4">
              <w:rPr>
                <w:b/>
                <w:sz w:val="20"/>
                <w:szCs w:val="20"/>
              </w:rPr>
              <w:t>-</w:t>
            </w:r>
            <w:r w:rsidR="002F7831">
              <w:rPr>
                <w:b/>
                <w:sz w:val="20"/>
                <w:szCs w:val="20"/>
              </w:rPr>
              <w:t xml:space="preserve"> </w:t>
            </w:r>
            <w:r w:rsidRPr="00A86FA4">
              <w:rPr>
                <w:b/>
                <w:sz w:val="20"/>
                <w:szCs w:val="20"/>
              </w:rPr>
              <w:t>Operativni program Europski socijalni fond plus</w:t>
            </w:r>
          </w:p>
          <w:p w14:paraId="16786B85" w14:textId="77777777" w:rsidR="001D2279" w:rsidRPr="00A86FA4" w:rsidRDefault="001D2279" w:rsidP="00C05221">
            <w:pPr>
              <w:jc w:val="center"/>
              <w:rPr>
                <w:sz w:val="20"/>
                <w:szCs w:val="20"/>
              </w:rPr>
            </w:pPr>
            <w:r w:rsidRPr="00A86FA4">
              <w:rPr>
                <w:sz w:val="20"/>
                <w:szCs w:val="20"/>
              </w:rPr>
              <w:t>Osobe romske nacionalne manjine mogu se uključivati i u mjere aktivne politike zapošljavanja koje se financiraju iz drugih izvora financiranja (Operativni program Europski socijalni fond plus (ESF+)) te nije moguće prikazati financijski utrošak za osobe romske nacionalne manjine koje su uključene u neku od mjera financiranih iz Operativnog programa.</w:t>
            </w:r>
          </w:p>
          <w:p w14:paraId="24C178A0" w14:textId="0AEA6125" w:rsidR="001D2279" w:rsidRPr="00A86FA4" w:rsidRDefault="001D2279" w:rsidP="00C05221">
            <w:pPr>
              <w:jc w:val="center"/>
              <w:rPr>
                <w:sz w:val="20"/>
                <w:szCs w:val="20"/>
              </w:rPr>
            </w:pPr>
            <w:r w:rsidRPr="00A86FA4">
              <w:rPr>
                <w:sz w:val="20"/>
                <w:szCs w:val="20"/>
              </w:rPr>
              <w:t>Ukupno utrošena financijska sredstva u 2024. godini iznosila su</w:t>
            </w:r>
            <w:r w:rsidR="002F7831">
              <w:rPr>
                <w:sz w:val="20"/>
                <w:szCs w:val="20"/>
              </w:rPr>
              <w:t xml:space="preserve"> </w:t>
            </w:r>
            <w:r w:rsidRPr="00A86FA4">
              <w:rPr>
                <w:sz w:val="20"/>
                <w:szCs w:val="20"/>
              </w:rPr>
              <w:t>106.673.085,18 EUR</w:t>
            </w:r>
          </w:p>
          <w:p w14:paraId="468130AD" w14:textId="05797F8D" w:rsidR="008C00C5" w:rsidRPr="00A86FA4" w:rsidRDefault="001D2279" w:rsidP="00C05221">
            <w:pPr>
              <w:spacing w:line="276" w:lineRule="auto"/>
              <w:jc w:val="center"/>
              <w:rPr>
                <w:rFonts w:cs="Times New Roman"/>
                <w:sz w:val="20"/>
                <w:szCs w:val="20"/>
              </w:rPr>
            </w:pPr>
            <w:r w:rsidRPr="00A86FA4">
              <w:rPr>
                <w:sz w:val="20"/>
                <w:szCs w:val="20"/>
              </w:rPr>
              <w:t>od toga 53.982.454,20 EUR za potpore za zapošljavanje i potpore pripravništvo.</w:t>
            </w:r>
          </w:p>
        </w:tc>
        <w:tc>
          <w:tcPr>
            <w:tcW w:w="1327" w:type="pct"/>
            <w:vAlign w:val="center"/>
          </w:tcPr>
          <w:p w14:paraId="751C5B80" w14:textId="4A3D1832" w:rsidR="008C00C5" w:rsidRPr="00A86FA4" w:rsidRDefault="008C00C5" w:rsidP="00C05221">
            <w:pPr>
              <w:spacing w:line="276" w:lineRule="auto"/>
              <w:jc w:val="center"/>
              <w:rPr>
                <w:rFonts w:cs="Times New Roman"/>
                <w:sz w:val="20"/>
                <w:szCs w:val="20"/>
              </w:rPr>
            </w:pPr>
            <w:r w:rsidRPr="00A86FA4">
              <w:rPr>
                <w:rFonts w:cs="Times New Roman"/>
                <w:sz w:val="20"/>
                <w:szCs w:val="20"/>
              </w:rPr>
              <w:t>T813039 - NPOO Unapr</w:t>
            </w:r>
            <w:r w:rsidR="00C05221">
              <w:rPr>
                <w:rFonts w:cs="Times New Roman"/>
                <w:sz w:val="20"/>
                <w:szCs w:val="20"/>
              </w:rPr>
              <w:t>j</w:t>
            </w:r>
            <w:r w:rsidRPr="00A86FA4">
              <w:rPr>
                <w:rFonts w:cs="Times New Roman"/>
                <w:sz w:val="20"/>
                <w:szCs w:val="20"/>
              </w:rPr>
              <w:t>eđenje mjera zapošljavanja i pravnog okvira za moderno tržište rada i gospodarstvo budućnosti</w:t>
            </w:r>
          </w:p>
          <w:p w14:paraId="0CCABCE0" w14:textId="77777777" w:rsidR="008C00C5" w:rsidRPr="00A86FA4" w:rsidRDefault="008C00C5" w:rsidP="00C05221">
            <w:pPr>
              <w:spacing w:line="276" w:lineRule="auto"/>
              <w:jc w:val="center"/>
              <w:rPr>
                <w:rFonts w:cs="Times New Roman"/>
                <w:sz w:val="20"/>
                <w:szCs w:val="20"/>
              </w:rPr>
            </w:pPr>
          </w:p>
          <w:p w14:paraId="704BC475" w14:textId="40F4C1C5" w:rsidR="00FF08AC" w:rsidRPr="00A86FA4" w:rsidRDefault="00FF08AC" w:rsidP="00C05221">
            <w:pPr>
              <w:jc w:val="center"/>
              <w:rPr>
                <w:sz w:val="20"/>
                <w:szCs w:val="20"/>
              </w:rPr>
            </w:pPr>
            <w:r w:rsidRPr="00A86FA4">
              <w:rPr>
                <w:sz w:val="20"/>
                <w:szCs w:val="20"/>
              </w:rPr>
              <w:t>Osobe romske nacionalne manjine mogu se uključivati i u mjere aktivne politike zapošljavanja koje se financiraju</w:t>
            </w:r>
            <w:r w:rsidR="002F7831">
              <w:rPr>
                <w:sz w:val="20"/>
                <w:szCs w:val="20"/>
              </w:rPr>
              <w:t xml:space="preserve"> </w:t>
            </w:r>
            <w:r w:rsidRPr="00A86FA4">
              <w:rPr>
                <w:sz w:val="20"/>
                <w:szCs w:val="20"/>
              </w:rPr>
              <w:t>iz NPOO-a -Unaprjeđenje mjera zapošljavanja i pravnog okvira za moderno tržište rada i gospodarstvo budućnosti te nije moguće prikazati financijski utrošak za osobe romske nacionalne manjine.</w:t>
            </w:r>
          </w:p>
          <w:p w14:paraId="65353C61" w14:textId="7D96DD1C" w:rsidR="008C00C5" w:rsidRPr="00A86FA4" w:rsidRDefault="00FF08AC" w:rsidP="00C05221">
            <w:pPr>
              <w:spacing w:line="276" w:lineRule="auto"/>
              <w:jc w:val="center"/>
              <w:rPr>
                <w:rFonts w:cs="Times New Roman"/>
                <w:sz w:val="20"/>
                <w:szCs w:val="20"/>
              </w:rPr>
            </w:pPr>
            <w:r w:rsidRPr="00A86FA4">
              <w:rPr>
                <w:sz w:val="20"/>
                <w:szCs w:val="20"/>
              </w:rPr>
              <w:t>Ukupno utrošena financijska sredstva u 2024. godini iznosila su 24.014.059,82 EUR od toga 8.130.366,20 EUR za potpore za zapošljavanje zeleno/digitalno i potpore pripravništvo zeleno/digitalno.</w:t>
            </w:r>
          </w:p>
        </w:tc>
      </w:tr>
      <w:tr w:rsidR="008C00C5" w:rsidRPr="00CE622A" w14:paraId="4F86B46E" w14:textId="77777777" w:rsidTr="005D72D8">
        <w:trPr>
          <w:trHeight w:val="324"/>
        </w:trPr>
        <w:tc>
          <w:tcPr>
            <w:tcW w:w="1092" w:type="pct"/>
            <w:shd w:val="clear" w:color="auto" w:fill="F2F2F2" w:themeFill="background1" w:themeFillShade="F2"/>
            <w:vAlign w:val="center"/>
          </w:tcPr>
          <w:p w14:paraId="1033DCC1" w14:textId="4D1F3866" w:rsidR="008C00C5" w:rsidRPr="00A86FA4" w:rsidRDefault="008C00C5" w:rsidP="008C00C5">
            <w:pPr>
              <w:spacing w:line="276" w:lineRule="auto"/>
              <w:rPr>
                <w:rFonts w:cs="Times New Roman"/>
                <w:sz w:val="20"/>
                <w:szCs w:val="20"/>
              </w:rPr>
            </w:pPr>
            <w:r w:rsidRPr="00A86FA4">
              <w:rPr>
                <w:rFonts w:cs="Times New Roman"/>
                <w:sz w:val="20"/>
                <w:szCs w:val="20"/>
              </w:rPr>
              <w:t>ROK PROVEDBE AKTIVNOSTI</w:t>
            </w:r>
          </w:p>
        </w:tc>
        <w:tc>
          <w:tcPr>
            <w:tcW w:w="3908" w:type="pct"/>
            <w:gridSpan w:val="3"/>
            <w:vAlign w:val="center"/>
          </w:tcPr>
          <w:p w14:paraId="30A89C73" w14:textId="77777777" w:rsidR="008C00C5" w:rsidRPr="00A86FA4" w:rsidRDefault="008C00C5" w:rsidP="008C00C5">
            <w:pPr>
              <w:spacing w:line="276" w:lineRule="auto"/>
              <w:rPr>
                <w:rFonts w:cs="Times New Roman"/>
                <w:sz w:val="20"/>
                <w:szCs w:val="20"/>
              </w:rPr>
            </w:pPr>
            <w:r w:rsidRPr="00A86FA4">
              <w:rPr>
                <w:rFonts w:cs="Times New Roman"/>
                <w:sz w:val="20"/>
                <w:szCs w:val="20"/>
              </w:rPr>
              <w:t xml:space="preserve">IV. kvartal 2025. </w:t>
            </w:r>
          </w:p>
        </w:tc>
      </w:tr>
    </w:tbl>
    <w:p w14:paraId="6030D228" w14:textId="77777777" w:rsidR="0029699C" w:rsidRPr="00CE622A" w:rsidRDefault="0029699C" w:rsidP="00D36147">
      <w:pPr>
        <w:spacing w:after="0" w:line="276" w:lineRule="auto"/>
        <w:jc w:val="both"/>
        <w:rPr>
          <w:rFonts w:cs="Times New Roman"/>
          <w:i/>
          <w:iCs/>
          <w:color w:val="FF0000"/>
          <w:szCs w:val="24"/>
        </w:rPr>
      </w:pPr>
      <w:bookmarkStart w:id="49" w:name="_Hlk164166112"/>
      <w:bookmarkEnd w:id="48"/>
    </w:p>
    <w:p w14:paraId="585C43DF" w14:textId="77777777" w:rsidR="00330FAE" w:rsidRPr="00CE622A" w:rsidRDefault="00330FAE">
      <w:pPr>
        <w:rPr>
          <w:rFonts w:cs="Times New Roman"/>
          <w:i/>
          <w:iCs/>
          <w:color w:val="FF0000"/>
          <w:szCs w:val="24"/>
        </w:rPr>
      </w:pPr>
      <w:r w:rsidRPr="00CE622A">
        <w:rPr>
          <w:rFonts w:cs="Times New Roman"/>
          <w:i/>
          <w:iCs/>
          <w:color w:val="FF0000"/>
          <w:szCs w:val="24"/>
        </w:rPr>
        <w:br w:type="page"/>
      </w:r>
    </w:p>
    <w:p w14:paraId="5B1F3F8C" w14:textId="6B132416" w:rsidR="00CA388F" w:rsidRPr="00A81FA5" w:rsidRDefault="009870E5" w:rsidP="00D36147">
      <w:pPr>
        <w:spacing w:after="0" w:line="276" w:lineRule="auto"/>
        <w:jc w:val="both"/>
        <w:rPr>
          <w:rFonts w:cs="Times New Roman"/>
          <w:i/>
          <w:iCs/>
          <w:szCs w:val="24"/>
        </w:rPr>
      </w:pPr>
      <w:r w:rsidRPr="00A81FA5">
        <w:rPr>
          <w:rFonts w:cs="Times New Roman"/>
          <w:i/>
          <w:iCs/>
          <w:szCs w:val="24"/>
        </w:rPr>
        <w:lastRenderedPageBreak/>
        <w:t xml:space="preserve">Aktivnost </w:t>
      </w:r>
      <w:r w:rsidR="0073254B" w:rsidRPr="00A81FA5">
        <w:rPr>
          <w:rFonts w:cs="Times New Roman"/>
          <w:i/>
          <w:iCs/>
          <w:szCs w:val="24"/>
        </w:rPr>
        <w:t>5</w:t>
      </w:r>
      <w:r w:rsidR="00AD0006" w:rsidRPr="00A81FA5">
        <w:rPr>
          <w:rFonts w:cs="Times New Roman"/>
          <w:i/>
          <w:iCs/>
          <w:szCs w:val="24"/>
        </w:rPr>
        <w:t>.1.5.</w:t>
      </w:r>
      <w:r w:rsidRPr="00A81FA5">
        <w:rPr>
          <w:rFonts w:cs="Times New Roman"/>
          <w:i/>
          <w:iCs/>
          <w:szCs w:val="24"/>
        </w:rPr>
        <w:t xml:space="preserve"> </w:t>
      </w:r>
      <w:r w:rsidR="00CA388F" w:rsidRPr="00A81FA5">
        <w:rPr>
          <w:rFonts w:cs="Times New Roman"/>
          <w:i/>
          <w:iCs/>
          <w:szCs w:val="24"/>
        </w:rPr>
        <w:t>Podrška samozapošljavanju</w:t>
      </w:r>
    </w:p>
    <w:p w14:paraId="344F0B9C" w14:textId="485AE07A" w:rsidR="00AD0006" w:rsidRPr="00A81FA5" w:rsidRDefault="00CA388F" w:rsidP="00D36147">
      <w:pPr>
        <w:spacing w:after="0" w:line="276" w:lineRule="auto"/>
        <w:jc w:val="both"/>
        <w:rPr>
          <w:rFonts w:cs="Times New Roman"/>
          <w:i/>
          <w:iCs/>
          <w:szCs w:val="24"/>
        </w:rPr>
      </w:pPr>
      <w:r w:rsidRPr="00A81FA5">
        <w:rPr>
          <w:rFonts w:cs="Times New Roman"/>
          <w:i/>
          <w:iCs/>
          <w:szCs w:val="24"/>
        </w:rPr>
        <w:t xml:space="preserve">Nositelj provedbe: </w:t>
      </w:r>
      <w:r w:rsidR="00AD0006" w:rsidRPr="00A81FA5">
        <w:rPr>
          <w:rFonts w:cs="Times New Roman"/>
          <w:i/>
          <w:iCs/>
          <w:szCs w:val="24"/>
        </w:rPr>
        <w:t>Hrvatski zavod za zapošljavanje</w:t>
      </w:r>
    </w:p>
    <w:p w14:paraId="2A90B784" w14:textId="77777777" w:rsidR="00E5482D" w:rsidRPr="00A81FA5" w:rsidRDefault="00E5482D" w:rsidP="00D36147">
      <w:pPr>
        <w:spacing w:after="0" w:line="276" w:lineRule="auto"/>
        <w:jc w:val="both"/>
        <w:rPr>
          <w:rFonts w:cs="Times New Roman"/>
          <w:i/>
          <w:iCs/>
          <w:szCs w:val="24"/>
        </w:rPr>
      </w:pPr>
    </w:p>
    <w:p w14:paraId="209ED49D" w14:textId="37B3C060" w:rsidR="00093942" w:rsidRPr="00A81FA5" w:rsidRDefault="00093942" w:rsidP="00D36147">
      <w:pPr>
        <w:spacing w:after="0" w:line="276" w:lineRule="auto"/>
        <w:jc w:val="both"/>
        <w:rPr>
          <w:rFonts w:cs="Times New Roman"/>
          <w:szCs w:val="24"/>
        </w:rPr>
      </w:pPr>
      <w:r w:rsidRPr="00A81FA5">
        <w:rPr>
          <w:rFonts w:cs="Times New Roman"/>
          <w:szCs w:val="24"/>
        </w:rPr>
        <w:t>Financijska podrška nezaposlenim osobama koje odluče pokrenuti vlastiti posao</w:t>
      </w:r>
      <w:r w:rsidR="001418C0" w:rsidRPr="00A81FA5">
        <w:rPr>
          <w:rFonts w:cs="Times New Roman"/>
          <w:szCs w:val="24"/>
        </w:rPr>
        <w:t xml:space="preserve"> m</w:t>
      </w:r>
      <w:r w:rsidRPr="00A81FA5">
        <w:rPr>
          <w:rFonts w:cs="Times New Roman"/>
          <w:szCs w:val="24"/>
        </w:rPr>
        <w:t>ože se dodijeliti nezaposlenoj osobi za pokrivanje troškova za osnivanje i započinjanje poslovanja poslovnog subjekta u sljedećim organizacijskim oblicima – obrt, trgovačko društvo, samostalna djelatnost i ustanova.</w:t>
      </w:r>
    </w:p>
    <w:p w14:paraId="084F5E6F" w14:textId="77777777" w:rsidR="00093942" w:rsidRPr="00A81FA5" w:rsidRDefault="00093942" w:rsidP="00D36147">
      <w:pPr>
        <w:spacing w:after="0" w:line="276" w:lineRule="auto"/>
        <w:jc w:val="both"/>
        <w:rPr>
          <w:rFonts w:cs="Times New Roman"/>
          <w:szCs w:val="24"/>
        </w:rPr>
      </w:pPr>
      <w:r w:rsidRPr="00A81FA5">
        <w:rPr>
          <w:rFonts w:cs="Times New Roman"/>
          <w:szCs w:val="24"/>
        </w:rPr>
        <w:t>Naglasak je stavljen na podupiranje nedostajućih djelatnosti s visokim potencijalom bržeg rasta i novog zapošljavanja poput prerađivačke industrije, građevinarstva, uslužnih i tehničkih djelatnosti te posebice zelenih i digitalnih djelatnosti.</w:t>
      </w:r>
    </w:p>
    <w:p w14:paraId="6A2981B4" w14:textId="0CCCBECD" w:rsidR="00A40310" w:rsidRPr="00CE622A" w:rsidRDefault="0026220D" w:rsidP="00D36147">
      <w:pPr>
        <w:spacing w:after="0" w:line="276" w:lineRule="auto"/>
        <w:jc w:val="both"/>
        <w:rPr>
          <w:rFonts w:cs="Times New Roman"/>
          <w:color w:val="FF0000"/>
          <w:szCs w:val="24"/>
        </w:rPr>
      </w:pPr>
      <w:r w:rsidRPr="00A81FA5">
        <w:rPr>
          <w:szCs w:val="24"/>
        </w:rPr>
        <w:t xml:space="preserve">U 2024. </w:t>
      </w:r>
      <w:r w:rsidR="00C05221">
        <w:rPr>
          <w:szCs w:val="24"/>
        </w:rPr>
        <w:t xml:space="preserve">godini </w:t>
      </w:r>
      <w:r w:rsidRPr="00A81FA5">
        <w:rPr>
          <w:szCs w:val="24"/>
        </w:rPr>
        <w:t xml:space="preserve">ukupno je 9 novouključenih osoba koristilo </w:t>
      </w:r>
      <w:r w:rsidRPr="008B61ED">
        <w:rPr>
          <w:szCs w:val="24"/>
        </w:rPr>
        <w:t>mjeru samozapošljavanja, od čega je 6 žena</w:t>
      </w:r>
      <w:r w:rsidR="00A81FA5">
        <w:rPr>
          <w:szCs w:val="24"/>
        </w:rPr>
        <w:t>,</w:t>
      </w:r>
      <w:r w:rsidRPr="008B61ED">
        <w:rPr>
          <w:szCs w:val="24"/>
        </w:rPr>
        <w:t xml:space="preserve"> dok je u 2023.</w:t>
      </w:r>
      <w:r w:rsidR="00C05221">
        <w:rPr>
          <w:szCs w:val="24"/>
        </w:rPr>
        <w:t xml:space="preserve"> godini</w:t>
      </w:r>
      <w:r w:rsidRPr="008B61ED">
        <w:rPr>
          <w:szCs w:val="24"/>
        </w:rPr>
        <w:t xml:space="preserve"> mjeru koristilo 7 osoba</w:t>
      </w:r>
      <w:r w:rsidR="00C05221">
        <w:rPr>
          <w:szCs w:val="24"/>
        </w:rPr>
        <w:t>.</w:t>
      </w:r>
    </w:p>
    <w:p w14:paraId="7014DB90" w14:textId="77777777" w:rsidR="00476080" w:rsidRPr="00FC64BF" w:rsidRDefault="00476080" w:rsidP="004A3B23">
      <w:pPr>
        <w:spacing w:after="0" w:line="276" w:lineRule="auto"/>
        <w:jc w:val="both"/>
        <w:rPr>
          <w:rFonts w:cs="Times New Roman"/>
          <w:szCs w:val="24"/>
        </w:rPr>
      </w:pPr>
    </w:p>
    <w:tbl>
      <w:tblPr>
        <w:tblStyle w:val="TableGrid"/>
        <w:tblW w:w="5000" w:type="pct"/>
        <w:tblLook w:val="04A0" w:firstRow="1" w:lastRow="0" w:firstColumn="1" w:lastColumn="0" w:noHBand="0" w:noVBand="1"/>
      </w:tblPr>
      <w:tblGrid>
        <w:gridCol w:w="2111"/>
        <w:gridCol w:w="2541"/>
        <w:gridCol w:w="2683"/>
        <w:gridCol w:w="1727"/>
      </w:tblGrid>
      <w:tr w:rsidR="00CE622A" w:rsidRPr="007B7788" w14:paraId="288E6910" w14:textId="77777777" w:rsidTr="00D36147">
        <w:trPr>
          <w:trHeight w:val="606"/>
        </w:trPr>
        <w:tc>
          <w:tcPr>
            <w:tcW w:w="1249" w:type="pct"/>
            <w:shd w:val="clear" w:color="auto" w:fill="F2F2F2" w:themeFill="background1" w:themeFillShade="F2"/>
            <w:vAlign w:val="center"/>
          </w:tcPr>
          <w:p w14:paraId="56AFD7F3" w14:textId="77777777" w:rsidR="00476080" w:rsidRPr="00A86FA4" w:rsidRDefault="00476080" w:rsidP="00D36147">
            <w:pPr>
              <w:spacing w:line="276" w:lineRule="auto"/>
              <w:rPr>
                <w:rFonts w:cs="Times New Roman"/>
                <w:b/>
                <w:sz w:val="20"/>
                <w:szCs w:val="20"/>
              </w:rPr>
            </w:pPr>
            <w:r w:rsidRPr="00A86FA4">
              <w:rPr>
                <w:rFonts w:cs="Times New Roman"/>
                <w:b/>
                <w:sz w:val="20"/>
                <w:szCs w:val="20"/>
              </w:rPr>
              <w:t>Pokazatelji provedbe i pokazatelji uspješnosti provedbe</w:t>
            </w:r>
          </w:p>
        </w:tc>
        <w:tc>
          <w:tcPr>
            <w:tcW w:w="1486" w:type="pct"/>
            <w:shd w:val="clear" w:color="auto" w:fill="F2F2F2" w:themeFill="background1" w:themeFillShade="F2"/>
            <w:vAlign w:val="center"/>
          </w:tcPr>
          <w:p w14:paraId="535BF9E1" w14:textId="42ED9D87" w:rsidR="00476080" w:rsidRPr="00A86FA4" w:rsidRDefault="00476080" w:rsidP="00D36147">
            <w:pPr>
              <w:spacing w:line="276" w:lineRule="auto"/>
              <w:jc w:val="center"/>
              <w:rPr>
                <w:rFonts w:eastAsia="Calibri" w:cs="Times New Roman"/>
                <w:b/>
                <w:strike/>
                <w:sz w:val="20"/>
                <w:szCs w:val="20"/>
              </w:rPr>
            </w:pPr>
            <w:r w:rsidRPr="00A86FA4">
              <w:rPr>
                <w:rFonts w:eastAsia="Calibri" w:cs="Times New Roman"/>
                <w:b/>
                <w:sz w:val="20"/>
                <w:szCs w:val="20"/>
              </w:rPr>
              <w:t>Broj novih poslovnih subjekata</w:t>
            </w:r>
          </w:p>
        </w:tc>
        <w:tc>
          <w:tcPr>
            <w:tcW w:w="1564" w:type="pct"/>
            <w:shd w:val="clear" w:color="auto" w:fill="F2F2F2" w:themeFill="background1" w:themeFillShade="F2"/>
            <w:vAlign w:val="center"/>
          </w:tcPr>
          <w:p w14:paraId="0651656C" w14:textId="7DF45E21" w:rsidR="00476080" w:rsidRPr="00A86FA4" w:rsidRDefault="00476080" w:rsidP="00D36147">
            <w:pPr>
              <w:spacing w:line="276" w:lineRule="auto"/>
              <w:jc w:val="center"/>
              <w:rPr>
                <w:rFonts w:cs="Times New Roman"/>
                <w:b/>
                <w:sz w:val="20"/>
                <w:szCs w:val="20"/>
              </w:rPr>
            </w:pPr>
          </w:p>
        </w:tc>
        <w:tc>
          <w:tcPr>
            <w:tcW w:w="701" w:type="pct"/>
            <w:shd w:val="clear" w:color="auto" w:fill="F2F2F2" w:themeFill="background1" w:themeFillShade="F2"/>
            <w:vAlign w:val="center"/>
          </w:tcPr>
          <w:p w14:paraId="7BACA04B" w14:textId="77777777" w:rsidR="00476080" w:rsidRPr="00A86FA4" w:rsidRDefault="00476080" w:rsidP="00D36147">
            <w:pPr>
              <w:spacing w:line="276" w:lineRule="auto"/>
              <w:jc w:val="center"/>
              <w:rPr>
                <w:rFonts w:cs="Times New Roman"/>
                <w:b/>
                <w:sz w:val="20"/>
                <w:szCs w:val="20"/>
              </w:rPr>
            </w:pPr>
          </w:p>
        </w:tc>
      </w:tr>
      <w:tr w:rsidR="00CE622A" w:rsidRPr="007B7788" w14:paraId="6CABF17C" w14:textId="77777777" w:rsidTr="00D36147">
        <w:tc>
          <w:tcPr>
            <w:tcW w:w="1249" w:type="pct"/>
            <w:shd w:val="clear" w:color="auto" w:fill="F2F2F2" w:themeFill="background1" w:themeFillShade="F2"/>
            <w:vAlign w:val="center"/>
          </w:tcPr>
          <w:p w14:paraId="7A61628D" w14:textId="5020B610" w:rsidR="00476080" w:rsidRPr="00A86FA4" w:rsidRDefault="00476080" w:rsidP="0061594B">
            <w:pPr>
              <w:spacing w:line="276" w:lineRule="auto"/>
              <w:rPr>
                <w:rFonts w:cs="Times New Roman"/>
                <w:sz w:val="20"/>
                <w:szCs w:val="20"/>
              </w:rPr>
            </w:pPr>
            <w:r w:rsidRPr="00A86FA4">
              <w:rPr>
                <w:rFonts w:cs="Times New Roman"/>
                <w:sz w:val="20"/>
                <w:szCs w:val="20"/>
              </w:rPr>
              <w:t>Planirani ishodi za pokazatelje provedbe u 202</w:t>
            </w:r>
            <w:r w:rsidR="0026220D" w:rsidRPr="00A86FA4">
              <w:rPr>
                <w:rFonts w:cs="Times New Roman"/>
                <w:sz w:val="20"/>
                <w:szCs w:val="20"/>
              </w:rPr>
              <w:t>4</w:t>
            </w:r>
            <w:r w:rsidRPr="00A86FA4">
              <w:rPr>
                <w:rFonts w:cs="Times New Roman"/>
                <w:sz w:val="20"/>
                <w:szCs w:val="20"/>
              </w:rPr>
              <w:t>.</w:t>
            </w:r>
          </w:p>
        </w:tc>
        <w:tc>
          <w:tcPr>
            <w:tcW w:w="1486" w:type="pct"/>
            <w:vAlign w:val="center"/>
          </w:tcPr>
          <w:p w14:paraId="050EAFF7" w14:textId="47F5354F" w:rsidR="00476080" w:rsidRPr="00A86FA4" w:rsidRDefault="00476080" w:rsidP="0026220D">
            <w:pPr>
              <w:spacing w:line="276" w:lineRule="auto"/>
              <w:jc w:val="center"/>
              <w:rPr>
                <w:rFonts w:cs="Times New Roman"/>
                <w:sz w:val="20"/>
                <w:szCs w:val="20"/>
              </w:rPr>
            </w:pPr>
            <w:r w:rsidRPr="00A86FA4">
              <w:rPr>
                <w:rFonts w:cs="Times New Roman"/>
                <w:sz w:val="20"/>
                <w:szCs w:val="20"/>
              </w:rPr>
              <w:t>1</w:t>
            </w:r>
            <w:r w:rsidR="0026220D" w:rsidRPr="00A86FA4">
              <w:rPr>
                <w:rFonts w:cs="Times New Roman"/>
                <w:sz w:val="20"/>
                <w:szCs w:val="20"/>
              </w:rPr>
              <w:t>2</w:t>
            </w:r>
          </w:p>
        </w:tc>
        <w:tc>
          <w:tcPr>
            <w:tcW w:w="1564" w:type="pct"/>
            <w:vAlign w:val="center"/>
          </w:tcPr>
          <w:p w14:paraId="1F814A35" w14:textId="09F9EADD" w:rsidR="00476080" w:rsidRPr="00A86FA4" w:rsidRDefault="00476080" w:rsidP="00D36147">
            <w:pPr>
              <w:spacing w:line="276" w:lineRule="auto"/>
              <w:jc w:val="center"/>
              <w:rPr>
                <w:rFonts w:cs="Times New Roman"/>
                <w:sz w:val="20"/>
                <w:szCs w:val="20"/>
              </w:rPr>
            </w:pPr>
          </w:p>
        </w:tc>
        <w:tc>
          <w:tcPr>
            <w:tcW w:w="701" w:type="pct"/>
            <w:vAlign w:val="center"/>
          </w:tcPr>
          <w:p w14:paraId="3E08A4ED" w14:textId="77777777" w:rsidR="00476080" w:rsidRPr="00A86FA4" w:rsidRDefault="00476080" w:rsidP="00D36147">
            <w:pPr>
              <w:spacing w:line="276" w:lineRule="auto"/>
              <w:jc w:val="center"/>
              <w:rPr>
                <w:rFonts w:cs="Times New Roman"/>
                <w:sz w:val="20"/>
                <w:szCs w:val="20"/>
              </w:rPr>
            </w:pPr>
          </w:p>
        </w:tc>
      </w:tr>
      <w:tr w:rsidR="00CE622A" w:rsidRPr="007B7788" w14:paraId="6CF19EC0" w14:textId="77777777" w:rsidTr="00D36147">
        <w:tc>
          <w:tcPr>
            <w:tcW w:w="1249" w:type="pct"/>
            <w:shd w:val="clear" w:color="auto" w:fill="F2F2F2" w:themeFill="background1" w:themeFillShade="F2"/>
            <w:vAlign w:val="center"/>
          </w:tcPr>
          <w:p w14:paraId="1B5C16A3" w14:textId="11F55377" w:rsidR="00476080" w:rsidRPr="00A86FA4" w:rsidRDefault="00476080" w:rsidP="0061594B">
            <w:pPr>
              <w:spacing w:line="276" w:lineRule="auto"/>
              <w:rPr>
                <w:rFonts w:cs="Times New Roman"/>
                <w:sz w:val="20"/>
                <w:szCs w:val="20"/>
              </w:rPr>
            </w:pPr>
            <w:r w:rsidRPr="00A86FA4">
              <w:rPr>
                <w:rFonts w:cs="Times New Roman"/>
                <w:sz w:val="20"/>
                <w:szCs w:val="20"/>
              </w:rPr>
              <w:t>Ostvareni ishodi za pokazatelje provedbe u 202</w:t>
            </w:r>
            <w:r w:rsidR="0026220D" w:rsidRPr="00A86FA4">
              <w:rPr>
                <w:rFonts w:cs="Times New Roman"/>
                <w:sz w:val="20"/>
                <w:szCs w:val="20"/>
              </w:rPr>
              <w:t>4</w:t>
            </w:r>
            <w:r w:rsidRPr="00A86FA4">
              <w:rPr>
                <w:rFonts w:cs="Times New Roman"/>
                <w:sz w:val="20"/>
                <w:szCs w:val="20"/>
              </w:rPr>
              <w:t>.</w:t>
            </w:r>
          </w:p>
        </w:tc>
        <w:tc>
          <w:tcPr>
            <w:tcW w:w="1486" w:type="pct"/>
            <w:vAlign w:val="center"/>
          </w:tcPr>
          <w:p w14:paraId="36DD36F8" w14:textId="2E294098" w:rsidR="00476080" w:rsidRPr="00A86FA4" w:rsidRDefault="0026220D" w:rsidP="00D36147">
            <w:pPr>
              <w:spacing w:line="276" w:lineRule="auto"/>
              <w:jc w:val="center"/>
              <w:rPr>
                <w:rFonts w:cs="Times New Roman"/>
                <w:sz w:val="20"/>
                <w:szCs w:val="20"/>
              </w:rPr>
            </w:pPr>
            <w:r w:rsidRPr="00A86FA4">
              <w:rPr>
                <w:rFonts w:cs="Times New Roman"/>
                <w:sz w:val="20"/>
                <w:szCs w:val="20"/>
              </w:rPr>
              <w:t>9</w:t>
            </w:r>
            <w:r w:rsidR="00FE6954" w:rsidRPr="00A86FA4">
              <w:rPr>
                <w:rFonts w:cs="Times New Roman"/>
                <w:sz w:val="20"/>
                <w:szCs w:val="20"/>
              </w:rPr>
              <w:t xml:space="preserve"> (6ž)</w:t>
            </w:r>
          </w:p>
        </w:tc>
        <w:tc>
          <w:tcPr>
            <w:tcW w:w="1564" w:type="pct"/>
            <w:vAlign w:val="center"/>
          </w:tcPr>
          <w:p w14:paraId="5F929412" w14:textId="53B3D017" w:rsidR="00476080" w:rsidRPr="00A86FA4" w:rsidRDefault="00476080" w:rsidP="00D36147">
            <w:pPr>
              <w:spacing w:line="276" w:lineRule="auto"/>
              <w:jc w:val="center"/>
              <w:rPr>
                <w:rFonts w:cs="Times New Roman"/>
                <w:sz w:val="20"/>
                <w:szCs w:val="20"/>
              </w:rPr>
            </w:pPr>
          </w:p>
        </w:tc>
        <w:tc>
          <w:tcPr>
            <w:tcW w:w="701" w:type="pct"/>
            <w:vAlign w:val="center"/>
          </w:tcPr>
          <w:p w14:paraId="1547576D" w14:textId="77777777" w:rsidR="00476080" w:rsidRPr="00A86FA4" w:rsidRDefault="00476080" w:rsidP="00D36147">
            <w:pPr>
              <w:spacing w:line="276" w:lineRule="auto"/>
              <w:jc w:val="center"/>
              <w:rPr>
                <w:rFonts w:eastAsia="Calibri" w:cs="Times New Roman"/>
                <w:b/>
                <w:sz w:val="20"/>
                <w:szCs w:val="20"/>
              </w:rPr>
            </w:pPr>
          </w:p>
        </w:tc>
      </w:tr>
      <w:tr w:rsidR="007B7788" w:rsidRPr="007B7788" w14:paraId="746E5041" w14:textId="77777777" w:rsidTr="00D36147">
        <w:tc>
          <w:tcPr>
            <w:tcW w:w="1249" w:type="pct"/>
            <w:shd w:val="clear" w:color="auto" w:fill="F2F2F2" w:themeFill="background1" w:themeFillShade="F2"/>
            <w:vAlign w:val="center"/>
          </w:tcPr>
          <w:p w14:paraId="0C6427C3" w14:textId="77777777" w:rsidR="00476080" w:rsidRPr="00A86FA4" w:rsidRDefault="00476080" w:rsidP="004A3B23">
            <w:pPr>
              <w:spacing w:line="276" w:lineRule="auto"/>
              <w:rPr>
                <w:rFonts w:cs="Times New Roman"/>
                <w:b/>
                <w:sz w:val="20"/>
                <w:szCs w:val="20"/>
              </w:rPr>
            </w:pPr>
            <w:r w:rsidRPr="00A86FA4">
              <w:rPr>
                <w:rFonts w:cs="Times New Roman"/>
                <w:b/>
                <w:sz w:val="20"/>
                <w:szCs w:val="20"/>
              </w:rPr>
              <w:t xml:space="preserve">IZVORI FINANCIRANJA </w:t>
            </w:r>
          </w:p>
        </w:tc>
        <w:tc>
          <w:tcPr>
            <w:tcW w:w="1486" w:type="pct"/>
            <w:vAlign w:val="center"/>
          </w:tcPr>
          <w:p w14:paraId="795608A0" w14:textId="77777777" w:rsidR="00476080" w:rsidRPr="00A86FA4" w:rsidRDefault="00476080" w:rsidP="00D36147">
            <w:pPr>
              <w:spacing w:line="276" w:lineRule="auto"/>
              <w:jc w:val="center"/>
              <w:rPr>
                <w:rFonts w:cs="Times New Roman"/>
                <w:b/>
                <w:sz w:val="20"/>
                <w:szCs w:val="20"/>
              </w:rPr>
            </w:pPr>
            <w:r w:rsidRPr="00A86FA4">
              <w:rPr>
                <w:rFonts w:cs="Times New Roman"/>
                <w:b/>
                <w:sz w:val="20"/>
                <w:szCs w:val="20"/>
              </w:rPr>
              <w:t>Državni proračun (EUR)</w:t>
            </w:r>
          </w:p>
        </w:tc>
        <w:tc>
          <w:tcPr>
            <w:tcW w:w="1564" w:type="pct"/>
            <w:vAlign w:val="center"/>
          </w:tcPr>
          <w:p w14:paraId="7495E971" w14:textId="77777777" w:rsidR="00476080" w:rsidRPr="00A86FA4" w:rsidRDefault="00476080" w:rsidP="00D36147">
            <w:pPr>
              <w:spacing w:line="276" w:lineRule="auto"/>
              <w:jc w:val="center"/>
              <w:rPr>
                <w:rFonts w:cs="Times New Roman"/>
                <w:b/>
                <w:sz w:val="20"/>
                <w:szCs w:val="20"/>
              </w:rPr>
            </w:pPr>
            <w:r w:rsidRPr="00A86FA4">
              <w:rPr>
                <w:rFonts w:cs="Times New Roman"/>
                <w:b/>
                <w:sz w:val="20"/>
                <w:szCs w:val="20"/>
              </w:rPr>
              <w:t>EU financiranje (EUR)</w:t>
            </w:r>
          </w:p>
        </w:tc>
        <w:tc>
          <w:tcPr>
            <w:tcW w:w="701" w:type="pct"/>
            <w:vAlign w:val="center"/>
          </w:tcPr>
          <w:p w14:paraId="3629960D" w14:textId="77777777" w:rsidR="00476080" w:rsidRPr="00A86FA4" w:rsidRDefault="00476080" w:rsidP="00D36147">
            <w:pPr>
              <w:spacing w:line="276" w:lineRule="auto"/>
              <w:jc w:val="center"/>
              <w:rPr>
                <w:rFonts w:cs="Times New Roman"/>
                <w:b/>
                <w:sz w:val="20"/>
                <w:szCs w:val="20"/>
              </w:rPr>
            </w:pPr>
            <w:r w:rsidRPr="00A86FA4">
              <w:rPr>
                <w:rFonts w:cs="Times New Roman"/>
                <w:b/>
                <w:sz w:val="20"/>
                <w:szCs w:val="20"/>
              </w:rPr>
              <w:t>Drugi izvori (EUR)</w:t>
            </w:r>
          </w:p>
        </w:tc>
      </w:tr>
      <w:tr w:rsidR="00CE622A" w:rsidRPr="007B7788" w14:paraId="0FBBE0F4" w14:textId="77777777" w:rsidTr="00D36147">
        <w:tc>
          <w:tcPr>
            <w:tcW w:w="1249" w:type="pct"/>
            <w:shd w:val="clear" w:color="auto" w:fill="F2F2F2" w:themeFill="background1" w:themeFillShade="F2"/>
            <w:vAlign w:val="center"/>
          </w:tcPr>
          <w:p w14:paraId="4709BE28" w14:textId="0B8FB2EF" w:rsidR="00476080" w:rsidRPr="00A86FA4" w:rsidRDefault="00476080" w:rsidP="0061594B">
            <w:pPr>
              <w:spacing w:line="276" w:lineRule="auto"/>
              <w:rPr>
                <w:rFonts w:cs="Times New Roman"/>
                <w:sz w:val="20"/>
                <w:szCs w:val="20"/>
              </w:rPr>
            </w:pPr>
            <w:r w:rsidRPr="00A86FA4">
              <w:rPr>
                <w:rFonts w:cs="Times New Roman"/>
                <w:sz w:val="20"/>
                <w:szCs w:val="20"/>
              </w:rPr>
              <w:t>Izvori financiranja u 202</w:t>
            </w:r>
            <w:r w:rsidR="007B7788" w:rsidRPr="00A86FA4">
              <w:rPr>
                <w:rFonts w:cs="Times New Roman"/>
                <w:sz w:val="20"/>
                <w:szCs w:val="20"/>
              </w:rPr>
              <w:t>4</w:t>
            </w:r>
            <w:r w:rsidRPr="00A86FA4">
              <w:rPr>
                <w:rFonts w:cs="Times New Roman"/>
                <w:sz w:val="20"/>
                <w:szCs w:val="20"/>
              </w:rPr>
              <w:t>. (proračunska pozicija i predviđeni iznos sredstava)</w:t>
            </w:r>
          </w:p>
        </w:tc>
        <w:tc>
          <w:tcPr>
            <w:tcW w:w="1486" w:type="pct"/>
            <w:vAlign w:val="center"/>
          </w:tcPr>
          <w:p w14:paraId="58C8AB89" w14:textId="77777777" w:rsidR="00476080" w:rsidRPr="00A86FA4" w:rsidRDefault="00476080" w:rsidP="00D36147">
            <w:pPr>
              <w:spacing w:line="276" w:lineRule="auto"/>
              <w:jc w:val="center"/>
              <w:rPr>
                <w:rFonts w:cs="Times New Roman"/>
                <w:sz w:val="20"/>
                <w:szCs w:val="20"/>
              </w:rPr>
            </w:pPr>
            <w:r w:rsidRPr="00A86FA4">
              <w:rPr>
                <w:rFonts w:cs="Times New Roman"/>
                <w:sz w:val="20"/>
                <w:szCs w:val="20"/>
              </w:rPr>
              <w:t>A689027 – Akcijski plan</w:t>
            </w:r>
          </w:p>
          <w:p w14:paraId="25698D59" w14:textId="77777777" w:rsidR="00476080" w:rsidRPr="00A86FA4" w:rsidRDefault="00476080" w:rsidP="00D36147">
            <w:pPr>
              <w:spacing w:line="276" w:lineRule="auto"/>
              <w:jc w:val="center"/>
              <w:rPr>
                <w:rFonts w:cs="Times New Roman"/>
                <w:sz w:val="20"/>
                <w:szCs w:val="20"/>
              </w:rPr>
            </w:pPr>
            <w:r w:rsidRPr="00A86FA4">
              <w:rPr>
                <w:rFonts w:cs="Times New Roman"/>
                <w:sz w:val="20"/>
                <w:szCs w:val="20"/>
              </w:rPr>
              <w:t>za uključivanje Roma -</w:t>
            </w:r>
          </w:p>
          <w:p w14:paraId="5F45169A" w14:textId="35914EFB" w:rsidR="007B7788" w:rsidRPr="00A86FA4" w:rsidRDefault="007B7788" w:rsidP="007B7788">
            <w:pPr>
              <w:spacing w:line="276" w:lineRule="auto"/>
              <w:jc w:val="center"/>
              <w:rPr>
                <w:rFonts w:cs="Times New Roman"/>
                <w:sz w:val="20"/>
                <w:szCs w:val="20"/>
              </w:rPr>
            </w:pPr>
            <w:r w:rsidRPr="00A86FA4">
              <w:rPr>
                <w:rFonts w:cs="Times New Roman"/>
                <w:sz w:val="20"/>
                <w:szCs w:val="20"/>
              </w:rPr>
              <w:t xml:space="preserve">i A689023 – Aktivna politika zapošljavanje </w:t>
            </w:r>
          </w:p>
          <w:p w14:paraId="7CABE215" w14:textId="4E540169" w:rsidR="00476080" w:rsidRPr="00A86FA4" w:rsidRDefault="00476080" w:rsidP="00D36147">
            <w:pPr>
              <w:spacing w:line="276" w:lineRule="auto"/>
              <w:jc w:val="center"/>
              <w:rPr>
                <w:rFonts w:cs="Times New Roman"/>
                <w:sz w:val="20"/>
                <w:szCs w:val="20"/>
              </w:rPr>
            </w:pPr>
          </w:p>
        </w:tc>
        <w:tc>
          <w:tcPr>
            <w:tcW w:w="1564" w:type="pct"/>
            <w:vAlign w:val="center"/>
          </w:tcPr>
          <w:p w14:paraId="690D39AF" w14:textId="77777777" w:rsidR="00476080" w:rsidRPr="00A86FA4" w:rsidRDefault="00476080" w:rsidP="00D36147">
            <w:pPr>
              <w:spacing w:line="276" w:lineRule="auto"/>
              <w:jc w:val="center"/>
              <w:rPr>
                <w:rFonts w:cs="Times New Roman"/>
                <w:sz w:val="20"/>
                <w:szCs w:val="20"/>
              </w:rPr>
            </w:pPr>
            <w:r w:rsidRPr="00A86FA4">
              <w:rPr>
                <w:rFonts w:cs="Times New Roman"/>
                <w:sz w:val="20"/>
                <w:szCs w:val="20"/>
              </w:rPr>
              <w:t>0,00</w:t>
            </w:r>
          </w:p>
        </w:tc>
        <w:tc>
          <w:tcPr>
            <w:tcW w:w="701" w:type="pct"/>
            <w:vAlign w:val="center"/>
          </w:tcPr>
          <w:p w14:paraId="3B6AEABB" w14:textId="77777777" w:rsidR="00476080" w:rsidRPr="00A86FA4" w:rsidRDefault="00476080" w:rsidP="00D36147">
            <w:pPr>
              <w:spacing w:line="276" w:lineRule="auto"/>
              <w:jc w:val="center"/>
              <w:rPr>
                <w:rFonts w:cs="Times New Roman"/>
                <w:sz w:val="20"/>
                <w:szCs w:val="20"/>
              </w:rPr>
            </w:pPr>
            <w:r w:rsidRPr="00A86FA4">
              <w:rPr>
                <w:rFonts w:cs="Times New Roman"/>
                <w:sz w:val="20"/>
                <w:szCs w:val="20"/>
              </w:rPr>
              <w:t>0,00</w:t>
            </w:r>
          </w:p>
        </w:tc>
      </w:tr>
      <w:tr w:rsidR="00CE622A" w:rsidRPr="007B7788" w14:paraId="064B6137" w14:textId="77777777" w:rsidTr="00D36147">
        <w:tc>
          <w:tcPr>
            <w:tcW w:w="1249" w:type="pct"/>
            <w:vMerge w:val="restart"/>
            <w:shd w:val="clear" w:color="auto" w:fill="F2F2F2" w:themeFill="background1" w:themeFillShade="F2"/>
            <w:vAlign w:val="center"/>
          </w:tcPr>
          <w:p w14:paraId="35B19C06" w14:textId="77777777" w:rsidR="00476080" w:rsidRPr="00A86FA4" w:rsidRDefault="00476080" w:rsidP="004A3B23">
            <w:pPr>
              <w:spacing w:line="276" w:lineRule="auto"/>
              <w:rPr>
                <w:rFonts w:cs="Times New Roman"/>
                <w:b/>
                <w:sz w:val="20"/>
                <w:szCs w:val="20"/>
              </w:rPr>
            </w:pPr>
            <w:r w:rsidRPr="00A86FA4">
              <w:rPr>
                <w:rFonts w:cs="Times New Roman"/>
                <w:b/>
                <w:sz w:val="20"/>
                <w:szCs w:val="20"/>
              </w:rPr>
              <w:t xml:space="preserve">UKUPNO UTROŠENA SREDSTVA PO IZVORU </w:t>
            </w:r>
          </w:p>
        </w:tc>
        <w:tc>
          <w:tcPr>
            <w:tcW w:w="1486" w:type="pct"/>
            <w:vAlign w:val="center"/>
          </w:tcPr>
          <w:p w14:paraId="79BB7289" w14:textId="77777777" w:rsidR="00476080" w:rsidRPr="00A86FA4" w:rsidRDefault="00476080" w:rsidP="00D36147">
            <w:pPr>
              <w:spacing w:line="276" w:lineRule="auto"/>
              <w:jc w:val="center"/>
              <w:rPr>
                <w:rFonts w:cs="Times New Roman"/>
                <w:b/>
                <w:sz w:val="20"/>
                <w:szCs w:val="20"/>
              </w:rPr>
            </w:pPr>
            <w:r w:rsidRPr="00A86FA4">
              <w:rPr>
                <w:rFonts w:cs="Times New Roman"/>
                <w:b/>
                <w:sz w:val="20"/>
                <w:szCs w:val="20"/>
              </w:rPr>
              <w:t>Državni proračun (EUR)</w:t>
            </w:r>
          </w:p>
        </w:tc>
        <w:tc>
          <w:tcPr>
            <w:tcW w:w="1564" w:type="pct"/>
            <w:vAlign w:val="center"/>
          </w:tcPr>
          <w:p w14:paraId="2725E23D" w14:textId="77777777" w:rsidR="00476080" w:rsidRPr="00A86FA4" w:rsidRDefault="00476080" w:rsidP="00D36147">
            <w:pPr>
              <w:spacing w:line="276" w:lineRule="auto"/>
              <w:jc w:val="center"/>
              <w:rPr>
                <w:rFonts w:cs="Times New Roman"/>
                <w:b/>
                <w:sz w:val="20"/>
                <w:szCs w:val="20"/>
              </w:rPr>
            </w:pPr>
            <w:r w:rsidRPr="00A86FA4">
              <w:rPr>
                <w:rFonts w:cs="Times New Roman"/>
                <w:b/>
                <w:sz w:val="20"/>
                <w:szCs w:val="20"/>
              </w:rPr>
              <w:t>EU financiranje (EUR)</w:t>
            </w:r>
          </w:p>
        </w:tc>
        <w:tc>
          <w:tcPr>
            <w:tcW w:w="701" w:type="pct"/>
            <w:vAlign w:val="center"/>
          </w:tcPr>
          <w:p w14:paraId="73650A5C" w14:textId="77777777" w:rsidR="00476080" w:rsidRPr="00A86FA4" w:rsidRDefault="00476080" w:rsidP="00D36147">
            <w:pPr>
              <w:spacing w:line="276" w:lineRule="auto"/>
              <w:jc w:val="center"/>
              <w:rPr>
                <w:rFonts w:cs="Times New Roman"/>
                <w:b/>
                <w:sz w:val="20"/>
                <w:szCs w:val="20"/>
              </w:rPr>
            </w:pPr>
            <w:r w:rsidRPr="00A86FA4">
              <w:rPr>
                <w:rFonts w:cs="Times New Roman"/>
                <w:b/>
                <w:sz w:val="20"/>
                <w:szCs w:val="20"/>
              </w:rPr>
              <w:t>Drugi izvori (EUR)</w:t>
            </w:r>
          </w:p>
        </w:tc>
      </w:tr>
      <w:tr w:rsidR="00CE622A" w:rsidRPr="007B7788" w14:paraId="0B71CF9A" w14:textId="77777777" w:rsidTr="00D36147">
        <w:tc>
          <w:tcPr>
            <w:tcW w:w="1249" w:type="pct"/>
            <w:vMerge/>
            <w:shd w:val="clear" w:color="auto" w:fill="F2F2F2" w:themeFill="background1" w:themeFillShade="F2"/>
            <w:vAlign w:val="center"/>
          </w:tcPr>
          <w:p w14:paraId="14DD1CC7" w14:textId="77777777" w:rsidR="00476080" w:rsidRPr="00A86FA4" w:rsidRDefault="00476080" w:rsidP="00D36147">
            <w:pPr>
              <w:spacing w:line="276" w:lineRule="auto"/>
              <w:rPr>
                <w:rFonts w:cs="Times New Roman"/>
                <w:b/>
                <w:sz w:val="20"/>
                <w:szCs w:val="20"/>
              </w:rPr>
            </w:pPr>
          </w:p>
        </w:tc>
        <w:tc>
          <w:tcPr>
            <w:tcW w:w="1486" w:type="pct"/>
            <w:vAlign w:val="center"/>
          </w:tcPr>
          <w:p w14:paraId="03435745" w14:textId="01B650FC" w:rsidR="00D71C1F" w:rsidRPr="00A86FA4" w:rsidRDefault="00D71C1F" w:rsidP="00C05221">
            <w:pPr>
              <w:spacing w:line="276" w:lineRule="auto"/>
              <w:jc w:val="center"/>
              <w:rPr>
                <w:rFonts w:eastAsia="Calibri" w:cs="Times New Roman"/>
                <w:sz w:val="20"/>
                <w:szCs w:val="20"/>
              </w:rPr>
            </w:pPr>
            <w:r w:rsidRPr="00A86FA4">
              <w:rPr>
                <w:rFonts w:eastAsia="Calibri" w:cs="Times New Roman"/>
                <w:sz w:val="20"/>
                <w:szCs w:val="20"/>
              </w:rPr>
              <w:t>A689023 – Aktivna politika zapošljavanj</w:t>
            </w:r>
            <w:r w:rsidR="00126AA5" w:rsidRPr="00A86FA4">
              <w:rPr>
                <w:rFonts w:eastAsia="Calibri" w:cs="Times New Roman"/>
                <w:sz w:val="20"/>
                <w:szCs w:val="20"/>
              </w:rPr>
              <w:t>a</w:t>
            </w:r>
          </w:p>
          <w:p w14:paraId="2CF24941" w14:textId="77777777" w:rsidR="00D71C1F" w:rsidRPr="00A86FA4" w:rsidRDefault="00D71C1F" w:rsidP="00C05221">
            <w:pPr>
              <w:spacing w:line="276" w:lineRule="auto"/>
              <w:jc w:val="center"/>
              <w:rPr>
                <w:rFonts w:eastAsia="Calibri" w:cs="Times New Roman"/>
                <w:sz w:val="20"/>
                <w:szCs w:val="20"/>
              </w:rPr>
            </w:pPr>
          </w:p>
          <w:p w14:paraId="49779FB3" w14:textId="4AB2943F" w:rsidR="00D71C1F" w:rsidRPr="00A86FA4" w:rsidRDefault="00D71C1F" w:rsidP="00C05221">
            <w:pPr>
              <w:spacing w:line="276" w:lineRule="auto"/>
              <w:jc w:val="center"/>
              <w:rPr>
                <w:rFonts w:eastAsia="Calibri" w:cs="Times New Roman"/>
                <w:iCs/>
                <w:sz w:val="20"/>
                <w:szCs w:val="20"/>
              </w:rPr>
            </w:pPr>
            <w:r w:rsidRPr="00A86FA4">
              <w:rPr>
                <w:rFonts w:eastAsia="Calibri" w:cs="Times New Roman"/>
                <w:iCs/>
                <w:sz w:val="20"/>
                <w:szCs w:val="20"/>
              </w:rPr>
              <w:t>Osobe romske nacionalne manjine mogu se uključivati i u mjere aktivne politike</w:t>
            </w:r>
            <w:r w:rsidR="004955EB" w:rsidRPr="00A86FA4">
              <w:rPr>
                <w:rFonts w:eastAsia="Calibri" w:cs="Times New Roman"/>
                <w:iCs/>
                <w:sz w:val="20"/>
                <w:szCs w:val="20"/>
              </w:rPr>
              <w:t xml:space="preserve"> </w:t>
            </w:r>
            <w:r w:rsidRPr="00A86FA4">
              <w:rPr>
                <w:rFonts w:eastAsia="Calibri" w:cs="Times New Roman"/>
                <w:iCs/>
                <w:sz w:val="20"/>
                <w:szCs w:val="20"/>
              </w:rPr>
              <w:t>zapošljavanja koje se financiraju iz Državnog proračuna te nije moguće prikazati financijski utrošak za osobe romske nacionalne manjine.</w:t>
            </w:r>
          </w:p>
          <w:p w14:paraId="4CFF31B2" w14:textId="77777777" w:rsidR="00D71C1F" w:rsidRPr="00A86FA4" w:rsidRDefault="00D71C1F" w:rsidP="00C05221">
            <w:pPr>
              <w:spacing w:line="276" w:lineRule="auto"/>
              <w:jc w:val="center"/>
              <w:rPr>
                <w:rFonts w:eastAsia="Calibri" w:cs="Times New Roman"/>
                <w:sz w:val="20"/>
                <w:szCs w:val="20"/>
              </w:rPr>
            </w:pPr>
          </w:p>
          <w:p w14:paraId="01A5AEB3" w14:textId="5B1325D5" w:rsidR="00476080" w:rsidRPr="00A86FA4" w:rsidRDefault="0026220D" w:rsidP="00C05221">
            <w:pPr>
              <w:spacing w:line="276" w:lineRule="auto"/>
              <w:jc w:val="center"/>
              <w:rPr>
                <w:rFonts w:eastAsia="Calibri" w:cs="Times New Roman"/>
                <w:sz w:val="20"/>
                <w:szCs w:val="20"/>
              </w:rPr>
            </w:pPr>
            <w:r w:rsidRPr="00A86FA4">
              <w:rPr>
                <w:sz w:val="20"/>
                <w:szCs w:val="20"/>
              </w:rPr>
              <w:t>Ukupno utrošena financijska sredstva u 2024. godini iznosila su 49.274.988,56 EUR od toga 9.863.106,28 EUR za potpore za samozapošljavanje</w:t>
            </w:r>
          </w:p>
        </w:tc>
        <w:tc>
          <w:tcPr>
            <w:tcW w:w="1564" w:type="pct"/>
            <w:vAlign w:val="center"/>
          </w:tcPr>
          <w:p w14:paraId="76F0E95D" w14:textId="515E68E8" w:rsidR="00D71C1F" w:rsidRPr="00A86FA4" w:rsidRDefault="00D71C1F" w:rsidP="00C05221">
            <w:pPr>
              <w:spacing w:line="276" w:lineRule="auto"/>
              <w:jc w:val="center"/>
              <w:rPr>
                <w:rFonts w:cs="Times New Roman"/>
                <w:bCs/>
                <w:sz w:val="20"/>
                <w:szCs w:val="20"/>
              </w:rPr>
            </w:pPr>
            <w:r w:rsidRPr="00A86FA4">
              <w:rPr>
                <w:rFonts w:cs="Times New Roman"/>
                <w:bCs/>
                <w:sz w:val="20"/>
                <w:szCs w:val="20"/>
              </w:rPr>
              <w:t>T689039</w:t>
            </w:r>
            <w:r w:rsidR="00AC0902" w:rsidRPr="00A86FA4">
              <w:rPr>
                <w:rFonts w:cs="Times New Roman"/>
                <w:bCs/>
                <w:sz w:val="20"/>
                <w:szCs w:val="20"/>
              </w:rPr>
              <w:t xml:space="preserve"> </w:t>
            </w:r>
            <w:r w:rsidRPr="00A86FA4">
              <w:rPr>
                <w:rFonts w:cs="Times New Roman"/>
                <w:bCs/>
                <w:sz w:val="20"/>
                <w:szCs w:val="20"/>
              </w:rPr>
              <w:t>-</w:t>
            </w:r>
            <w:r w:rsidR="00AC0902" w:rsidRPr="00A86FA4">
              <w:rPr>
                <w:rFonts w:cs="Times New Roman"/>
                <w:bCs/>
                <w:sz w:val="20"/>
                <w:szCs w:val="20"/>
              </w:rPr>
              <w:t xml:space="preserve"> </w:t>
            </w:r>
            <w:r w:rsidRPr="00A86FA4">
              <w:rPr>
                <w:rFonts w:cs="Times New Roman"/>
                <w:bCs/>
                <w:sz w:val="20"/>
                <w:szCs w:val="20"/>
              </w:rPr>
              <w:t>Operativni program Europski socijalni fond plus (ESF+)</w:t>
            </w:r>
          </w:p>
          <w:p w14:paraId="5964E075" w14:textId="77777777" w:rsidR="00D71C1F" w:rsidRPr="00A86FA4" w:rsidRDefault="00D71C1F" w:rsidP="00C05221">
            <w:pPr>
              <w:spacing w:line="276" w:lineRule="auto"/>
              <w:jc w:val="center"/>
              <w:rPr>
                <w:rFonts w:cs="Times New Roman"/>
                <w:bCs/>
                <w:sz w:val="20"/>
                <w:szCs w:val="20"/>
              </w:rPr>
            </w:pPr>
          </w:p>
          <w:p w14:paraId="13358A93" w14:textId="63D0B962" w:rsidR="00D71C1F" w:rsidRPr="00A86FA4" w:rsidRDefault="00D71C1F" w:rsidP="00C05221">
            <w:pPr>
              <w:spacing w:line="276" w:lineRule="auto"/>
              <w:jc w:val="center"/>
              <w:rPr>
                <w:rFonts w:cs="Times New Roman"/>
                <w:bCs/>
                <w:iCs/>
                <w:sz w:val="20"/>
                <w:szCs w:val="20"/>
              </w:rPr>
            </w:pPr>
            <w:r w:rsidRPr="00A86FA4">
              <w:rPr>
                <w:rFonts w:cs="Times New Roman"/>
                <w:bCs/>
                <w:iCs/>
                <w:sz w:val="20"/>
                <w:szCs w:val="20"/>
              </w:rPr>
              <w:t>Osobe romske nacionalne manjine mogu se uključivati i u mjere aktivne politike zapošljavanja koje se financiraju iz drugih izvora financiranja (Operativni program Europski socijalni fond plus (ESF+)) te nije moguće prikazati financijski utrošak za osobe romske nacionalne manjine koje su uključene u neku od mjera financiranih iz Operativnog programa.</w:t>
            </w:r>
          </w:p>
          <w:p w14:paraId="2EEA3CBE" w14:textId="77777777" w:rsidR="00D71C1F" w:rsidRPr="00A86FA4" w:rsidRDefault="00D71C1F" w:rsidP="00C05221">
            <w:pPr>
              <w:spacing w:line="276" w:lineRule="auto"/>
              <w:jc w:val="center"/>
              <w:rPr>
                <w:rFonts w:cs="Times New Roman"/>
                <w:bCs/>
                <w:sz w:val="20"/>
                <w:szCs w:val="20"/>
              </w:rPr>
            </w:pPr>
          </w:p>
          <w:p w14:paraId="4C2BC98A" w14:textId="61847899" w:rsidR="00476080" w:rsidRPr="00A86FA4" w:rsidRDefault="0026220D" w:rsidP="00C05221">
            <w:pPr>
              <w:spacing w:line="276" w:lineRule="auto"/>
              <w:jc w:val="center"/>
              <w:rPr>
                <w:rFonts w:cs="Times New Roman"/>
                <w:b/>
                <w:sz w:val="20"/>
                <w:szCs w:val="20"/>
              </w:rPr>
            </w:pPr>
            <w:r w:rsidRPr="00A86FA4">
              <w:rPr>
                <w:sz w:val="20"/>
                <w:szCs w:val="20"/>
              </w:rPr>
              <w:lastRenderedPageBreak/>
              <w:t>Ukupno utrošena financijska sredstva u 2024. godini iznosila su</w:t>
            </w:r>
            <w:r w:rsidR="002F7831">
              <w:rPr>
                <w:sz w:val="20"/>
                <w:szCs w:val="20"/>
              </w:rPr>
              <w:t xml:space="preserve"> </w:t>
            </w:r>
            <w:r w:rsidRPr="00A86FA4">
              <w:rPr>
                <w:sz w:val="20"/>
                <w:szCs w:val="20"/>
              </w:rPr>
              <w:t>106.673.085,18 EUR od toga</w:t>
            </w:r>
            <w:r w:rsidR="002F7831">
              <w:rPr>
                <w:sz w:val="20"/>
                <w:szCs w:val="20"/>
              </w:rPr>
              <w:t xml:space="preserve"> </w:t>
            </w:r>
            <w:r w:rsidRPr="00A86FA4">
              <w:rPr>
                <w:sz w:val="20"/>
                <w:szCs w:val="20"/>
              </w:rPr>
              <w:t>38.528.890,94 EUR za potpore za samozapošljavanje</w:t>
            </w:r>
          </w:p>
        </w:tc>
        <w:tc>
          <w:tcPr>
            <w:tcW w:w="701" w:type="pct"/>
            <w:vAlign w:val="center"/>
          </w:tcPr>
          <w:p w14:paraId="3C293092" w14:textId="77777777" w:rsidR="0026220D" w:rsidRPr="00A86FA4" w:rsidRDefault="0026220D" w:rsidP="00C05221">
            <w:pPr>
              <w:jc w:val="center"/>
              <w:rPr>
                <w:sz w:val="20"/>
                <w:szCs w:val="20"/>
              </w:rPr>
            </w:pPr>
            <w:r w:rsidRPr="00A86FA4">
              <w:rPr>
                <w:sz w:val="20"/>
                <w:szCs w:val="20"/>
              </w:rPr>
              <w:lastRenderedPageBreak/>
              <w:t>T813039 –</w:t>
            </w:r>
          </w:p>
          <w:p w14:paraId="13392B41" w14:textId="25C068E2" w:rsidR="0026220D" w:rsidRPr="00A86FA4" w:rsidRDefault="0026220D" w:rsidP="00C05221">
            <w:pPr>
              <w:jc w:val="center"/>
              <w:rPr>
                <w:sz w:val="20"/>
                <w:szCs w:val="20"/>
              </w:rPr>
            </w:pPr>
            <w:r w:rsidRPr="00A86FA4">
              <w:rPr>
                <w:sz w:val="20"/>
                <w:szCs w:val="20"/>
              </w:rPr>
              <w:t>Unaprjeđenje mjera zapošljavanja i pravnog okvira za moderno tržište rada i gospodarstvo budućnosti –NPOO</w:t>
            </w:r>
          </w:p>
          <w:p w14:paraId="133D2AC4" w14:textId="77777777" w:rsidR="0026220D" w:rsidRPr="00A86FA4" w:rsidRDefault="0026220D" w:rsidP="00C05221">
            <w:pPr>
              <w:jc w:val="center"/>
              <w:rPr>
                <w:sz w:val="20"/>
                <w:szCs w:val="20"/>
              </w:rPr>
            </w:pPr>
          </w:p>
          <w:p w14:paraId="2C9E65FD" w14:textId="2669A3B1" w:rsidR="0026220D" w:rsidRPr="00A86FA4" w:rsidRDefault="0026220D" w:rsidP="00C05221">
            <w:pPr>
              <w:jc w:val="center"/>
              <w:rPr>
                <w:sz w:val="20"/>
                <w:szCs w:val="20"/>
              </w:rPr>
            </w:pPr>
            <w:r w:rsidRPr="00A86FA4">
              <w:rPr>
                <w:sz w:val="20"/>
                <w:szCs w:val="20"/>
              </w:rPr>
              <w:t>Osobe romske nacionalne manjine mogu se uključivati i u mjere aktivne politike zapošljavanja koje se financiraju</w:t>
            </w:r>
            <w:r w:rsidR="002F7831">
              <w:rPr>
                <w:sz w:val="20"/>
                <w:szCs w:val="20"/>
              </w:rPr>
              <w:t xml:space="preserve"> </w:t>
            </w:r>
            <w:r w:rsidRPr="00A86FA4">
              <w:rPr>
                <w:sz w:val="20"/>
                <w:szCs w:val="20"/>
              </w:rPr>
              <w:t xml:space="preserve">iz NPOO-a -Unaprijeđenije </w:t>
            </w:r>
            <w:r w:rsidRPr="00A86FA4">
              <w:rPr>
                <w:sz w:val="20"/>
                <w:szCs w:val="20"/>
              </w:rPr>
              <w:lastRenderedPageBreak/>
              <w:t>mjera zapošljavanja i pravnog okvira za moderno tržište rada i gospodarstvo budućnosti te nije moguće prikazati financijski utrošak za osobe romske nacionalne manjine.</w:t>
            </w:r>
          </w:p>
          <w:p w14:paraId="53BB6B02" w14:textId="32135EE6" w:rsidR="0026220D" w:rsidRPr="00A86FA4" w:rsidRDefault="0026220D" w:rsidP="00C05221">
            <w:pPr>
              <w:jc w:val="center"/>
              <w:rPr>
                <w:sz w:val="20"/>
                <w:szCs w:val="20"/>
              </w:rPr>
            </w:pPr>
            <w:r w:rsidRPr="00A86FA4">
              <w:rPr>
                <w:sz w:val="20"/>
                <w:szCs w:val="20"/>
              </w:rPr>
              <w:t>Ukupno utrošena financijska sredstva</w:t>
            </w:r>
            <w:r w:rsidR="002F7831">
              <w:rPr>
                <w:sz w:val="20"/>
                <w:szCs w:val="20"/>
              </w:rPr>
              <w:t xml:space="preserve"> </w:t>
            </w:r>
            <w:r w:rsidRPr="00A86FA4">
              <w:rPr>
                <w:sz w:val="20"/>
                <w:szCs w:val="20"/>
              </w:rPr>
              <w:t>u 2024. godini iznosila su</w:t>
            </w:r>
            <w:r w:rsidR="002F7831">
              <w:rPr>
                <w:sz w:val="20"/>
                <w:szCs w:val="20"/>
              </w:rPr>
              <w:t xml:space="preserve"> </w:t>
            </w:r>
            <w:r w:rsidRPr="00A86FA4">
              <w:rPr>
                <w:sz w:val="20"/>
                <w:szCs w:val="20"/>
              </w:rPr>
              <w:t>24.014.059,82 EUR</w:t>
            </w:r>
          </w:p>
          <w:p w14:paraId="58050C3C" w14:textId="2C2C64D0" w:rsidR="0026220D" w:rsidRPr="00A86FA4" w:rsidRDefault="0026220D" w:rsidP="00C05221">
            <w:pPr>
              <w:jc w:val="center"/>
              <w:rPr>
                <w:sz w:val="20"/>
                <w:szCs w:val="20"/>
              </w:rPr>
            </w:pPr>
            <w:r w:rsidRPr="00A86FA4">
              <w:rPr>
                <w:sz w:val="20"/>
                <w:szCs w:val="20"/>
              </w:rPr>
              <w:t>od toga</w:t>
            </w:r>
            <w:r w:rsidR="002F7831">
              <w:rPr>
                <w:sz w:val="20"/>
                <w:szCs w:val="20"/>
              </w:rPr>
              <w:t xml:space="preserve">  </w:t>
            </w:r>
            <w:r w:rsidRPr="00A86FA4">
              <w:rPr>
                <w:sz w:val="20"/>
                <w:szCs w:val="20"/>
              </w:rPr>
              <w:t>9.843.389,57 EUR</w:t>
            </w:r>
          </w:p>
          <w:p w14:paraId="46DF9C09" w14:textId="3E244F70" w:rsidR="00476080" w:rsidRPr="00A86FA4" w:rsidRDefault="0026220D" w:rsidP="00C05221">
            <w:pPr>
              <w:spacing w:line="276" w:lineRule="auto"/>
              <w:jc w:val="center"/>
              <w:rPr>
                <w:rFonts w:cs="Times New Roman"/>
                <w:bCs/>
                <w:sz w:val="20"/>
                <w:szCs w:val="20"/>
              </w:rPr>
            </w:pPr>
            <w:r w:rsidRPr="00A86FA4">
              <w:rPr>
                <w:sz w:val="20"/>
                <w:szCs w:val="20"/>
              </w:rPr>
              <w:t>za potpore za samozapošljavanje zeleno/digitalno.</w:t>
            </w:r>
          </w:p>
        </w:tc>
      </w:tr>
      <w:tr w:rsidR="00CE622A" w:rsidRPr="007B7788" w14:paraId="0F139D2D" w14:textId="77777777" w:rsidTr="004955EB">
        <w:trPr>
          <w:trHeight w:val="402"/>
        </w:trPr>
        <w:tc>
          <w:tcPr>
            <w:tcW w:w="1249" w:type="pct"/>
            <w:shd w:val="clear" w:color="auto" w:fill="F2F2F2" w:themeFill="background1" w:themeFillShade="F2"/>
            <w:vAlign w:val="center"/>
          </w:tcPr>
          <w:p w14:paraId="2836019E" w14:textId="14AF0F8B" w:rsidR="00476080" w:rsidRPr="00A86FA4" w:rsidRDefault="001B1F56" w:rsidP="004A3B23">
            <w:pPr>
              <w:spacing w:line="276" w:lineRule="auto"/>
              <w:rPr>
                <w:rFonts w:cs="Times New Roman"/>
                <w:sz w:val="20"/>
                <w:szCs w:val="20"/>
              </w:rPr>
            </w:pPr>
            <w:r w:rsidRPr="00A86FA4">
              <w:rPr>
                <w:rFonts w:cs="Times New Roman"/>
                <w:sz w:val="20"/>
                <w:szCs w:val="20"/>
              </w:rPr>
              <w:lastRenderedPageBreak/>
              <w:t>ROK PROVEDBE</w:t>
            </w:r>
            <w:r w:rsidR="00F67753" w:rsidRPr="00A86FA4">
              <w:rPr>
                <w:rFonts w:cs="Times New Roman"/>
                <w:sz w:val="20"/>
                <w:szCs w:val="20"/>
              </w:rPr>
              <w:t xml:space="preserve"> </w:t>
            </w:r>
            <w:r w:rsidRPr="00A86FA4">
              <w:rPr>
                <w:rFonts w:cs="Times New Roman"/>
                <w:sz w:val="20"/>
                <w:szCs w:val="20"/>
              </w:rPr>
              <w:t>AKTIVNOSTI</w:t>
            </w:r>
          </w:p>
        </w:tc>
        <w:tc>
          <w:tcPr>
            <w:tcW w:w="3751" w:type="pct"/>
            <w:gridSpan w:val="3"/>
            <w:vAlign w:val="center"/>
          </w:tcPr>
          <w:p w14:paraId="3AE8C67E" w14:textId="2155C2CF" w:rsidR="00476080" w:rsidRPr="00A86FA4" w:rsidRDefault="00476080">
            <w:pPr>
              <w:spacing w:line="276" w:lineRule="auto"/>
              <w:rPr>
                <w:rFonts w:cs="Times New Roman"/>
                <w:sz w:val="20"/>
                <w:szCs w:val="20"/>
              </w:rPr>
            </w:pPr>
            <w:r w:rsidRPr="00A86FA4">
              <w:rPr>
                <w:rFonts w:cs="Times New Roman"/>
                <w:sz w:val="20"/>
                <w:szCs w:val="20"/>
              </w:rPr>
              <w:t xml:space="preserve">IV. kvartal 2025. </w:t>
            </w:r>
          </w:p>
        </w:tc>
      </w:tr>
      <w:bookmarkEnd w:id="49"/>
    </w:tbl>
    <w:p w14:paraId="5ACF9A99" w14:textId="77777777" w:rsidR="003379F1" w:rsidRDefault="003379F1" w:rsidP="00D36147">
      <w:pPr>
        <w:pStyle w:val="Heading2"/>
        <w:spacing w:line="276" w:lineRule="auto"/>
        <w:rPr>
          <w:rFonts w:cs="Times New Roman"/>
        </w:rPr>
      </w:pPr>
    </w:p>
    <w:p w14:paraId="6B18B3D7" w14:textId="77777777" w:rsidR="003379F1" w:rsidRDefault="003379F1" w:rsidP="00D36147">
      <w:pPr>
        <w:pStyle w:val="Heading2"/>
        <w:spacing w:line="276" w:lineRule="auto"/>
        <w:rPr>
          <w:rFonts w:cs="Times New Roman"/>
        </w:rPr>
      </w:pPr>
    </w:p>
    <w:p w14:paraId="0E5AC478" w14:textId="1E8B8FCF" w:rsidR="00BA1440" w:rsidRPr="00FC64BF" w:rsidRDefault="00BA1440" w:rsidP="00D36147">
      <w:pPr>
        <w:pStyle w:val="Heading2"/>
        <w:spacing w:line="276" w:lineRule="auto"/>
        <w:rPr>
          <w:rFonts w:cs="Times New Roman"/>
        </w:rPr>
      </w:pPr>
      <w:r w:rsidRPr="00FC64BF">
        <w:rPr>
          <w:rFonts w:cs="Times New Roman"/>
        </w:rPr>
        <w:t>Mjera 5.2. Smanjivanje rodnog jaza u zapošljavanju</w:t>
      </w:r>
    </w:p>
    <w:p w14:paraId="27B5FAA7" w14:textId="77777777" w:rsidR="00754E0C" w:rsidRPr="00FC64BF" w:rsidRDefault="00754E0C" w:rsidP="004A3B23">
      <w:pPr>
        <w:spacing w:after="0" w:line="276" w:lineRule="auto"/>
        <w:jc w:val="both"/>
        <w:rPr>
          <w:rFonts w:cs="Times New Roman"/>
          <w:szCs w:val="24"/>
        </w:rPr>
      </w:pPr>
    </w:p>
    <w:p w14:paraId="4B2FEAC9" w14:textId="77777777" w:rsidR="00BA1440" w:rsidRPr="00A87AC2" w:rsidRDefault="00BA1440" w:rsidP="00D36147">
      <w:pPr>
        <w:spacing w:after="0" w:line="276" w:lineRule="auto"/>
        <w:jc w:val="both"/>
        <w:rPr>
          <w:rFonts w:cs="Times New Roman"/>
          <w:szCs w:val="24"/>
        </w:rPr>
      </w:pPr>
      <w:r w:rsidRPr="00FC64BF">
        <w:rPr>
          <w:rFonts w:cs="Times New Roman"/>
          <w:szCs w:val="24"/>
        </w:rPr>
        <w:t xml:space="preserve">Nema planiranih aktivnosti u </w:t>
      </w:r>
      <w:r w:rsidRPr="00E6590A">
        <w:rPr>
          <w:rFonts w:cs="Times New Roman"/>
          <w:szCs w:val="24"/>
        </w:rPr>
        <w:t>ovom Akcijskom planu</w:t>
      </w:r>
      <w:r w:rsidRPr="00A87AC2">
        <w:rPr>
          <w:rFonts w:cs="Times New Roman"/>
          <w:szCs w:val="24"/>
        </w:rPr>
        <w:t>.</w:t>
      </w:r>
    </w:p>
    <w:p w14:paraId="0BA251D7" w14:textId="77777777" w:rsidR="00754E0C" w:rsidRPr="00E6590A" w:rsidRDefault="00754E0C" w:rsidP="00D36147">
      <w:pPr>
        <w:spacing w:after="0" w:line="276" w:lineRule="auto"/>
        <w:jc w:val="both"/>
        <w:rPr>
          <w:rFonts w:cs="Times New Roman"/>
          <w:szCs w:val="24"/>
        </w:rPr>
      </w:pPr>
    </w:p>
    <w:p w14:paraId="46BC1C15" w14:textId="2834599A" w:rsidR="0073254B" w:rsidRPr="00E6590A" w:rsidRDefault="0073254B" w:rsidP="00C05221">
      <w:pPr>
        <w:pStyle w:val="Heading2"/>
        <w:spacing w:line="276" w:lineRule="auto"/>
        <w:jc w:val="both"/>
        <w:rPr>
          <w:rFonts w:cs="Times New Roman"/>
        </w:rPr>
      </w:pPr>
      <w:r w:rsidRPr="00E6590A">
        <w:rPr>
          <w:rFonts w:cs="Times New Roman"/>
        </w:rPr>
        <w:t>Mjer</w:t>
      </w:r>
      <w:r w:rsidR="009870E5" w:rsidRPr="00E6590A">
        <w:rPr>
          <w:rFonts w:cs="Times New Roman"/>
        </w:rPr>
        <w:t>a 5.3. Smanjivanje jaza između romske NEET populacije i NEET populacije unutar opće populacije mladih</w:t>
      </w:r>
    </w:p>
    <w:p w14:paraId="5622767F" w14:textId="77777777" w:rsidR="00754E0C" w:rsidRPr="00FC64BF" w:rsidRDefault="00754E0C" w:rsidP="00D36147">
      <w:pPr>
        <w:spacing w:after="0" w:line="276" w:lineRule="auto"/>
        <w:rPr>
          <w:rFonts w:cs="Times New Roman"/>
        </w:rPr>
      </w:pPr>
    </w:p>
    <w:p w14:paraId="1DF4DC82" w14:textId="598D2142" w:rsidR="00CA388F" w:rsidRPr="00FC64BF" w:rsidRDefault="009870E5" w:rsidP="004A3B23">
      <w:pPr>
        <w:spacing w:after="0" w:line="276" w:lineRule="auto"/>
        <w:jc w:val="both"/>
        <w:rPr>
          <w:rFonts w:cs="Times New Roman"/>
          <w:i/>
          <w:szCs w:val="24"/>
        </w:rPr>
      </w:pPr>
      <w:r w:rsidRPr="00FC64BF">
        <w:rPr>
          <w:rFonts w:cs="Times New Roman"/>
          <w:i/>
          <w:szCs w:val="24"/>
        </w:rPr>
        <w:t xml:space="preserve">Aktivnost 5.3.1. </w:t>
      </w:r>
      <w:r w:rsidR="009D3243" w:rsidRPr="00FC64BF">
        <w:rPr>
          <w:rFonts w:eastAsia="Times New Roman" w:cs="Times New Roman"/>
          <w:bCs/>
          <w:i/>
          <w:szCs w:val="20"/>
          <w:lang w:eastAsia="hr-HR"/>
        </w:rPr>
        <w:t>Priprema za uključivanje na tržište rada</w:t>
      </w:r>
      <w:r w:rsidR="009D3243" w:rsidRPr="00FC64BF" w:rsidDel="009D3243">
        <w:rPr>
          <w:rFonts w:cs="Times New Roman"/>
          <w:i/>
          <w:szCs w:val="24"/>
        </w:rPr>
        <w:t xml:space="preserve"> </w:t>
      </w:r>
    </w:p>
    <w:p w14:paraId="1AB0A926" w14:textId="26E0501D" w:rsidR="009870E5" w:rsidRPr="00FC64BF" w:rsidRDefault="00CA388F" w:rsidP="00D36147">
      <w:pPr>
        <w:spacing w:after="0" w:line="276" w:lineRule="auto"/>
        <w:jc w:val="both"/>
        <w:rPr>
          <w:rFonts w:cs="Times New Roman"/>
          <w:i/>
          <w:szCs w:val="24"/>
        </w:rPr>
      </w:pPr>
      <w:r w:rsidRPr="00FC64BF">
        <w:rPr>
          <w:rFonts w:cs="Times New Roman"/>
          <w:i/>
          <w:szCs w:val="24"/>
        </w:rPr>
        <w:t xml:space="preserve">Nositelj provedbe: </w:t>
      </w:r>
      <w:r w:rsidR="009870E5" w:rsidRPr="00FC64BF">
        <w:rPr>
          <w:rFonts w:cs="Times New Roman"/>
          <w:i/>
          <w:szCs w:val="24"/>
        </w:rPr>
        <w:t xml:space="preserve">Ured </w:t>
      </w:r>
      <w:r w:rsidR="0061594B">
        <w:rPr>
          <w:rFonts w:cs="Times New Roman"/>
          <w:i/>
          <w:iCs/>
        </w:rPr>
        <w:t>za ljudska prava  i prava nacionalnih manjina</w:t>
      </w:r>
    </w:p>
    <w:p w14:paraId="47BEA408" w14:textId="5DDD7515" w:rsidR="00A06876" w:rsidRPr="00FC64BF" w:rsidRDefault="00A06876" w:rsidP="00D36147">
      <w:pPr>
        <w:spacing w:after="0" w:line="276" w:lineRule="auto"/>
        <w:jc w:val="both"/>
        <w:rPr>
          <w:rFonts w:eastAsia="Times New Roman" w:cs="Times New Roman"/>
          <w:bCs/>
          <w:szCs w:val="20"/>
          <w:lang w:eastAsia="hr-HR"/>
        </w:rPr>
      </w:pPr>
      <w:bookmarkStart w:id="50" w:name="_Hlk163645659"/>
      <w:r w:rsidRPr="00FC64BF">
        <w:rPr>
          <w:rFonts w:eastAsia="Times New Roman" w:cs="Times New Roman"/>
          <w:bCs/>
          <w:szCs w:val="20"/>
          <w:lang w:eastAsia="hr-HR"/>
        </w:rPr>
        <w:t>Provedba aktivnosti nije planirana u 202</w:t>
      </w:r>
      <w:r w:rsidR="00E00297" w:rsidRPr="00FC64BF">
        <w:rPr>
          <w:rFonts w:eastAsia="Times New Roman" w:cs="Times New Roman"/>
          <w:bCs/>
          <w:szCs w:val="20"/>
          <w:lang w:eastAsia="hr-HR"/>
        </w:rPr>
        <w:t>4</w:t>
      </w:r>
      <w:r w:rsidRPr="00FC64BF">
        <w:rPr>
          <w:rFonts w:eastAsia="Times New Roman" w:cs="Times New Roman"/>
          <w:bCs/>
          <w:szCs w:val="20"/>
          <w:lang w:eastAsia="hr-HR"/>
        </w:rPr>
        <w:t xml:space="preserve">. </w:t>
      </w:r>
      <w:r w:rsidR="00C05221">
        <w:rPr>
          <w:rFonts w:eastAsia="Times New Roman" w:cs="Times New Roman"/>
          <w:bCs/>
          <w:szCs w:val="20"/>
          <w:lang w:eastAsia="hr-HR"/>
        </w:rPr>
        <w:t>godini.</w:t>
      </w:r>
    </w:p>
    <w:p w14:paraId="41FDFB24" w14:textId="77777777" w:rsidR="003B763E" w:rsidRPr="00FC64BF" w:rsidRDefault="003B763E" w:rsidP="00D36147">
      <w:pPr>
        <w:spacing w:after="0" w:line="276" w:lineRule="auto"/>
        <w:jc w:val="both"/>
        <w:rPr>
          <w:rFonts w:eastAsia="Times New Roman" w:cs="Times New Roman"/>
          <w:bCs/>
          <w:szCs w:val="20"/>
          <w:lang w:eastAsia="hr-HR"/>
        </w:rPr>
      </w:pPr>
    </w:p>
    <w:p w14:paraId="047261F5" w14:textId="76FE73D7" w:rsidR="009D3243" w:rsidRPr="00FC64BF" w:rsidRDefault="009D3243" w:rsidP="00D36147">
      <w:pPr>
        <w:spacing w:after="0" w:line="276" w:lineRule="auto"/>
        <w:jc w:val="both"/>
        <w:rPr>
          <w:rFonts w:eastAsia="Times New Roman" w:cs="Times New Roman"/>
          <w:bCs/>
          <w:szCs w:val="20"/>
          <w:lang w:eastAsia="hr-HR"/>
        </w:rPr>
      </w:pPr>
      <w:r w:rsidRPr="00FC64BF">
        <w:rPr>
          <w:rFonts w:eastAsia="Times New Roman" w:cs="Times New Roman"/>
          <w:bCs/>
          <w:szCs w:val="20"/>
          <w:lang w:eastAsia="hr-HR"/>
        </w:rPr>
        <w:t>Ključne aktivnosti projekta čija je provedba planirana od 202</w:t>
      </w:r>
      <w:r w:rsidR="00E00297" w:rsidRPr="00FC64BF">
        <w:rPr>
          <w:rFonts w:eastAsia="Times New Roman" w:cs="Times New Roman"/>
          <w:bCs/>
          <w:szCs w:val="20"/>
          <w:lang w:eastAsia="hr-HR"/>
        </w:rPr>
        <w:t>5</w:t>
      </w:r>
      <w:r w:rsidRPr="00FC64BF">
        <w:rPr>
          <w:rFonts w:eastAsia="Times New Roman" w:cs="Times New Roman"/>
          <w:bCs/>
          <w:szCs w:val="20"/>
          <w:lang w:eastAsia="hr-HR"/>
        </w:rPr>
        <w:t xml:space="preserve">. </w:t>
      </w:r>
      <w:r w:rsidR="00C05221">
        <w:rPr>
          <w:rFonts w:eastAsia="Times New Roman" w:cs="Times New Roman"/>
          <w:bCs/>
          <w:szCs w:val="20"/>
          <w:lang w:eastAsia="hr-HR"/>
        </w:rPr>
        <w:t xml:space="preserve">godine </w:t>
      </w:r>
      <w:r w:rsidRPr="00FC64BF">
        <w:rPr>
          <w:rFonts w:eastAsia="Times New Roman" w:cs="Times New Roman"/>
          <w:bCs/>
          <w:szCs w:val="20"/>
          <w:lang w:eastAsia="hr-HR"/>
        </w:rPr>
        <w:t xml:space="preserve">usmjerene su mladima iz NEET skupine i obuhvaćaju osiguravanje osposobljavanje na radnom mjestu. Aktivnosti do 2025. </w:t>
      </w:r>
      <w:r w:rsidR="00C05221">
        <w:rPr>
          <w:rFonts w:eastAsia="Times New Roman" w:cs="Times New Roman"/>
          <w:bCs/>
          <w:szCs w:val="20"/>
          <w:lang w:eastAsia="hr-HR"/>
        </w:rPr>
        <w:t xml:space="preserve">godine </w:t>
      </w:r>
      <w:r w:rsidRPr="00FC64BF">
        <w:rPr>
          <w:rFonts w:eastAsia="Times New Roman" w:cs="Times New Roman"/>
          <w:bCs/>
          <w:szCs w:val="20"/>
          <w:lang w:eastAsia="hr-HR"/>
        </w:rPr>
        <w:t>uključuju provedbu nacionalne kampanje usmjerene poslodavcima, outreach rad s mladima u NEET skupini te izradu programa osposobljavanja u suradnji s poslodavcima.</w:t>
      </w:r>
    </w:p>
    <w:p w14:paraId="771EADE0" w14:textId="77777777" w:rsidR="00593DCC" w:rsidRPr="00FC64BF" w:rsidRDefault="00593DCC" w:rsidP="00D36147">
      <w:pPr>
        <w:spacing w:after="0" w:line="276" w:lineRule="auto"/>
        <w:jc w:val="both"/>
        <w:rPr>
          <w:rFonts w:cs="Times New Roman"/>
        </w:rPr>
      </w:pPr>
    </w:p>
    <w:p w14:paraId="296D32F2" w14:textId="240645F0" w:rsidR="00D3465C" w:rsidRPr="00FC64BF" w:rsidRDefault="00FD1538" w:rsidP="00D36147">
      <w:pPr>
        <w:spacing w:after="0" w:line="276" w:lineRule="auto"/>
        <w:jc w:val="both"/>
        <w:rPr>
          <w:rFonts w:cs="Times New Roman"/>
        </w:rPr>
      </w:pPr>
      <w:r w:rsidRPr="00FC64BF">
        <w:rPr>
          <w:rFonts w:cs="Times New Roman"/>
        </w:rPr>
        <w:t>U okviru ovog sektorskog cilja Ured</w:t>
      </w:r>
      <w:r w:rsidR="00D20E8D" w:rsidRPr="00FC64BF">
        <w:rPr>
          <w:rFonts w:cs="Times New Roman"/>
        </w:rPr>
        <w:t xml:space="preserve"> </w:t>
      </w:r>
      <w:r w:rsidRPr="00FC64BF">
        <w:rPr>
          <w:rFonts w:cs="Times New Roman"/>
        </w:rPr>
        <w:t xml:space="preserve">planira pripremu i provedbu projekta </w:t>
      </w:r>
      <w:r w:rsidR="008902E3" w:rsidRPr="00FC64BF">
        <w:rPr>
          <w:rFonts w:cs="Times New Roman"/>
        </w:rPr>
        <w:t xml:space="preserve">„Jednakost, uključivanje i integracija Roma putem zapošljavanja – JUPI ZA“ </w:t>
      </w:r>
      <w:r w:rsidRPr="00FC64BF">
        <w:rPr>
          <w:rFonts w:cs="Times New Roman"/>
        </w:rPr>
        <w:t xml:space="preserve">financiranog sredstvima ESF+ </w:t>
      </w:r>
      <w:r w:rsidR="008902E3" w:rsidRPr="00FC64BF">
        <w:rPr>
          <w:rFonts w:cs="Times New Roman"/>
          <w:lang w:eastAsia="hr-HR"/>
        </w:rPr>
        <w:t xml:space="preserve">iz Programa </w:t>
      </w:r>
      <w:r w:rsidR="00AA0E5E">
        <w:rPr>
          <w:rFonts w:cs="Times New Roman"/>
          <w:lang w:eastAsia="hr-HR"/>
        </w:rPr>
        <w:t>„</w:t>
      </w:r>
      <w:r w:rsidR="008902E3" w:rsidRPr="00FC64BF">
        <w:rPr>
          <w:rFonts w:cs="Times New Roman"/>
          <w:lang w:eastAsia="hr-HR"/>
        </w:rPr>
        <w:t>Učinkoviti ljudski potencijali 2021.</w:t>
      </w:r>
      <w:r w:rsidR="00AA0E5E">
        <w:rPr>
          <w:rFonts w:cs="Times New Roman"/>
          <w:lang w:eastAsia="hr-HR"/>
        </w:rPr>
        <w:t xml:space="preserve"> </w:t>
      </w:r>
      <w:r w:rsidR="008902E3" w:rsidRPr="00FC64BF">
        <w:rPr>
          <w:rFonts w:cs="Times New Roman"/>
          <w:lang w:eastAsia="hr-HR"/>
        </w:rPr>
        <w:t>-</w:t>
      </w:r>
      <w:r w:rsidR="00AA0E5E">
        <w:rPr>
          <w:rFonts w:cs="Times New Roman"/>
          <w:lang w:eastAsia="hr-HR"/>
        </w:rPr>
        <w:t xml:space="preserve"> </w:t>
      </w:r>
      <w:r w:rsidR="008902E3" w:rsidRPr="00FC64BF">
        <w:rPr>
          <w:rFonts w:cs="Times New Roman"/>
          <w:lang w:eastAsia="hr-HR"/>
        </w:rPr>
        <w:t>2027.</w:t>
      </w:r>
      <w:r w:rsidR="00AA0E5E">
        <w:rPr>
          <w:rFonts w:cs="Times New Roman"/>
          <w:lang w:eastAsia="hr-HR"/>
        </w:rPr>
        <w:t>“</w:t>
      </w:r>
      <w:r w:rsidR="008902E3" w:rsidRPr="00FC64BF">
        <w:rPr>
          <w:rFonts w:cs="Times New Roman"/>
          <w:lang w:eastAsia="hr-HR"/>
        </w:rPr>
        <w:t xml:space="preserve"> </w:t>
      </w:r>
      <w:r w:rsidRPr="00FC64BF">
        <w:rPr>
          <w:rFonts w:cs="Times New Roman"/>
        </w:rPr>
        <w:t>te su tijekom 202</w:t>
      </w:r>
      <w:r w:rsidR="00EE2053" w:rsidRPr="00FC64BF">
        <w:rPr>
          <w:rFonts w:cs="Times New Roman"/>
        </w:rPr>
        <w:t>4</w:t>
      </w:r>
      <w:r w:rsidRPr="00FC64BF">
        <w:rPr>
          <w:rFonts w:cs="Times New Roman"/>
        </w:rPr>
        <w:t xml:space="preserve">. </w:t>
      </w:r>
      <w:r w:rsidR="00C05221">
        <w:rPr>
          <w:rFonts w:cs="Times New Roman"/>
        </w:rPr>
        <w:t xml:space="preserve">godine </w:t>
      </w:r>
      <w:r w:rsidRPr="00FC64BF">
        <w:rPr>
          <w:rFonts w:cs="Times New Roman"/>
        </w:rPr>
        <w:t>provođene radnje povezane s pripremom projektne dokumentacije.</w:t>
      </w:r>
      <w:r w:rsidRPr="00FC64BF" w:rsidDel="00FD1538">
        <w:rPr>
          <w:rFonts w:cs="Times New Roman"/>
        </w:rPr>
        <w:t xml:space="preserve"> </w:t>
      </w:r>
    </w:p>
    <w:p w14:paraId="6F0157FE" w14:textId="77777777" w:rsidR="00593DCC" w:rsidRPr="00FC64BF" w:rsidRDefault="00593DCC" w:rsidP="00D36147">
      <w:pPr>
        <w:spacing w:after="0" w:line="276" w:lineRule="auto"/>
        <w:jc w:val="both"/>
        <w:rPr>
          <w:rFonts w:cs="Times New Roman"/>
        </w:rPr>
      </w:pPr>
    </w:p>
    <w:tbl>
      <w:tblPr>
        <w:tblStyle w:val="TableGrid"/>
        <w:tblW w:w="5081" w:type="pct"/>
        <w:tblLayout w:type="fixed"/>
        <w:tblLook w:val="04A0" w:firstRow="1" w:lastRow="0" w:firstColumn="1" w:lastColumn="0" w:noHBand="0" w:noVBand="1"/>
      </w:tblPr>
      <w:tblGrid>
        <w:gridCol w:w="2787"/>
        <w:gridCol w:w="2230"/>
        <w:gridCol w:w="2372"/>
        <w:gridCol w:w="1820"/>
      </w:tblGrid>
      <w:tr w:rsidR="00CE622A" w:rsidRPr="00E00297" w14:paraId="6FDBC828" w14:textId="77777777" w:rsidTr="00B66CD2">
        <w:trPr>
          <w:trHeight w:val="606"/>
        </w:trPr>
        <w:tc>
          <w:tcPr>
            <w:tcW w:w="1513" w:type="pct"/>
            <w:shd w:val="clear" w:color="auto" w:fill="F2F2F2" w:themeFill="background1" w:themeFillShade="F2"/>
            <w:vAlign w:val="center"/>
          </w:tcPr>
          <w:bookmarkEnd w:id="50"/>
          <w:p w14:paraId="29A462F6" w14:textId="77777777" w:rsidR="00476080" w:rsidRPr="00FC64BF" w:rsidRDefault="00476080" w:rsidP="002A04BF">
            <w:pPr>
              <w:rPr>
                <w:rFonts w:cs="Times New Roman"/>
                <w:b/>
                <w:sz w:val="20"/>
                <w:szCs w:val="18"/>
              </w:rPr>
            </w:pPr>
            <w:r w:rsidRPr="00FC64BF">
              <w:rPr>
                <w:rFonts w:cs="Times New Roman"/>
                <w:b/>
                <w:sz w:val="20"/>
                <w:szCs w:val="18"/>
              </w:rPr>
              <w:lastRenderedPageBreak/>
              <w:t>Pokazatelji provedbe i pokazatelji uspješnosti provedbe</w:t>
            </w:r>
          </w:p>
        </w:tc>
        <w:tc>
          <w:tcPr>
            <w:tcW w:w="1211" w:type="pct"/>
            <w:shd w:val="clear" w:color="auto" w:fill="F2F2F2" w:themeFill="background1" w:themeFillShade="F2"/>
            <w:vAlign w:val="center"/>
          </w:tcPr>
          <w:p w14:paraId="22753EED" w14:textId="38588A9F" w:rsidR="00476080" w:rsidRPr="00FC64BF" w:rsidRDefault="00C541AA" w:rsidP="003B763E">
            <w:pPr>
              <w:jc w:val="center"/>
              <w:rPr>
                <w:rFonts w:eastAsia="Calibri" w:cs="Times New Roman"/>
                <w:b/>
                <w:strike/>
                <w:sz w:val="20"/>
                <w:szCs w:val="18"/>
              </w:rPr>
            </w:pPr>
            <w:r w:rsidRPr="00FC64BF">
              <w:rPr>
                <w:rFonts w:eastAsia="Calibri" w:cs="Times New Roman"/>
                <w:b/>
                <w:sz w:val="20"/>
                <w:szCs w:val="18"/>
              </w:rPr>
              <w:t>Broj mladih iz NEET</w:t>
            </w:r>
            <w:r w:rsidR="003B763E" w:rsidRPr="00FC64BF">
              <w:rPr>
                <w:rFonts w:eastAsia="Calibri" w:cs="Times New Roman"/>
                <w:b/>
                <w:sz w:val="20"/>
                <w:szCs w:val="18"/>
              </w:rPr>
              <w:t xml:space="preserve"> </w:t>
            </w:r>
            <w:r w:rsidRPr="00FC64BF">
              <w:rPr>
                <w:rFonts w:eastAsia="Calibri" w:cs="Times New Roman"/>
                <w:b/>
                <w:sz w:val="20"/>
                <w:szCs w:val="18"/>
              </w:rPr>
              <w:t>skupine uključenih u</w:t>
            </w:r>
            <w:r w:rsidR="003B763E" w:rsidRPr="00FC64BF">
              <w:rPr>
                <w:rFonts w:eastAsia="Calibri" w:cs="Times New Roman"/>
                <w:b/>
                <w:sz w:val="20"/>
                <w:szCs w:val="18"/>
              </w:rPr>
              <w:t xml:space="preserve"> p</w:t>
            </w:r>
            <w:r w:rsidRPr="00FC64BF">
              <w:rPr>
                <w:rFonts w:eastAsia="Calibri" w:cs="Times New Roman"/>
                <w:b/>
                <w:sz w:val="20"/>
                <w:szCs w:val="18"/>
              </w:rPr>
              <w:t>rojektne aktivnosti</w:t>
            </w:r>
          </w:p>
        </w:tc>
        <w:tc>
          <w:tcPr>
            <w:tcW w:w="1288" w:type="pct"/>
            <w:shd w:val="clear" w:color="auto" w:fill="F2F2F2" w:themeFill="background1" w:themeFillShade="F2"/>
            <w:vAlign w:val="center"/>
          </w:tcPr>
          <w:p w14:paraId="06FBCF7C" w14:textId="78F2EAFA" w:rsidR="00476080" w:rsidRPr="00FC64BF" w:rsidRDefault="00C541AA" w:rsidP="003B763E">
            <w:pPr>
              <w:jc w:val="center"/>
              <w:rPr>
                <w:rFonts w:cs="Times New Roman"/>
                <w:b/>
                <w:sz w:val="20"/>
                <w:szCs w:val="18"/>
              </w:rPr>
            </w:pPr>
            <w:r w:rsidRPr="00FC64BF">
              <w:rPr>
                <w:rFonts w:cs="Times New Roman"/>
                <w:b/>
                <w:sz w:val="20"/>
                <w:szCs w:val="18"/>
              </w:rPr>
              <w:t>Broj sudionika</w:t>
            </w:r>
            <w:r w:rsidR="003B763E" w:rsidRPr="00FC64BF">
              <w:rPr>
                <w:rFonts w:cs="Times New Roman"/>
                <w:b/>
                <w:sz w:val="20"/>
                <w:szCs w:val="18"/>
              </w:rPr>
              <w:t xml:space="preserve"> p</w:t>
            </w:r>
            <w:r w:rsidRPr="00FC64BF">
              <w:rPr>
                <w:rFonts w:cs="Times New Roman"/>
                <w:b/>
                <w:sz w:val="20"/>
                <w:szCs w:val="18"/>
              </w:rPr>
              <w:t>oslodavaca</w:t>
            </w:r>
          </w:p>
        </w:tc>
        <w:tc>
          <w:tcPr>
            <w:tcW w:w="988" w:type="pct"/>
            <w:shd w:val="clear" w:color="auto" w:fill="F2F2F2" w:themeFill="background1" w:themeFillShade="F2"/>
            <w:vAlign w:val="center"/>
          </w:tcPr>
          <w:p w14:paraId="0553832B" w14:textId="77777777" w:rsidR="00476080" w:rsidRPr="00FC64BF" w:rsidRDefault="00476080" w:rsidP="002A04BF">
            <w:pPr>
              <w:jc w:val="center"/>
              <w:rPr>
                <w:rFonts w:cs="Times New Roman"/>
                <w:b/>
                <w:sz w:val="20"/>
                <w:szCs w:val="18"/>
              </w:rPr>
            </w:pPr>
          </w:p>
        </w:tc>
      </w:tr>
      <w:tr w:rsidR="00CE622A" w:rsidRPr="00E00297" w14:paraId="0785D85E" w14:textId="77777777" w:rsidTr="00B66CD2">
        <w:tc>
          <w:tcPr>
            <w:tcW w:w="1513" w:type="pct"/>
            <w:shd w:val="clear" w:color="auto" w:fill="F2F2F2" w:themeFill="background1" w:themeFillShade="F2"/>
            <w:vAlign w:val="center"/>
          </w:tcPr>
          <w:p w14:paraId="5D9AA7EE" w14:textId="3B03537F" w:rsidR="00476080" w:rsidRPr="00FC64BF" w:rsidRDefault="00476080" w:rsidP="00F65D28">
            <w:pPr>
              <w:rPr>
                <w:rFonts w:cs="Times New Roman"/>
                <w:sz w:val="20"/>
                <w:szCs w:val="18"/>
              </w:rPr>
            </w:pPr>
            <w:r w:rsidRPr="00FC64BF">
              <w:rPr>
                <w:rFonts w:cs="Times New Roman"/>
                <w:sz w:val="20"/>
                <w:szCs w:val="18"/>
              </w:rPr>
              <w:t>Planirani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11" w:type="pct"/>
            <w:vAlign w:val="center"/>
          </w:tcPr>
          <w:p w14:paraId="112949FA" w14:textId="02B449FC" w:rsidR="00476080" w:rsidRPr="00FC64BF" w:rsidRDefault="00C541AA" w:rsidP="002A04BF">
            <w:pPr>
              <w:jc w:val="center"/>
              <w:rPr>
                <w:rFonts w:cs="Times New Roman"/>
                <w:sz w:val="20"/>
                <w:szCs w:val="18"/>
              </w:rPr>
            </w:pPr>
            <w:r w:rsidRPr="00FC64BF">
              <w:rPr>
                <w:rFonts w:cs="Times New Roman"/>
                <w:sz w:val="20"/>
                <w:szCs w:val="18"/>
              </w:rPr>
              <w:t>n/p</w:t>
            </w:r>
          </w:p>
        </w:tc>
        <w:tc>
          <w:tcPr>
            <w:tcW w:w="1288" w:type="pct"/>
            <w:vAlign w:val="center"/>
          </w:tcPr>
          <w:p w14:paraId="7807C09A" w14:textId="7D84FAC8" w:rsidR="00476080" w:rsidRPr="00FC64BF" w:rsidRDefault="00C541AA" w:rsidP="002A04BF">
            <w:pPr>
              <w:jc w:val="center"/>
              <w:rPr>
                <w:rFonts w:cs="Times New Roman"/>
                <w:sz w:val="20"/>
                <w:szCs w:val="18"/>
              </w:rPr>
            </w:pPr>
            <w:r w:rsidRPr="00FC64BF">
              <w:rPr>
                <w:rFonts w:cs="Times New Roman"/>
                <w:sz w:val="20"/>
                <w:szCs w:val="18"/>
              </w:rPr>
              <w:t>n/p</w:t>
            </w:r>
          </w:p>
        </w:tc>
        <w:tc>
          <w:tcPr>
            <w:tcW w:w="988" w:type="pct"/>
            <w:vAlign w:val="center"/>
          </w:tcPr>
          <w:p w14:paraId="5C74CA68" w14:textId="77777777" w:rsidR="00476080" w:rsidRPr="00FC64BF" w:rsidRDefault="00476080" w:rsidP="002A04BF">
            <w:pPr>
              <w:jc w:val="center"/>
              <w:rPr>
                <w:rFonts w:cs="Times New Roman"/>
                <w:sz w:val="20"/>
                <w:szCs w:val="18"/>
              </w:rPr>
            </w:pPr>
          </w:p>
        </w:tc>
      </w:tr>
      <w:tr w:rsidR="00CE622A" w:rsidRPr="00E00297" w14:paraId="67354EC8" w14:textId="77777777" w:rsidTr="00B66CD2">
        <w:tc>
          <w:tcPr>
            <w:tcW w:w="1513" w:type="pct"/>
            <w:shd w:val="clear" w:color="auto" w:fill="F2F2F2" w:themeFill="background1" w:themeFillShade="F2"/>
            <w:vAlign w:val="center"/>
          </w:tcPr>
          <w:p w14:paraId="34CA46CC" w14:textId="09A6FA4B" w:rsidR="00476080" w:rsidRPr="00FC64BF" w:rsidRDefault="00476080" w:rsidP="00F65D28">
            <w:pPr>
              <w:rPr>
                <w:rFonts w:cs="Times New Roman"/>
                <w:sz w:val="20"/>
                <w:szCs w:val="18"/>
              </w:rPr>
            </w:pPr>
            <w:r w:rsidRPr="00FC64BF">
              <w:rPr>
                <w:rFonts w:cs="Times New Roman"/>
                <w:sz w:val="20"/>
                <w:szCs w:val="18"/>
              </w:rPr>
              <w:t>Ostvareni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11" w:type="pct"/>
            <w:vAlign w:val="center"/>
          </w:tcPr>
          <w:p w14:paraId="4F0ABFDF" w14:textId="5E957210" w:rsidR="00476080" w:rsidRPr="00FC64BF" w:rsidRDefault="00C541AA" w:rsidP="002A04BF">
            <w:pPr>
              <w:jc w:val="center"/>
              <w:rPr>
                <w:rFonts w:cs="Times New Roman"/>
                <w:sz w:val="20"/>
                <w:szCs w:val="18"/>
              </w:rPr>
            </w:pPr>
            <w:r w:rsidRPr="00FC64BF">
              <w:rPr>
                <w:rFonts w:cs="Times New Roman"/>
                <w:sz w:val="20"/>
                <w:szCs w:val="18"/>
              </w:rPr>
              <w:t>0</w:t>
            </w:r>
          </w:p>
        </w:tc>
        <w:tc>
          <w:tcPr>
            <w:tcW w:w="1288" w:type="pct"/>
            <w:vAlign w:val="center"/>
          </w:tcPr>
          <w:p w14:paraId="6A6FBDF4" w14:textId="2645C347" w:rsidR="00476080" w:rsidRPr="00FC64BF" w:rsidRDefault="00C541AA" w:rsidP="002A04BF">
            <w:pPr>
              <w:jc w:val="center"/>
              <w:rPr>
                <w:rFonts w:cs="Times New Roman"/>
                <w:sz w:val="20"/>
                <w:szCs w:val="18"/>
              </w:rPr>
            </w:pPr>
            <w:r w:rsidRPr="00FC64BF">
              <w:rPr>
                <w:rFonts w:cs="Times New Roman"/>
                <w:sz w:val="20"/>
                <w:szCs w:val="18"/>
              </w:rPr>
              <w:t>0</w:t>
            </w:r>
          </w:p>
        </w:tc>
        <w:tc>
          <w:tcPr>
            <w:tcW w:w="988" w:type="pct"/>
            <w:vAlign w:val="center"/>
          </w:tcPr>
          <w:p w14:paraId="5BD721B7" w14:textId="77777777" w:rsidR="00476080" w:rsidRPr="00FC64BF" w:rsidRDefault="00476080" w:rsidP="002A04BF">
            <w:pPr>
              <w:jc w:val="center"/>
              <w:rPr>
                <w:rFonts w:eastAsia="Calibri" w:cs="Times New Roman"/>
                <w:b/>
                <w:sz w:val="20"/>
                <w:szCs w:val="18"/>
              </w:rPr>
            </w:pPr>
          </w:p>
        </w:tc>
      </w:tr>
      <w:tr w:rsidR="00CE622A" w:rsidRPr="00E00297" w14:paraId="6367F4E6" w14:textId="77777777" w:rsidTr="00B66CD2">
        <w:tc>
          <w:tcPr>
            <w:tcW w:w="1513" w:type="pct"/>
            <w:shd w:val="clear" w:color="auto" w:fill="F2F2F2" w:themeFill="background1" w:themeFillShade="F2"/>
            <w:vAlign w:val="center"/>
          </w:tcPr>
          <w:p w14:paraId="031C3EAE" w14:textId="77777777" w:rsidR="00476080" w:rsidRPr="00FC64BF" w:rsidRDefault="00476080" w:rsidP="002A04BF">
            <w:pPr>
              <w:rPr>
                <w:rFonts w:cs="Times New Roman"/>
                <w:b/>
                <w:sz w:val="20"/>
                <w:szCs w:val="18"/>
              </w:rPr>
            </w:pPr>
            <w:r w:rsidRPr="00FC64BF">
              <w:rPr>
                <w:rFonts w:cs="Times New Roman"/>
                <w:b/>
                <w:sz w:val="20"/>
                <w:szCs w:val="18"/>
              </w:rPr>
              <w:t xml:space="preserve">IZVORI FINANCIRANJA </w:t>
            </w:r>
          </w:p>
        </w:tc>
        <w:tc>
          <w:tcPr>
            <w:tcW w:w="1211" w:type="pct"/>
            <w:vAlign w:val="center"/>
          </w:tcPr>
          <w:p w14:paraId="6D9D3B87" w14:textId="77777777" w:rsidR="00476080" w:rsidRPr="00FC64BF" w:rsidRDefault="00476080" w:rsidP="002A04BF">
            <w:pPr>
              <w:jc w:val="center"/>
              <w:rPr>
                <w:rFonts w:cs="Times New Roman"/>
                <w:b/>
                <w:sz w:val="20"/>
                <w:szCs w:val="18"/>
              </w:rPr>
            </w:pPr>
            <w:r w:rsidRPr="00FC64BF">
              <w:rPr>
                <w:rFonts w:cs="Times New Roman"/>
                <w:b/>
                <w:sz w:val="20"/>
                <w:szCs w:val="18"/>
              </w:rPr>
              <w:t>Državni proračun (EUR)</w:t>
            </w:r>
          </w:p>
        </w:tc>
        <w:tc>
          <w:tcPr>
            <w:tcW w:w="1288" w:type="pct"/>
            <w:vAlign w:val="center"/>
          </w:tcPr>
          <w:p w14:paraId="44018B3A" w14:textId="77777777" w:rsidR="00476080" w:rsidRPr="00FC64BF" w:rsidRDefault="00476080" w:rsidP="002A04BF">
            <w:pPr>
              <w:jc w:val="center"/>
              <w:rPr>
                <w:rFonts w:cs="Times New Roman"/>
                <w:b/>
                <w:sz w:val="20"/>
                <w:szCs w:val="18"/>
              </w:rPr>
            </w:pPr>
            <w:r w:rsidRPr="00FC64BF">
              <w:rPr>
                <w:rFonts w:cs="Times New Roman"/>
                <w:b/>
                <w:sz w:val="20"/>
                <w:szCs w:val="18"/>
              </w:rPr>
              <w:t>EU financiranje (EUR)</w:t>
            </w:r>
          </w:p>
        </w:tc>
        <w:tc>
          <w:tcPr>
            <w:tcW w:w="988" w:type="pct"/>
            <w:vAlign w:val="center"/>
          </w:tcPr>
          <w:p w14:paraId="0A47111B" w14:textId="77777777" w:rsidR="00476080" w:rsidRPr="00FC64BF" w:rsidRDefault="00476080" w:rsidP="002A04BF">
            <w:pPr>
              <w:jc w:val="center"/>
              <w:rPr>
                <w:rFonts w:cs="Times New Roman"/>
                <w:b/>
                <w:sz w:val="20"/>
                <w:szCs w:val="18"/>
              </w:rPr>
            </w:pPr>
            <w:r w:rsidRPr="00FC64BF">
              <w:rPr>
                <w:rFonts w:cs="Times New Roman"/>
                <w:b/>
                <w:sz w:val="20"/>
                <w:szCs w:val="18"/>
              </w:rPr>
              <w:t>Drugi izvori (EUR)</w:t>
            </w:r>
          </w:p>
        </w:tc>
      </w:tr>
      <w:tr w:rsidR="00CE622A" w:rsidRPr="00E00297" w14:paraId="20EBC48E" w14:textId="77777777" w:rsidTr="00B66CD2">
        <w:tc>
          <w:tcPr>
            <w:tcW w:w="1513" w:type="pct"/>
            <w:shd w:val="clear" w:color="auto" w:fill="F2F2F2" w:themeFill="background1" w:themeFillShade="F2"/>
            <w:vAlign w:val="center"/>
          </w:tcPr>
          <w:p w14:paraId="262B0F52" w14:textId="65DCC9D7" w:rsidR="00476080" w:rsidRPr="00FC64BF" w:rsidRDefault="00476080" w:rsidP="00F65D28">
            <w:pPr>
              <w:rPr>
                <w:rFonts w:cs="Times New Roman"/>
                <w:sz w:val="20"/>
                <w:szCs w:val="18"/>
              </w:rPr>
            </w:pPr>
            <w:r w:rsidRPr="00FC64BF">
              <w:rPr>
                <w:rFonts w:cs="Times New Roman"/>
                <w:sz w:val="20"/>
                <w:szCs w:val="18"/>
              </w:rPr>
              <w:t>Izvori financiranja u 202</w:t>
            </w:r>
            <w:r w:rsidR="00EE2053" w:rsidRPr="00FC64BF">
              <w:rPr>
                <w:rFonts w:cs="Times New Roman"/>
                <w:sz w:val="20"/>
                <w:szCs w:val="18"/>
              </w:rPr>
              <w:t>4</w:t>
            </w:r>
            <w:r w:rsidRPr="00FC64BF">
              <w:rPr>
                <w:rFonts w:cs="Times New Roman"/>
                <w:sz w:val="20"/>
                <w:szCs w:val="18"/>
              </w:rPr>
              <w:t>. (proračunska pozicija i predviđeni iznos sredstava)</w:t>
            </w:r>
          </w:p>
        </w:tc>
        <w:tc>
          <w:tcPr>
            <w:tcW w:w="1211" w:type="pct"/>
            <w:vAlign w:val="center"/>
          </w:tcPr>
          <w:p w14:paraId="781C0935" w14:textId="3E54C9E7" w:rsidR="00CD78EF" w:rsidRPr="00FC64BF" w:rsidRDefault="00CD78EF" w:rsidP="002A04BF">
            <w:pPr>
              <w:jc w:val="center"/>
              <w:rPr>
                <w:rFonts w:cs="Times New Roman"/>
                <w:sz w:val="20"/>
                <w:szCs w:val="18"/>
              </w:rPr>
            </w:pPr>
            <w:r w:rsidRPr="00FC64BF">
              <w:rPr>
                <w:rFonts w:cs="Times New Roman"/>
                <w:sz w:val="20"/>
                <w:szCs w:val="18"/>
              </w:rPr>
              <w:t xml:space="preserve">A681061 </w:t>
            </w:r>
            <w:r w:rsidR="00E63507" w:rsidRPr="00FC64BF">
              <w:rPr>
                <w:rFonts w:cs="Times New Roman"/>
                <w:sz w:val="20"/>
                <w:szCs w:val="18"/>
              </w:rPr>
              <w:t xml:space="preserve">- </w:t>
            </w:r>
            <w:r w:rsidRPr="00FC64BF">
              <w:rPr>
                <w:rFonts w:cs="Times New Roman"/>
                <w:sz w:val="20"/>
                <w:szCs w:val="18"/>
              </w:rPr>
              <w:t>JUPI ZA</w:t>
            </w:r>
          </w:p>
          <w:p w14:paraId="181E54BC" w14:textId="591E44BE" w:rsidR="00476080" w:rsidRPr="00FC64BF" w:rsidRDefault="002F7831" w:rsidP="002A04BF">
            <w:pPr>
              <w:rPr>
                <w:rFonts w:cs="Times New Roman"/>
                <w:sz w:val="20"/>
                <w:szCs w:val="18"/>
              </w:rPr>
            </w:pPr>
            <w:r>
              <w:rPr>
                <w:rFonts w:cs="Times New Roman"/>
                <w:sz w:val="20"/>
                <w:szCs w:val="18"/>
              </w:rPr>
              <w:t xml:space="preserve">  </w:t>
            </w:r>
            <w:r w:rsidR="00CD78EF" w:rsidRPr="00FC64BF">
              <w:rPr>
                <w:rFonts w:cs="Times New Roman"/>
                <w:sz w:val="20"/>
                <w:szCs w:val="18"/>
              </w:rPr>
              <w:t xml:space="preserve">              </w:t>
            </w:r>
            <w:r w:rsidR="00C541AA" w:rsidRPr="00FC64BF">
              <w:rPr>
                <w:rFonts w:cs="Times New Roman"/>
                <w:sz w:val="20"/>
                <w:szCs w:val="18"/>
              </w:rPr>
              <w:t>0,00</w:t>
            </w:r>
          </w:p>
        </w:tc>
        <w:tc>
          <w:tcPr>
            <w:tcW w:w="1288" w:type="pct"/>
            <w:vAlign w:val="center"/>
          </w:tcPr>
          <w:p w14:paraId="53B772BB" w14:textId="6714938A" w:rsidR="00E63507" w:rsidRPr="00FC64BF" w:rsidRDefault="00582383" w:rsidP="002A04BF">
            <w:pPr>
              <w:jc w:val="center"/>
              <w:rPr>
                <w:rFonts w:cs="Times New Roman"/>
                <w:sz w:val="20"/>
                <w:szCs w:val="18"/>
              </w:rPr>
            </w:pPr>
            <w:r w:rsidRPr="00FC64BF">
              <w:rPr>
                <w:rFonts w:cs="Times New Roman"/>
                <w:sz w:val="20"/>
                <w:szCs w:val="18"/>
              </w:rPr>
              <w:t>A681061</w:t>
            </w:r>
            <w:r w:rsidR="00E63507" w:rsidRPr="00FC64BF">
              <w:rPr>
                <w:rFonts w:cs="Times New Roman"/>
                <w:sz w:val="20"/>
                <w:szCs w:val="18"/>
              </w:rPr>
              <w:t xml:space="preserve"> -</w:t>
            </w:r>
            <w:r w:rsidRPr="00FC64BF">
              <w:rPr>
                <w:rFonts w:cs="Times New Roman"/>
                <w:sz w:val="20"/>
                <w:szCs w:val="18"/>
              </w:rPr>
              <w:t xml:space="preserve"> JUPI ZA</w:t>
            </w:r>
          </w:p>
          <w:p w14:paraId="5EA55ED3" w14:textId="299686DC" w:rsidR="00476080" w:rsidRPr="00FC64BF" w:rsidRDefault="00582383" w:rsidP="002A04BF">
            <w:pPr>
              <w:jc w:val="center"/>
              <w:rPr>
                <w:rFonts w:cs="Times New Roman"/>
                <w:sz w:val="20"/>
                <w:szCs w:val="18"/>
              </w:rPr>
            </w:pPr>
            <w:r w:rsidRPr="00FC64BF">
              <w:rPr>
                <w:rFonts w:cs="Times New Roman"/>
                <w:sz w:val="20"/>
                <w:szCs w:val="18"/>
              </w:rPr>
              <w:t xml:space="preserve"> 0,00</w:t>
            </w:r>
          </w:p>
        </w:tc>
        <w:tc>
          <w:tcPr>
            <w:tcW w:w="988" w:type="pct"/>
            <w:vAlign w:val="center"/>
          </w:tcPr>
          <w:p w14:paraId="0933BD24" w14:textId="77777777" w:rsidR="00476080" w:rsidRPr="00FC64BF" w:rsidRDefault="00476080" w:rsidP="002A04BF">
            <w:pPr>
              <w:jc w:val="center"/>
              <w:rPr>
                <w:rFonts w:cs="Times New Roman"/>
                <w:sz w:val="20"/>
                <w:szCs w:val="18"/>
              </w:rPr>
            </w:pPr>
            <w:r w:rsidRPr="00FC64BF">
              <w:rPr>
                <w:rFonts w:cs="Times New Roman"/>
                <w:sz w:val="20"/>
                <w:szCs w:val="18"/>
              </w:rPr>
              <w:t>0,00</w:t>
            </w:r>
          </w:p>
        </w:tc>
      </w:tr>
      <w:tr w:rsidR="00CE622A" w:rsidRPr="00E00297" w14:paraId="6640E1B9" w14:textId="77777777" w:rsidTr="00B66CD2">
        <w:tc>
          <w:tcPr>
            <w:tcW w:w="1513" w:type="pct"/>
            <w:vMerge w:val="restart"/>
            <w:shd w:val="clear" w:color="auto" w:fill="F2F2F2" w:themeFill="background1" w:themeFillShade="F2"/>
            <w:vAlign w:val="center"/>
          </w:tcPr>
          <w:p w14:paraId="0FE03117" w14:textId="77777777" w:rsidR="00476080" w:rsidRPr="00FC64BF" w:rsidRDefault="00476080" w:rsidP="002A04BF">
            <w:pPr>
              <w:rPr>
                <w:rFonts w:cs="Times New Roman"/>
                <w:b/>
                <w:sz w:val="20"/>
                <w:szCs w:val="18"/>
              </w:rPr>
            </w:pPr>
            <w:r w:rsidRPr="00FC64BF">
              <w:rPr>
                <w:rFonts w:cs="Times New Roman"/>
                <w:b/>
                <w:sz w:val="20"/>
                <w:szCs w:val="18"/>
              </w:rPr>
              <w:t xml:space="preserve">UKUPNO UTROŠENA SREDSTVA PO IZVORU </w:t>
            </w:r>
          </w:p>
        </w:tc>
        <w:tc>
          <w:tcPr>
            <w:tcW w:w="1211" w:type="pct"/>
            <w:vAlign w:val="center"/>
          </w:tcPr>
          <w:p w14:paraId="26C7E6FF" w14:textId="77777777" w:rsidR="00476080" w:rsidRPr="00FC64BF" w:rsidRDefault="00476080" w:rsidP="002A04BF">
            <w:pPr>
              <w:jc w:val="center"/>
              <w:rPr>
                <w:rFonts w:cs="Times New Roman"/>
                <w:b/>
                <w:sz w:val="20"/>
                <w:szCs w:val="18"/>
              </w:rPr>
            </w:pPr>
            <w:r w:rsidRPr="00FC64BF">
              <w:rPr>
                <w:rFonts w:cs="Times New Roman"/>
                <w:b/>
                <w:sz w:val="20"/>
                <w:szCs w:val="18"/>
              </w:rPr>
              <w:t>Državni proračun (EUR)</w:t>
            </w:r>
          </w:p>
        </w:tc>
        <w:tc>
          <w:tcPr>
            <w:tcW w:w="1288" w:type="pct"/>
            <w:vAlign w:val="center"/>
          </w:tcPr>
          <w:p w14:paraId="5DF57B7C" w14:textId="77777777" w:rsidR="00476080" w:rsidRPr="00FC64BF" w:rsidRDefault="00476080" w:rsidP="002A04BF">
            <w:pPr>
              <w:jc w:val="center"/>
              <w:rPr>
                <w:rFonts w:cs="Times New Roman"/>
                <w:b/>
                <w:sz w:val="20"/>
                <w:szCs w:val="18"/>
              </w:rPr>
            </w:pPr>
            <w:r w:rsidRPr="00FC64BF">
              <w:rPr>
                <w:rFonts w:cs="Times New Roman"/>
                <w:b/>
                <w:sz w:val="20"/>
                <w:szCs w:val="18"/>
              </w:rPr>
              <w:t>EU financiranje (EUR)</w:t>
            </w:r>
          </w:p>
        </w:tc>
        <w:tc>
          <w:tcPr>
            <w:tcW w:w="988" w:type="pct"/>
            <w:vAlign w:val="center"/>
          </w:tcPr>
          <w:p w14:paraId="2D8F1C64" w14:textId="77777777" w:rsidR="00476080" w:rsidRPr="00FC64BF" w:rsidRDefault="00476080" w:rsidP="002A04BF">
            <w:pPr>
              <w:jc w:val="center"/>
              <w:rPr>
                <w:rFonts w:cs="Times New Roman"/>
                <w:b/>
                <w:sz w:val="20"/>
                <w:szCs w:val="18"/>
              </w:rPr>
            </w:pPr>
            <w:r w:rsidRPr="00FC64BF">
              <w:rPr>
                <w:rFonts w:cs="Times New Roman"/>
                <w:b/>
                <w:sz w:val="20"/>
                <w:szCs w:val="18"/>
              </w:rPr>
              <w:t>Drugi izvori (EUR)</w:t>
            </w:r>
          </w:p>
        </w:tc>
      </w:tr>
      <w:tr w:rsidR="00CE622A" w:rsidRPr="00E00297" w14:paraId="34656053" w14:textId="77777777" w:rsidTr="00B66CD2">
        <w:tc>
          <w:tcPr>
            <w:tcW w:w="1513" w:type="pct"/>
            <w:vMerge/>
            <w:shd w:val="clear" w:color="auto" w:fill="F2F2F2" w:themeFill="background1" w:themeFillShade="F2"/>
            <w:vAlign w:val="center"/>
          </w:tcPr>
          <w:p w14:paraId="6220554A" w14:textId="77777777" w:rsidR="00476080" w:rsidRPr="00FC64BF" w:rsidRDefault="00476080" w:rsidP="002A04BF">
            <w:pPr>
              <w:rPr>
                <w:rFonts w:cs="Times New Roman"/>
                <w:b/>
                <w:sz w:val="20"/>
                <w:szCs w:val="18"/>
              </w:rPr>
            </w:pPr>
          </w:p>
        </w:tc>
        <w:tc>
          <w:tcPr>
            <w:tcW w:w="1211" w:type="pct"/>
            <w:vAlign w:val="center"/>
          </w:tcPr>
          <w:p w14:paraId="0D74E4FB" w14:textId="24CA8BC8" w:rsidR="00476080" w:rsidRPr="00FC64BF" w:rsidRDefault="00157627" w:rsidP="002A04BF">
            <w:pPr>
              <w:jc w:val="center"/>
              <w:rPr>
                <w:rFonts w:eastAsia="Calibri" w:cs="Times New Roman"/>
                <w:bCs/>
                <w:sz w:val="20"/>
                <w:szCs w:val="18"/>
              </w:rPr>
            </w:pPr>
            <w:r w:rsidRPr="00FC64BF">
              <w:rPr>
                <w:rFonts w:eastAsia="Calibri" w:cs="Times New Roman"/>
                <w:bCs/>
                <w:sz w:val="20"/>
                <w:szCs w:val="18"/>
              </w:rPr>
              <w:t>0,00</w:t>
            </w:r>
            <w:r w:rsidR="00476080" w:rsidRPr="00FC64BF">
              <w:rPr>
                <w:rFonts w:eastAsia="Calibri" w:cs="Times New Roman"/>
                <w:bCs/>
                <w:sz w:val="20"/>
                <w:szCs w:val="18"/>
              </w:rPr>
              <w:t xml:space="preserve"> </w:t>
            </w:r>
          </w:p>
        </w:tc>
        <w:tc>
          <w:tcPr>
            <w:tcW w:w="1288" w:type="pct"/>
            <w:vAlign w:val="center"/>
          </w:tcPr>
          <w:p w14:paraId="588136A4" w14:textId="0A9DD0F9" w:rsidR="00476080" w:rsidRPr="00FC64BF" w:rsidRDefault="00157627" w:rsidP="002A04BF">
            <w:pPr>
              <w:jc w:val="center"/>
              <w:rPr>
                <w:rFonts w:cs="Times New Roman"/>
                <w:sz w:val="20"/>
                <w:szCs w:val="18"/>
              </w:rPr>
            </w:pPr>
            <w:r w:rsidRPr="00FC64BF">
              <w:rPr>
                <w:rFonts w:cs="Times New Roman"/>
                <w:sz w:val="20"/>
                <w:szCs w:val="18"/>
              </w:rPr>
              <w:t>0,00</w:t>
            </w:r>
          </w:p>
        </w:tc>
        <w:tc>
          <w:tcPr>
            <w:tcW w:w="988" w:type="pct"/>
            <w:vAlign w:val="center"/>
          </w:tcPr>
          <w:p w14:paraId="701A1A07" w14:textId="77777777" w:rsidR="00476080" w:rsidRPr="00FC64BF" w:rsidRDefault="00476080" w:rsidP="002A04BF">
            <w:pPr>
              <w:jc w:val="center"/>
              <w:rPr>
                <w:rFonts w:cs="Times New Roman"/>
                <w:sz w:val="20"/>
                <w:szCs w:val="18"/>
              </w:rPr>
            </w:pPr>
            <w:r w:rsidRPr="00FC64BF">
              <w:rPr>
                <w:rFonts w:cs="Times New Roman"/>
                <w:sz w:val="20"/>
                <w:szCs w:val="18"/>
              </w:rPr>
              <w:t xml:space="preserve">0,00 </w:t>
            </w:r>
          </w:p>
        </w:tc>
      </w:tr>
      <w:tr w:rsidR="00CE622A" w:rsidRPr="00E00297" w14:paraId="45DA24E6" w14:textId="77777777" w:rsidTr="00B66CD2">
        <w:trPr>
          <w:trHeight w:val="375"/>
        </w:trPr>
        <w:tc>
          <w:tcPr>
            <w:tcW w:w="1513" w:type="pct"/>
            <w:shd w:val="clear" w:color="auto" w:fill="F2F2F2" w:themeFill="background1" w:themeFillShade="F2"/>
            <w:vAlign w:val="center"/>
          </w:tcPr>
          <w:p w14:paraId="302D2BA4" w14:textId="19DD59B7" w:rsidR="00476080" w:rsidRPr="00FC64BF" w:rsidRDefault="001B1F56" w:rsidP="002A04BF">
            <w:pPr>
              <w:rPr>
                <w:rFonts w:cs="Times New Roman"/>
                <w:sz w:val="20"/>
                <w:szCs w:val="18"/>
              </w:rPr>
            </w:pPr>
            <w:r w:rsidRPr="00FC64BF">
              <w:rPr>
                <w:rFonts w:cs="Times New Roman"/>
                <w:sz w:val="20"/>
                <w:szCs w:val="18"/>
              </w:rPr>
              <w:t>ROK PROVEDBE</w:t>
            </w:r>
            <w:r w:rsidR="00F67753" w:rsidRPr="00FC64BF">
              <w:rPr>
                <w:rFonts w:cs="Times New Roman"/>
                <w:sz w:val="20"/>
                <w:szCs w:val="18"/>
              </w:rPr>
              <w:t xml:space="preserve"> </w:t>
            </w:r>
            <w:r w:rsidRPr="00FC64BF">
              <w:rPr>
                <w:rFonts w:cs="Times New Roman"/>
                <w:sz w:val="20"/>
                <w:szCs w:val="18"/>
              </w:rPr>
              <w:t>AKTIVNOSTI</w:t>
            </w:r>
          </w:p>
        </w:tc>
        <w:tc>
          <w:tcPr>
            <w:tcW w:w="3487" w:type="pct"/>
            <w:gridSpan w:val="3"/>
            <w:vAlign w:val="center"/>
          </w:tcPr>
          <w:p w14:paraId="4FF00419" w14:textId="3EAE6ED9" w:rsidR="00476080" w:rsidRPr="00FC64BF" w:rsidRDefault="00476080" w:rsidP="002A04BF">
            <w:pPr>
              <w:rPr>
                <w:rFonts w:cs="Times New Roman"/>
                <w:sz w:val="20"/>
                <w:szCs w:val="18"/>
              </w:rPr>
            </w:pPr>
            <w:r w:rsidRPr="00FC64BF">
              <w:rPr>
                <w:rFonts w:cs="Times New Roman"/>
                <w:sz w:val="20"/>
                <w:szCs w:val="18"/>
              </w:rPr>
              <w:t>I. kvartal 202</w:t>
            </w:r>
            <w:r w:rsidR="00F14FBE">
              <w:rPr>
                <w:rFonts w:cs="Times New Roman"/>
                <w:sz w:val="20"/>
                <w:szCs w:val="18"/>
              </w:rPr>
              <w:t>6</w:t>
            </w:r>
            <w:r w:rsidRPr="00FC64BF">
              <w:rPr>
                <w:rFonts w:cs="Times New Roman"/>
                <w:sz w:val="20"/>
                <w:szCs w:val="18"/>
              </w:rPr>
              <w:t xml:space="preserve">. </w:t>
            </w:r>
          </w:p>
        </w:tc>
      </w:tr>
    </w:tbl>
    <w:p w14:paraId="726BFF15" w14:textId="0AC3075A" w:rsidR="00005D9B" w:rsidRPr="00FC64BF" w:rsidRDefault="00005D9B" w:rsidP="00D36147">
      <w:pPr>
        <w:spacing w:after="0" w:line="276" w:lineRule="auto"/>
        <w:jc w:val="both"/>
        <w:rPr>
          <w:rFonts w:cs="Times New Roman"/>
          <w:sz w:val="18"/>
          <w:szCs w:val="18"/>
        </w:rPr>
      </w:pPr>
    </w:p>
    <w:p w14:paraId="76FDC8F4" w14:textId="77777777" w:rsidR="00005D9B" w:rsidRPr="00FC64BF" w:rsidRDefault="00005D9B">
      <w:pPr>
        <w:rPr>
          <w:rFonts w:cs="Times New Roman"/>
          <w:sz w:val="18"/>
          <w:szCs w:val="18"/>
        </w:rPr>
      </w:pPr>
      <w:r w:rsidRPr="00FC64BF">
        <w:rPr>
          <w:rFonts w:cs="Times New Roman"/>
          <w:sz w:val="18"/>
          <w:szCs w:val="18"/>
        </w:rPr>
        <w:br w:type="page"/>
      </w:r>
    </w:p>
    <w:p w14:paraId="4001928E" w14:textId="39A2850A" w:rsidR="00D04ADD" w:rsidRPr="00FC64BF" w:rsidRDefault="004650B7" w:rsidP="004A3B23">
      <w:pPr>
        <w:pStyle w:val="Heading1"/>
        <w:rPr>
          <w:rFonts w:cs="Times New Roman"/>
        </w:rPr>
      </w:pPr>
      <w:bookmarkStart w:id="51" w:name="_Toc132988320"/>
      <w:bookmarkStart w:id="52" w:name="_Hlk66118654"/>
      <w:r w:rsidRPr="00FC64BF">
        <w:rPr>
          <w:rFonts w:cs="Times New Roman"/>
        </w:rPr>
        <w:lastRenderedPageBreak/>
        <w:t xml:space="preserve">MJERE I </w:t>
      </w:r>
      <w:r w:rsidR="00CB102E" w:rsidRPr="00FC64BF">
        <w:rPr>
          <w:rFonts w:cs="Times New Roman"/>
        </w:rPr>
        <w:t>AKTIVNOSTI</w:t>
      </w:r>
      <w:r w:rsidR="0027529C" w:rsidRPr="00FC64BF">
        <w:rPr>
          <w:rFonts w:cs="Times New Roman"/>
        </w:rPr>
        <w:t xml:space="preserve"> U SEKTORSKOM CILJU </w:t>
      </w:r>
      <w:r w:rsidR="004F7CF9" w:rsidRPr="00FC64BF">
        <w:rPr>
          <w:rFonts w:cs="Times New Roman"/>
        </w:rPr>
        <w:t>POBOLJ</w:t>
      </w:r>
      <w:r w:rsidR="00C95517" w:rsidRPr="00FC64BF">
        <w:rPr>
          <w:rFonts w:cs="Times New Roman"/>
        </w:rPr>
        <w:t>ŠANO</w:t>
      </w:r>
      <w:r w:rsidR="00F70CC7" w:rsidRPr="00FC64BF">
        <w:rPr>
          <w:rFonts w:cs="Times New Roman"/>
        </w:rPr>
        <w:t xml:space="preserve"> ZDRAVLJE ROMA I UČINKOVIT, </w:t>
      </w:r>
      <w:r w:rsidR="004F7CF9" w:rsidRPr="00FC64BF">
        <w:rPr>
          <w:rFonts w:cs="Times New Roman"/>
        </w:rPr>
        <w:t xml:space="preserve">JEDNAK PRISTUP </w:t>
      </w:r>
      <w:r w:rsidR="00C95517" w:rsidRPr="00FC64BF">
        <w:rPr>
          <w:rFonts w:cs="Times New Roman"/>
        </w:rPr>
        <w:t xml:space="preserve">ROMA </w:t>
      </w:r>
      <w:r w:rsidR="004F7CF9" w:rsidRPr="00FC64BF">
        <w:rPr>
          <w:rFonts w:cs="Times New Roman"/>
        </w:rPr>
        <w:t xml:space="preserve">KVALITETNIM </w:t>
      </w:r>
      <w:r w:rsidR="00C95517" w:rsidRPr="00FC64BF">
        <w:rPr>
          <w:rFonts w:cs="Times New Roman"/>
        </w:rPr>
        <w:t xml:space="preserve">USLUGAMA </w:t>
      </w:r>
      <w:r w:rsidR="004F7CF9" w:rsidRPr="00FC64BF">
        <w:rPr>
          <w:rFonts w:cs="Times New Roman"/>
        </w:rPr>
        <w:t>ZDRAVSTVEN</w:t>
      </w:r>
      <w:r w:rsidR="00C95517" w:rsidRPr="00FC64BF">
        <w:rPr>
          <w:rFonts w:cs="Times New Roman"/>
        </w:rPr>
        <w:t>E SKRBI</w:t>
      </w:r>
      <w:bookmarkEnd w:id="51"/>
    </w:p>
    <w:p w14:paraId="2E0C1247" w14:textId="77777777" w:rsidR="00190175" w:rsidRPr="00FC64BF" w:rsidRDefault="00190175" w:rsidP="00D36147">
      <w:pPr>
        <w:spacing w:after="0" w:line="276" w:lineRule="auto"/>
        <w:rPr>
          <w:rFonts w:cs="Times New Roman"/>
        </w:rPr>
      </w:pPr>
    </w:p>
    <w:p w14:paraId="2D3EC3DD" w14:textId="77777777" w:rsidR="00F76D61" w:rsidRPr="00FC64BF" w:rsidRDefault="00F76D61" w:rsidP="00D36147">
      <w:pPr>
        <w:spacing w:after="0" w:line="276" w:lineRule="auto"/>
        <w:jc w:val="both"/>
        <w:rPr>
          <w:rFonts w:cs="Times New Roman"/>
        </w:rPr>
      </w:pPr>
      <w:r w:rsidRPr="00FC64BF">
        <w:rPr>
          <w:rFonts w:cs="Times New Roman"/>
        </w:rPr>
        <w:t xml:space="preserve">Svrha provedbe mjera i aktivnosti je: </w:t>
      </w:r>
    </w:p>
    <w:p w14:paraId="5BECC3BC" w14:textId="73B82641" w:rsidR="00F76D61" w:rsidRPr="00FC64BF" w:rsidRDefault="00F76D61" w:rsidP="004A3B23">
      <w:pPr>
        <w:pStyle w:val="ListParagraph"/>
        <w:numPr>
          <w:ilvl w:val="0"/>
          <w:numId w:val="3"/>
        </w:numPr>
        <w:spacing w:line="276" w:lineRule="auto"/>
        <w:jc w:val="both"/>
        <w:rPr>
          <w:szCs w:val="22"/>
        </w:rPr>
      </w:pPr>
      <w:r w:rsidRPr="00FC64BF">
        <w:t xml:space="preserve">osnaživanje </w:t>
      </w:r>
      <w:r w:rsidR="00CD01DC" w:rsidRPr="00FC64BF">
        <w:t>preventivnih aktivnosti u romskim zajednicama kako bi se doprinijelo ukupnom poboljšanju zdravlja pripadnika romske nacionalne manjine</w:t>
      </w:r>
      <w:r w:rsidRPr="00FC64BF">
        <w:t>;</w:t>
      </w:r>
    </w:p>
    <w:p w14:paraId="2BEAC369" w14:textId="4B3662D9" w:rsidR="00CD01DC" w:rsidRPr="00FC64BF" w:rsidRDefault="001F0102" w:rsidP="00D36147">
      <w:pPr>
        <w:pStyle w:val="ListParagraph"/>
        <w:numPr>
          <w:ilvl w:val="0"/>
          <w:numId w:val="3"/>
        </w:numPr>
        <w:spacing w:line="276" w:lineRule="auto"/>
        <w:jc w:val="both"/>
        <w:rPr>
          <w:szCs w:val="22"/>
        </w:rPr>
      </w:pPr>
      <w:r w:rsidRPr="00FC64BF">
        <w:t>omogućavanje na podacima</w:t>
      </w:r>
      <w:r w:rsidR="00CD01DC" w:rsidRPr="00FC64BF">
        <w:t xml:space="preserve"> utemeljeno</w:t>
      </w:r>
      <w:r w:rsidRPr="00FC64BF">
        <w:t>g zaključivanja</w:t>
      </w:r>
      <w:r w:rsidR="00CD01DC" w:rsidRPr="00FC64BF">
        <w:t xml:space="preserve"> o stanju i napretku u zdravstvenom statusu pripadnika romske nacionalne manjine u odnosu na </w:t>
      </w:r>
      <w:r w:rsidRPr="00FC64BF">
        <w:t>opću populaciju</w:t>
      </w:r>
      <w:r w:rsidR="00493650">
        <w:t>;</w:t>
      </w:r>
    </w:p>
    <w:p w14:paraId="0F554A91" w14:textId="77777777" w:rsidR="001F0102" w:rsidRPr="00FC64BF" w:rsidRDefault="00CD01DC" w:rsidP="00D36147">
      <w:pPr>
        <w:pStyle w:val="ListParagraph"/>
        <w:numPr>
          <w:ilvl w:val="0"/>
          <w:numId w:val="3"/>
        </w:numPr>
        <w:spacing w:line="276" w:lineRule="auto"/>
        <w:jc w:val="both"/>
        <w:rPr>
          <w:szCs w:val="22"/>
        </w:rPr>
      </w:pPr>
      <w:r w:rsidRPr="00FC64BF">
        <w:t xml:space="preserve">osnaživanje preventivnih aktivnosti usmjerenih Romkinjama s krajnjim ciljem unapređenja reproduktivnog zdrava te </w:t>
      </w:r>
    </w:p>
    <w:p w14:paraId="06BEED9F" w14:textId="007AF887" w:rsidR="00F76D61" w:rsidRPr="00FC64BF" w:rsidRDefault="00CD01DC" w:rsidP="00D36147">
      <w:pPr>
        <w:pStyle w:val="ListParagraph"/>
        <w:numPr>
          <w:ilvl w:val="0"/>
          <w:numId w:val="3"/>
        </w:numPr>
        <w:spacing w:line="276" w:lineRule="auto"/>
        <w:jc w:val="both"/>
      </w:pPr>
      <w:r w:rsidRPr="00FC64BF">
        <w:t xml:space="preserve">podizanje svijesti </w:t>
      </w:r>
      <w:r w:rsidR="001F0102" w:rsidRPr="00FC64BF">
        <w:t xml:space="preserve">romske zajednice </w:t>
      </w:r>
      <w:r w:rsidRPr="00FC64BF">
        <w:t xml:space="preserve">o utjecaju koji rodno utemeljeno nasilje ima na </w:t>
      </w:r>
      <w:r w:rsidR="001F0102" w:rsidRPr="00FC64BF">
        <w:t xml:space="preserve">ukupnu dobrobit obitelji kao i </w:t>
      </w:r>
      <w:r w:rsidRPr="00FC64BF">
        <w:t xml:space="preserve">razvoj djece u </w:t>
      </w:r>
      <w:r w:rsidR="001F0102" w:rsidRPr="00FC64BF">
        <w:t xml:space="preserve">nasilničkim </w:t>
      </w:r>
      <w:r w:rsidRPr="00FC64BF">
        <w:t>obitelji</w:t>
      </w:r>
      <w:r w:rsidR="001F0102" w:rsidRPr="00FC64BF">
        <w:t>ma</w:t>
      </w:r>
      <w:r w:rsidR="00493650">
        <w:t>.</w:t>
      </w:r>
      <w:r w:rsidR="0055595F" w:rsidRPr="00FC64BF">
        <w:t xml:space="preserve"> </w:t>
      </w:r>
    </w:p>
    <w:p w14:paraId="75C7FBD5" w14:textId="77777777" w:rsidR="001F0102" w:rsidRPr="00FC64BF" w:rsidRDefault="001F0102" w:rsidP="00D36147">
      <w:pPr>
        <w:pStyle w:val="ListParagraph"/>
        <w:spacing w:line="276" w:lineRule="auto"/>
        <w:jc w:val="both"/>
      </w:pPr>
    </w:p>
    <w:p w14:paraId="5B5DA566" w14:textId="545920C1" w:rsidR="004650B7" w:rsidRPr="00FC64BF" w:rsidRDefault="004650B7" w:rsidP="00D36147">
      <w:pPr>
        <w:pStyle w:val="Heading2"/>
        <w:spacing w:line="276" w:lineRule="auto"/>
        <w:rPr>
          <w:rFonts w:cs="Times New Roman"/>
        </w:rPr>
      </w:pPr>
      <w:r w:rsidRPr="00FC64BF">
        <w:rPr>
          <w:rFonts w:cs="Times New Roman"/>
        </w:rPr>
        <w:t>Mjera 6.1. Smanjivanje jaza očekivanog životnog vijeka između Roma i opće populacije</w:t>
      </w:r>
    </w:p>
    <w:p w14:paraId="4342D9C6" w14:textId="77777777" w:rsidR="00754E0C" w:rsidRPr="00FC64BF" w:rsidRDefault="00754E0C" w:rsidP="00D36147">
      <w:pPr>
        <w:spacing w:after="0" w:line="276" w:lineRule="auto"/>
        <w:rPr>
          <w:rFonts w:cs="Times New Roman"/>
        </w:rPr>
      </w:pPr>
    </w:p>
    <w:p w14:paraId="7A7AE121" w14:textId="025CA062" w:rsidR="00A2500A" w:rsidRPr="00FC64BF" w:rsidRDefault="00A2500A" w:rsidP="004A3B23">
      <w:pPr>
        <w:spacing w:after="0" w:line="276" w:lineRule="auto"/>
        <w:jc w:val="both"/>
        <w:rPr>
          <w:rFonts w:cs="Times New Roman"/>
          <w:bCs/>
          <w:iCs/>
          <w:szCs w:val="24"/>
        </w:rPr>
      </w:pPr>
      <w:r w:rsidRPr="00FC64BF">
        <w:rPr>
          <w:rFonts w:cs="Times New Roman"/>
          <w:bCs/>
          <w:iCs/>
          <w:szCs w:val="24"/>
        </w:rPr>
        <w:t>Za provedbu sektorskog cilja poboljšano zdravlje Roma i učinkovit, jednak pristup Roma kvalitetnim uslugama zdravstvene skrbi nisu planirane aktivnosti u 202</w:t>
      </w:r>
      <w:r w:rsidR="00E00297" w:rsidRPr="00FC64BF">
        <w:rPr>
          <w:rFonts w:cs="Times New Roman"/>
          <w:bCs/>
          <w:iCs/>
          <w:szCs w:val="24"/>
        </w:rPr>
        <w:t>4</w:t>
      </w:r>
      <w:r w:rsidRPr="00FC64BF">
        <w:rPr>
          <w:rFonts w:cs="Times New Roman"/>
          <w:bCs/>
          <w:iCs/>
          <w:szCs w:val="24"/>
        </w:rPr>
        <w:t>.</w:t>
      </w:r>
      <w:r w:rsidR="001A1802">
        <w:rPr>
          <w:rFonts w:cs="Times New Roman"/>
          <w:bCs/>
          <w:iCs/>
          <w:szCs w:val="24"/>
        </w:rPr>
        <w:t xml:space="preserve"> godini</w:t>
      </w:r>
      <w:r w:rsidRPr="00FC64BF">
        <w:rPr>
          <w:rFonts w:cs="Times New Roman"/>
          <w:bCs/>
          <w:iCs/>
          <w:szCs w:val="24"/>
        </w:rPr>
        <w:t xml:space="preserve"> i shodno tome iste nisu provođene. Nositelj aktivnosti je </w:t>
      </w:r>
      <w:r w:rsidR="00841CC7">
        <w:rPr>
          <w:rFonts w:cs="Times New Roman"/>
          <w:bCs/>
          <w:iCs/>
          <w:szCs w:val="24"/>
        </w:rPr>
        <w:t>Ured</w:t>
      </w:r>
      <w:r w:rsidR="00D20E8D" w:rsidRPr="00FC64BF">
        <w:rPr>
          <w:rFonts w:cs="Times New Roman"/>
          <w:bCs/>
          <w:iCs/>
          <w:szCs w:val="24"/>
        </w:rPr>
        <w:t xml:space="preserve"> </w:t>
      </w:r>
      <w:r w:rsidRPr="00FC64BF">
        <w:rPr>
          <w:rFonts w:cs="Times New Roman"/>
          <w:bCs/>
          <w:iCs/>
          <w:szCs w:val="24"/>
        </w:rPr>
        <w:t>u partnerstvu s Hrvatskim zavodom za javno zdravstvo, a planirane aktivnosti provodit će se u sklopu projekta „Jednakost, uključivanje, participacija i integracija Roma putem brige o zdravlju – JUPI ZDRAV“, čije se financiranje planira sredstvima ESF+</w:t>
      </w:r>
      <w:r w:rsidR="008902E3" w:rsidRPr="00FC64BF">
        <w:rPr>
          <w:rFonts w:cs="Times New Roman"/>
          <w:bCs/>
          <w:iCs/>
          <w:szCs w:val="24"/>
        </w:rPr>
        <w:t xml:space="preserve"> </w:t>
      </w:r>
      <w:r w:rsidR="008902E3" w:rsidRPr="00FC64BF">
        <w:rPr>
          <w:rFonts w:cs="Times New Roman"/>
          <w:lang w:eastAsia="hr-HR"/>
        </w:rPr>
        <w:t xml:space="preserve">iz Programa </w:t>
      </w:r>
      <w:r w:rsidR="00AA0E5E">
        <w:rPr>
          <w:rFonts w:cs="Times New Roman"/>
          <w:lang w:eastAsia="hr-HR"/>
        </w:rPr>
        <w:t>„</w:t>
      </w:r>
      <w:r w:rsidR="008902E3" w:rsidRPr="00FC64BF">
        <w:rPr>
          <w:rFonts w:cs="Times New Roman"/>
          <w:lang w:eastAsia="hr-HR"/>
        </w:rPr>
        <w:t>Učinkoviti ljudski potencijali 2021.</w:t>
      </w:r>
      <w:r w:rsidR="00AA0E5E">
        <w:rPr>
          <w:rFonts w:cs="Times New Roman"/>
          <w:lang w:eastAsia="hr-HR"/>
        </w:rPr>
        <w:t xml:space="preserve"> </w:t>
      </w:r>
      <w:r w:rsidR="008902E3" w:rsidRPr="00FC64BF">
        <w:rPr>
          <w:rFonts w:cs="Times New Roman"/>
          <w:lang w:eastAsia="hr-HR"/>
        </w:rPr>
        <w:t>-</w:t>
      </w:r>
      <w:r w:rsidR="00AA0E5E">
        <w:rPr>
          <w:rFonts w:cs="Times New Roman"/>
          <w:lang w:eastAsia="hr-HR"/>
        </w:rPr>
        <w:t xml:space="preserve"> </w:t>
      </w:r>
      <w:r w:rsidR="008902E3" w:rsidRPr="00FC64BF">
        <w:rPr>
          <w:rFonts w:cs="Times New Roman"/>
          <w:lang w:eastAsia="hr-HR"/>
        </w:rPr>
        <w:t>2027.</w:t>
      </w:r>
      <w:r w:rsidR="00AA0E5E">
        <w:rPr>
          <w:rFonts w:cs="Times New Roman"/>
          <w:lang w:eastAsia="hr-HR"/>
        </w:rPr>
        <w:t>“</w:t>
      </w:r>
      <w:r w:rsidRPr="00FC64BF">
        <w:rPr>
          <w:rFonts w:cs="Times New Roman"/>
          <w:bCs/>
          <w:iCs/>
          <w:szCs w:val="24"/>
        </w:rPr>
        <w:t>, a koji je planiran za 202</w:t>
      </w:r>
      <w:r w:rsidR="002A5061">
        <w:rPr>
          <w:rFonts w:cs="Times New Roman"/>
          <w:bCs/>
          <w:iCs/>
          <w:szCs w:val="24"/>
        </w:rPr>
        <w:t>6</w:t>
      </w:r>
      <w:r w:rsidRPr="00FC64BF">
        <w:rPr>
          <w:rFonts w:cs="Times New Roman"/>
          <w:bCs/>
          <w:iCs/>
          <w:szCs w:val="24"/>
        </w:rPr>
        <w:t>.</w:t>
      </w:r>
      <w:r w:rsidR="001A1802">
        <w:rPr>
          <w:rFonts w:cs="Times New Roman"/>
          <w:bCs/>
          <w:iCs/>
          <w:szCs w:val="24"/>
        </w:rPr>
        <w:t xml:space="preserve"> godinu.</w:t>
      </w:r>
      <w:r w:rsidRPr="00FC64BF">
        <w:rPr>
          <w:rFonts w:cs="Times New Roman"/>
          <w:bCs/>
          <w:iCs/>
          <w:szCs w:val="24"/>
        </w:rPr>
        <w:t xml:space="preserve"> </w:t>
      </w:r>
    </w:p>
    <w:p w14:paraId="3D4E0F2C" w14:textId="77777777" w:rsidR="00754E0C" w:rsidRPr="00FC64BF" w:rsidRDefault="00754E0C" w:rsidP="00D36147">
      <w:pPr>
        <w:spacing w:after="0" w:line="276" w:lineRule="auto"/>
        <w:jc w:val="both"/>
        <w:rPr>
          <w:rFonts w:cs="Times New Roman"/>
          <w:bCs/>
          <w:iCs/>
          <w:szCs w:val="24"/>
        </w:rPr>
      </w:pPr>
    </w:p>
    <w:p w14:paraId="33AF8F12" w14:textId="1C184735" w:rsidR="00A9087D" w:rsidRPr="00FC64BF" w:rsidRDefault="00C32637" w:rsidP="00D36147">
      <w:pPr>
        <w:spacing w:after="0" w:line="276" w:lineRule="auto"/>
        <w:jc w:val="both"/>
        <w:rPr>
          <w:rFonts w:cs="Times New Roman"/>
          <w:bCs/>
          <w:i/>
          <w:szCs w:val="24"/>
        </w:rPr>
      </w:pPr>
      <w:r w:rsidRPr="00FC64BF">
        <w:rPr>
          <w:rFonts w:cs="Times New Roman"/>
          <w:bCs/>
          <w:i/>
          <w:szCs w:val="24"/>
        </w:rPr>
        <w:t>Aktivnost 6.1.1. Osiguravanje preventivnih pregleda i zdravstvenog savjetovanja</w:t>
      </w:r>
    </w:p>
    <w:p w14:paraId="66324ED8" w14:textId="50B0AA02" w:rsidR="009D3243" w:rsidRPr="00FC64BF" w:rsidRDefault="00151AFA" w:rsidP="00D36147">
      <w:pPr>
        <w:spacing w:after="0" w:line="276" w:lineRule="auto"/>
        <w:jc w:val="both"/>
        <w:rPr>
          <w:rFonts w:cs="Times New Roman"/>
          <w:bCs/>
          <w:i/>
          <w:szCs w:val="24"/>
        </w:rPr>
      </w:pPr>
      <w:r w:rsidRPr="00FC64BF">
        <w:rPr>
          <w:rFonts w:cs="Times New Roman"/>
          <w:bCs/>
          <w:i/>
          <w:szCs w:val="24"/>
        </w:rPr>
        <w:t xml:space="preserve">Nositelj: Ured </w:t>
      </w:r>
      <w:r w:rsidR="00F65D28">
        <w:rPr>
          <w:rFonts w:cs="Times New Roman"/>
          <w:i/>
          <w:iCs/>
        </w:rPr>
        <w:t>za ljudska prava  i prava nacionalnih manjina</w:t>
      </w:r>
    </w:p>
    <w:p w14:paraId="47260644" w14:textId="2D831ED4" w:rsidR="001D5C13" w:rsidRPr="00FC64BF" w:rsidRDefault="001D5C13" w:rsidP="00D36147">
      <w:pPr>
        <w:spacing w:after="0" w:line="276" w:lineRule="auto"/>
        <w:jc w:val="both"/>
        <w:rPr>
          <w:rFonts w:cs="Times New Roman"/>
        </w:rPr>
      </w:pPr>
      <w:r w:rsidRPr="00FC64BF">
        <w:rPr>
          <w:rFonts w:cs="Times New Roman"/>
        </w:rPr>
        <w:t>Provedba aktivnosti nije planirana u 202</w:t>
      </w:r>
      <w:r w:rsidR="00EE2053" w:rsidRPr="00FC64BF">
        <w:rPr>
          <w:rFonts w:cs="Times New Roman"/>
        </w:rPr>
        <w:t>4</w:t>
      </w:r>
      <w:r w:rsidRPr="00FC64BF">
        <w:rPr>
          <w:rFonts w:cs="Times New Roman"/>
        </w:rPr>
        <w:t xml:space="preserve">. </w:t>
      </w:r>
      <w:r w:rsidR="001A1802">
        <w:rPr>
          <w:rFonts w:cs="Times New Roman"/>
        </w:rPr>
        <w:t>godini.</w:t>
      </w:r>
    </w:p>
    <w:p w14:paraId="2E244EA5" w14:textId="77777777" w:rsidR="00524406" w:rsidRPr="00FC64BF" w:rsidRDefault="00524406"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2785"/>
        <w:gridCol w:w="2231"/>
        <w:gridCol w:w="2208"/>
        <w:gridCol w:w="1838"/>
      </w:tblGrid>
      <w:tr w:rsidR="00CE622A" w:rsidRPr="00E00297" w14:paraId="684B13ED" w14:textId="77777777" w:rsidTr="00B66CD2">
        <w:trPr>
          <w:trHeight w:val="606"/>
        </w:trPr>
        <w:tc>
          <w:tcPr>
            <w:tcW w:w="1537" w:type="pct"/>
            <w:shd w:val="clear" w:color="auto" w:fill="F2F2F2" w:themeFill="background1" w:themeFillShade="F2"/>
            <w:vAlign w:val="center"/>
          </w:tcPr>
          <w:p w14:paraId="5F752E94" w14:textId="77777777" w:rsidR="001B1F56" w:rsidRPr="00FC64BF" w:rsidRDefault="001B1F56" w:rsidP="002A04BF">
            <w:pPr>
              <w:rPr>
                <w:rFonts w:cs="Times New Roman"/>
                <w:b/>
                <w:sz w:val="20"/>
                <w:szCs w:val="18"/>
              </w:rPr>
            </w:pPr>
            <w:r w:rsidRPr="00FC64BF">
              <w:rPr>
                <w:rFonts w:cs="Times New Roman"/>
                <w:b/>
                <w:sz w:val="20"/>
                <w:szCs w:val="18"/>
              </w:rPr>
              <w:t>Pokazatelji provedbe i pokazatelji uspješnosti provedbe</w:t>
            </w:r>
          </w:p>
        </w:tc>
        <w:tc>
          <w:tcPr>
            <w:tcW w:w="1231" w:type="pct"/>
            <w:shd w:val="clear" w:color="auto" w:fill="F2F2F2" w:themeFill="background1" w:themeFillShade="F2"/>
            <w:vAlign w:val="center"/>
          </w:tcPr>
          <w:p w14:paraId="5003858A" w14:textId="4B30817D" w:rsidR="001B1F56" w:rsidRPr="00FC64BF" w:rsidRDefault="001B1F56" w:rsidP="002A04BF">
            <w:pPr>
              <w:jc w:val="center"/>
              <w:rPr>
                <w:rFonts w:eastAsia="Calibri" w:cs="Times New Roman"/>
                <w:b/>
                <w:strike/>
                <w:sz w:val="20"/>
                <w:szCs w:val="18"/>
              </w:rPr>
            </w:pPr>
            <w:r w:rsidRPr="00FC64BF">
              <w:rPr>
                <w:rFonts w:eastAsia="Calibri" w:cs="Times New Roman"/>
                <w:b/>
                <w:sz w:val="20"/>
                <w:szCs w:val="18"/>
              </w:rPr>
              <w:t>Broj osoba koje su obavile preventivni pregled</w:t>
            </w:r>
          </w:p>
        </w:tc>
        <w:tc>
          <w:tcPr>
            <w:tcW w:w="1218" w:type="pct"/>
            <w:shd w:val="clear" w:color="auto" w:fill="F2F2F2" w:themeFill="background1" w:themeFillShade="F2"/>
            <w:vAlign w:val="center"/>
          </w:tcPr>
          <w:p w14:paraId="18728DB7" w14:textId="3BC65444" w:rsidR="001B1F56" w:rsidRPr="00FC64BF" w:rsidRDefault="001B1F56" w:rsidP="002A04BF">
            <w:pPr>
              <w:jc w:val="center"/>
              <w:rPr>
                <w:rFonts w:cs="Times New Roman"/>
                <w:b/>
                <w:sz w:val="20"/>
                <w:szCs w:val="18"/>
              </w:rPr>
            </w:pPr>
            <w:r w:rsidRPr="00FC64BF">
              <w:rPr>
                <w:rFonts w:cs="Times New Roman"/>
                <w:b/>
                <w:sz w:val="20"/>
                <w:szCs w:val="18"/>
              </w:rPr>
              <w:t>Broj osoba koje su primile uslugu zdravstvenog savjetovanja</w:t>
            </w:r>
          </w:p>
        </w:tc>
        <w:tc>
          <w:tcPr>
            <w:tcW w:w="1014" w:type="pct"/>
            <w:shd w:val="clear" w:color="auto" w:fill="F2F2F2" w:themeFill="background1" w:themeFillShade="F2"/>
            <w:vAlign w:val="center"/>
          </w:tcPr>
          <w:p w14:paraId="7DB372E1" w14:textId="560432BC" w:rsidR="001B1F56" w:rsidRPr="00FC64BF" w:rsidRDefault="0001101B" w:rsidP="002A04BF">
            <w:pPr>
              <w:jc w:val="center"/>
              <w:rPr>
                <w:rFonts w:cs="Times New Roman"/>
                <w:b/>
                <w:sz w:val="20"/>
                <w:szCs w:val="18"/>
              </w:rPr>
            </w:pPr>
            <w:r w:rsidRPr="00FC64BF">
              <w:rPr>
                <w:rFonts w:cs="Times New Roman"/>
                <w:b/>
                <w:sz w:val="20"/>
                <w:szCs w:val="18"/>
              </w:rPr>
              <w:t>Broj djece koja su obavila preventivni pregled</w:t>
            </w:r>
          </w:p>
        </w:tc>
      </w:tr>
      <w:tr w:rsidR="00CE622A" w:rsidRPr="00E00297" w14:paraId="77F27D9C" w14:textId="77777777" w:rsidTr="00B66CD2">
        <w:tc>
          <w:tcPr>
            <w:tcW w:w="1537" w:type="pct"/>
            <w:shd w:val="clear" w:color="auto" w:fill="F2F2F2" w:themeFill="background1" w:themeFillShade="F2"/>
            <w:vAlign w:val="center"/>
          </w:tcPr>
          <w:p w14:paraId="23486469" w14:textId="1D37A2CA" w:rsidR="001B1F56" w:rsidRPr="00FC64BF" w:rsidRDefault="001B1F56" w:rsidP="00F65D28">
            <w:pPr>
              <w:rPr>
                <w:rFonts w:cs="Times New Roman"/>
                <w:sz w:val="20"/>
                <w:szCs w:val="18"/>
              </w:rPr>
            </w:pPr>
            <w:r w:rsidRPr="00FC64BF">
              <w:rPr>
                <w:rFonts w:cs="Times New Roman"/>
                <w:sz w:val="20"/>
                <w:szCs w:val="18"/>
              </w:rPr>
              <w:t>Planirani ishodi za pokazatelje provedbe u 202</w:t>
            </w:r>
            <w:r w:rsidR="00EE2053" w:rsidRPr="00FC64BF">
              <w:rPr>
                <w:rFonts w:cs="Times New Roman"/>
                <w:sz w:val="20"/>
                <w:szCs w:val="18"/>
              </w:rPr>
              <w:t>4</w:t>
            </w:r>
            <w:r w:rsidRPr="00FC64BF">
              <w:rPr>
                <w:rFonts w:cs="Times New Roman"/>
                <w:sz w:val="20"/>
                <w:szCs w:val="18"/>
              </w:rPr>
              <w:t>.</w:t>
            </w:r>
          </w:p>
        </w:tc>
        <w:tc>
          <w:tcPr>
            <w:tcW w:w="1231" w:type="pct"/>
            <w:vAlign w:val="center"/>
          </w:tcPr>
          <w:p w14:paraId="2B40C68B" w14:textId="77777777" w:rsidR="001B1F56" w:rsidRPr="00FC64BF" w:rsidRDefault="001B1F56" w:rsidP="002A04BF">
            <w:pPr>
              <w:jc w:val="center"/>
              <w:rPr>
                <w:rFonts w:cs="Times New Roman"/>
                <w:sz w:val="20"/>
                <w:szCs w:val="18"/>
              </w:rPr>
            </w:pPr>
            <w:r w:rsidRPr="00FC64BF">
              <w:rPr>
                <w:rFonts w:cs="Times New Roman"/>
                <w:sz w:val="20"/>
                <w:szCs w:val="18"/>
              </w:rPr>
              <w:t>n/p</w:t>
            </w:r>
          </w:p>
        </w:tc>
        <w:tc>
          <w:tcPr>
            <w:tcW w:w="1218" w:type="pct"/>
            <w:vAlign w:val="center"/>
          </w:tcPr>
          <w:p w14:paraId="6F0D9763" w14:textId="77777777" w:rsidR="001B1F56" w:rsidRPr="00FC64BF" w:rsidRDefault="001B1F56" w:rsidP="002A04BF">
            <w:pPr>
              <w:jc w:val="center"/>
              <w:rPr>
                <w:rFonts w:cs="Times New Roman"/>
                <w:sz w:val="20"/>
                <w:szCs w:val="18"/>
              </w:rPr>
            </w:pPr>
            <w:r w:rsidRPr="00FC64BF">
              <w:rPr>
                <w:rFonts w:cs="Times New Roman"/>
                <w:sz w:val="20"/>
                <w:szCs w:val="18"/>
              </w:rPr>
              <w:t>n/p</w:t>
            </w:r>
          </w:p>
        </w:tc>
        <w:tc>
          <w:tcPr>
            <w:tcW w:w="1014" w:type="pct"/>
            <w:vAlign w:val="center"/>
          </w:tcPr>
          <w:p w14:paraId="7775A972" w14:textId="77777777" w:rsidR="001B1F56" w:rsidRPr="00FC64BF" w:rsidRDefault="001B1F56" w:rsidP="002A04BF">
            <w:pPr>
              <w:jc w:val="center"/>
              <w:rPr>
                <w:rFonts w:cs="Times New Roman"/>
                <w:sz w:val="20"/>
                <w:szCs w:val="18"/>
              </w:rPr>
            </w:pPr>
          </w:p>
        </w:tc>
      </w:tr>
      <w:tr w:rsidR="00CE622A" w:rsidRPr="00E00297" w14:paraId="4A2F1D1B" w14:textId="77777777" w:rsidTr="00B66CD2">
        <w:tc>
          <w:tcPr>
            <w:tcW w:w="1537" w:type="pct"/>
            <w:shd w:val="clear" w:color="auto" w:fill="F2F2F2" w:themeFill="background1" w:themeFillShade="F2"/>
            <w:vAlign w:val="center"/>
          </w:tcPr>
          <w:p w14:paraId="2CC9CBF9" w14:textId="7A6CEA62" w:rsidR="001B1F56" w:rsidRPr="00FC64BF" w:rsidRDefault="001B1F56" w:rsidP="00F65D28">
            <w:pPr>
              <w:rPr>
                <w:rFonts w:cs="Times New Roman"/>
                <w:sz w:val="20"/>
                <w:szCs w:val="18"/>
              </w:rPr>
            </w:pPr>
            <w:r w:rsidRPr="00FC64BF">
              <w:rPr>
                <w:rFonts w:cs="Times New Roman"/>
                <w:sz w:val="20"/>
                <w:szCs w:val="18"/>
              </w:rPr>
              <w:t>Ostvareni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31" w:type="pct"/>
            <w:vAlign w:val="center"/>
          </w:tcPr>
          <w:p w14:paraId="54A2E480" w14:textId="77777777" w:rsidR="001B1F56" w:rsidRPr="00FC64BF" w:rsidRDefault="001B1F56" w:rsidP="002A04BF">
            <w:pPr>
              <w:jc w:val="center"/>
              <w:rPr>
                <w:rFonts w:cs="Times New Roman"/>
                <w:sz w:val="20"/>
                <w:szCs w:val="18"/>
              </w:rPr>
            </w:pPr>
            <w:r w:rsidRPr="00FC64BF">
              <w:rPr>
                <w:rFonts w:cs="Times New Roman"/>
                <w:sz w:val="20"/>
                <w:szCs w:val="18"/>
              </w:rPr>
              <w:t>0</w:t>
            </w:r>
          </w:p>
        </w:tc>
        <w:tc>
          <w:tcPr>
            <w:tcW w:w="1218" w:type="pct"/>
            <w:vAlign w:val="center"/>
          </w:tcPr>
          <w:p w14:paraId="0824E290" w14:textId="77777777" w:rsidR="001B1F56" w:rsidRPr="00FC64BF" w:rsidRDefault="001B1F56" w:rsidP="002A04BF">
            <w:pPr>
              <w:jc w:val="center"/>
              <w:rPr>
                <w:rFonts w:cs="Times New Roman"/>
                <w:sz w:val="20"/>
                <w:szCs w:val="18"/>
              </w:rPr>
            </w:pPr>
            <w:r w:rsidRPr="00FC64BF">
              <w:rPr>
                <w:rFonts w:cs="Times New Roman"/>
                <w:sz w:val="20"/>
                <w:szCs w:val="18"/>
              </w:rPr>
              <w:t>0</w:t>
            </w:r>
          </w:p>
        </w:tc>
        <w:tc>
          <w:tcPr>
            <w:tcW w:w="1014" w:type="pct"/>
            <w:vAlign w:val="center"/>
          </w:tcPr>
          <w:p w14:paraId="0A145C8C" w14:textId="77777777" w:rsidR="001B1F56" w:rsidRPr="00FC64BF" w:rsidRDefault="001B1F56" w:rsidP="002A04BF">
            <w:pPr>
              <w:jc w:val="center"/>
              <w:rPr>
                <w:rFonts w:eastAsia="Calibri" w:cs="Times New Roman"/>
                <w:b/>
                <w:sz w:val="20"/>
                <w:szCs w:val="18"/>
              </w:rPr>
            </w:pPr>
          </w:p>
        </w:tc>
      </w:tr>
      <w:tr w:rsidR="00CE622A" w:rsidRPr="00E00297" w14:paraId="558A2A29" w14:textId="77777777" w:rsidTr="00B66CD2">
        <w:tc>
          <w:tcPr>
            <w:tcW w:w="1537" w:type="pct"/>
            <w:shd w:val="clear" w:color="auto" w:fill="F2F2F2" w:themeFill="background1" w:themeFillShade="F2"/>
            <w:vAlign w:val="center"/>
          </w:tcPr>
          <w:p w14:paraId="0C7C8222" w14:textId="77777777" w:rsidR="001B1F56" w:rsidRPr="00FC64BF" w:rsidRDefault="001B1F56" w:rsidP="002A04BF">
            <w:pPr>
              <w:rPr>
                <w:rFonts w:cs="Times New Roman"/>
                <w:b/>
                <w:sz w:val="20"/>
                <w:szCs w:val="18"/>
              </w:rPr>
            </w:pPr>
            <w:r w:rsidRPr="00FC64BF">
              <w:rPr>
                <w:rFonts w:cs="Times New Roman"/>
                <w:b/>
                <w:sz w:val="20"/>
                <w:szCs w:val="18"/>
              </w:rPr>
              <w:t xml:space="preserve">IZVORI FINANCIRANJA </w:t>
            </w:r>
          </w:p>
        </w:tc>
        <w:tc>
          <w:tcPr>
            <w:tcW w:w="1231" w:type="pct"/>
            <w:vAlign w:val="center"/>
          </w:tcPr>
          <w:p w14:paraId="1F99065B" w14:textId="77777777" w:rsidR="001B1F56" w:rsidRPr="00FC64BF" w:rsidRDefault="001B1F56"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4C9586C8" w14:textId="77777777" w:rsidR="001B1F56" w:rsidRPr="00FC64BF" w:rsidRDefault="001B1F56"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1F608990" w14:textId="77777777" w:rsidR="001B1F56" w:rsidRPr="00FC64BF" w:rsidRDefault="001B1F56" w:rsidP="002A04BF">
            <w:pPr>
              <w:jc w:val="center"/>
              <w:rPr>
                <w:rFonts w:cs="Times New Roman"/>
                <w:b/>
                <w:sz w:val="20"/>
                <w:szCs w:val="18"/>
              </w:rPr>
            </w:pPr>
            <w:r w:rsidRPr="00FC64BF">
              <w:rPr>
                <w:rFonts w:cs="Times New Roman"/>
                <w:b/>
                <w:sz w:val="20"/>
                <w:szCs w:val="18"/>
              </w:rPr>
              <w:t>Drugi izvori (EUR)</w:t>
            </w:r>
          </w:p>
        </w:tc>
      </w:tr>
      <w:tr w:rsidR="00CE622A" w:rsidRPr="00E00297" w14:paraId="456D8464" w14:textId="77777777" w:rsidTr="00B66CD2">
        <w:tc>
          <w:tcPr>
            <w:tcW w:w="1537" w:type="pct"/>
            <w:shd w:val="clear" w:color="auto" w:fill="F2F2F2" w:themeFill="background1" w:themeFillShade="F2"/>
            <w:vAlign w:val="center"/>
          </w:tcPr>
          <w:p w14:paraId="3080405C" w14:textId="3F68AAFC" w:rsidR="001B1F56" w:rsidRPr="00FC64BF" w:rsidRDefault="001B1F56" w:rsidP="00F65D28">
            <w:pPr>
              <w:rPr>
                <w:rFonts w:cs="Times New Roman"/>
                <w:sz w:val="20"/>
                <w:szCs w:val="18"/>
              </w:rPr>
            </w:pPr>
            <w:r w:rsidRPr="00FC64BF">
              <w:rPr>
                <w:rFonts w:cs="Times New Roman"/>
                <w:sz w:val="20"/>
                <w:szCs w:val="18"/>
              </w:rPr>
              <w:t>Izvori financiranja u 202</w:t>
            </w:r>
            <w:r w:rsidR="00EE2053" w:rsidRPr="00FC64BF">
              <w:rPr>
                <w:rFonts w:cs="Times New Roman"/>
                <w:sz w:val="20"/>
                <w:szCs w:val="18"/>
              </w:rPr>
              <w:t>4</w:t>
            </w:r>
            <w:r w:rsidRPr="00FC64BF">
              <w:rPr>
                <w:rFonts w:cs="Times New Roman"/>
                <w:sz w:val="20"/>
                <w:szCs w:val="18"/>
              </w:rPr>
              <w:t>. (proračunska pozicija i predviđeni iznos sredstava)</w:t>
            </w:r>
          </w:p>
        </w:tc>
        <w:tc>
          <w:tcPr>
            <w:tcW w:w="1231" w:type="pct"/>
            <w:vAlign w:val="center"/>
          </w:tcPr>
          <w:p w14:paraId="6B361B07" w14:textId="42D1425E" w:rsidR="001B1F56" w:rsidRPr="00FC64BF" w:rsidRDefault="0001101B" w:rsidP="002A04BF">
            <w:pPr>
              <w:jc w:val="center"/>
              <w:rPr>
                <w:rFonts w:cs="Times New Roman"/>
                <w:sz w:val="20"/>
                <w:szCs w:val="18"/>
              </w:rPr>
            </w:pPr>
            <w:r w:rsidRPr="00FC64BF">
              <w:rPr>
                <w:rFonts w:cs="Times New Roman"/>
                <w:sz w:val="20"/>
                <w:szCs w:val="18"/>
              </w:rPr>
              <w:t>n/p</w:t>
            </w:r>
          </w:p>
        </w:tc>
        <w:tc>
          <w:tcPr>
            <w:tcW w:w="1218" w:type="pct"/>
            <w:vAlign w:val="center"/>
          </w:tcPr>
          <w:p w14:paraId="15B7CE43" w14:textId="72D42B8C" w:rsidR="001B1F56" w:rsidRPr="00FC64BF" w:rsidRDefault="0001101B" w:rsidP="002A04BF">
            <w:pPr>
              <w:jc w:val="center"/>
              <w:rPr>
                <w:rFonts w:cs="Times New Roman"/>
                <w:sz w:val="20"/>
                <w:szCs w:val="18"/>
              </w:rPr>
            </w:pPr>
            <w:r w:rsidRPr="00FC64BF">
              <w:rPr>
                <w:rFonts w:cs="Times New Roman"/>
                <w:sz w:val="20"/>
                <w:szCs w:val="18"/>
              </w:rPr>
              <w:t>n/p</w:t>
            </w:r>
          </w:p>
        </w:tc>
        <w:tc>
          <w:tcPr>
            <w:tcW w:w="1014" w:type="pct"/>
            <w:vAlign w:val="center"/>
          </w:tcPr>
          <w:p w14:paraId="47709769" w14:textId="550DFCCD" w:rsidR="001B1F56" w:rsidRPr="00FC64BF" w:rsidRDefault="0001101B" w:rsidP="002A04BF">
            <w:pPr>
              <w:jc w:val="center"/>
              <w:rPr>
                <w:rFonts w:cs="Times New Roman"/>
                <w:sz w:val="20"/>
                <w:szCs w:val="18"/>
              </w:rPr>
            </w:pPr>
            <w:r w:rsidRPr="00FC64BF">
              <w:rPr>
                <w:rFonts w:cs="Times New Roman"/>
                <w:sz w:val="20"/>
                <w:szCs w:val="18"/>
              </w:rPr>
              <w:t>n/p</w:t>
            </w:r>
          </w:p>
        </w:tc>
      </w:tr>
      <w:tr w:rsidR="00CE622A" w:rsidRPr="00E00297" w14:paraId="09672F05" w14:textId="77777777" w:rsidTr="00B66CD2">
        <w:tc>
          <w:tcPr>
            <w:tcW w:w="1537" w:type="pct"/>
            <w:vMerge w:val="restart"/>
            <w:shd w:val="clear" w:color="auto" w:fill="F2F2F2" w:themeFill="background1" w:themeFillShade="F2"/>
            <w:vAlign w:val="center"/>
          </w:tcPr>
          <w:p w14:paraId="157CC3BA" w14:textId="77777777" w:rsidR="001B1F56" w:rsidRPr="00FC64BF" w:rsidRDefault="001B1F56" w:rsidP="002A04BF">
            <w:pPr>
              <w:rPr>
                <w:rFonts w:cs="Times New Roman"/>
                <w:b/>
                <w:sz w:val="20"/>
                <w:szCs w:val="18"/>
              </w:rPr>
            </w:pPr>
            <w:r w:rsidRPr="00FC64BF">
              <w:rPr>
                <w:rFonts w:cs="Times New Roman"/>
                <w:b/>
                <w:sz w:val="20"/>
                <w:szCs w:val="18"/>
              </w:rPr>
              <w:t xml:space="preserve">UKUPNO UTROŠENA SREDSTVA PO IZVORU </w:t>
            </w:r>
          </w:p>
        </w:tc>
        <w:tc>
          <w:tcPr>
            <w:tcW w:w="1231" w:type="pct"/>
            <w:vAlign w:val="center"/>
          </w:tcPr>
          <w:p w14:paraId="6E6D706A" w14:textId="77777777" w:rsidR="001B1F56" w:rsidRPr="00FC64BF" w:rsidRDefault="001B1F56"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777E7509" w14:textId="77777777" w:rsidR="001B1F56" w:rsidRPr="00FC64BF" w:rsidRDefault="001B1F56"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495CD514" w14:textId="77777777" w:rsidR="001B1F56" w:rsidRPr="00FC64BF" w:rsidRDefault="001B1F56" w:rsidP="002A04BF">
            <w:pPr>
              <w:jc w:val="center"/>
              <w:rPr>
                <w:rFonts w:cs="Times New Roman"/>
                <w:b/>
                <w:sz w:val="20"/>
                <w:szCs w:val="18"/>
              </w:rPr>
            </w:pPr>
            <w:r w:rsidRPr="00FC64BF">
              <w:rPr>
                <w:rFonts w:cs="Times New Roman"/>
                <w:b/>
                <w:sz w:val="20"/>
                <w:szCs w:val="18"/>
              </w:rPr>
              <w:t>Drugi izvori (EUR)</w:t>
            </w:r>
          </w:p>
        </w:tc>
      </w:tr>
      <w:tr w:rsidR="00CE622A" w:rsidRPr="00E00297" w14:paraId="5ED3E5D9" w14:textId="77777777" w:rsidTr="00B66CD2">
        <w:tc>
          <w:tcPr>
            <w:tcW w:w="1537" w:type="pct"/>
            <w:vMerge/>
            <w:shd w:val="clear" w:color="auto" w:fill="F2F2F2" w:themeFill="background1" w:themeFillShade="F2"/>
            <w:vAlign w:val="center"/>
          </w:tcPr>
          <w:p w14:paraId="5683829F" w14:textId="77777777" w:rsidR="001B1F56" w:rsidRPr="00FC64BF" w:rsidRDefault="001B1F56" w:rsidP="002A04BF">
            <w:pPr>
              <w:rPr>
                <w:rFonts w:cs="Times New Roman"/>
                <w:b/>
                <w:sz w:val="20"/>
                <w:szCs w:val="18"/>
              </w:rPr>
            </w:pPr>
          </w:p>
        </w:tc>
        <w:tc>
          <w:tcPr>
            <w:tcW w:w="1231" w:type="pct"/>
            <w:vAlign w:val="center"/>
          </w:tcPr>
          <w:p w14:paraId="0E36E342" w14:textId="6DD19FAD" w:rsidR="001B1F56" w:rsidRPr="00FC64BF" w:rsidRDefault="001B1F56" w:rsidP="002A04BF">
            <w:pPr>
              <w:jc w:val="center"/>
              <w:rPr>
                <w:rFonts w:eastAsia="Calibri" w:cs="Times New Roman"/>
                <w:sz w:val="20"/>
                <w:szCs w:val="18"/>
              </w:rPr>
            </w:pPr>
            <w:r w:rsidRPr="00FC64BF">
              <w:rPr>
                <w:rFonts w:eastAsia="Calibri" w:cs="Times New Roman"/>
                <w:sz w:val="20"/>
                <w:szCs w:val="18"/>
              </w:rPr>
              <w:t xml:space="preserve"> </w:t>
            </w:r>
            <w:r w:rsidR="00157627" w:rsidRPr="00FC64BF">
              <w:rPr>
                <w:rFonts w:eastAsia="Calibri" w:cs="Times New Roman"/>
                <w:sz w:val="20"/>
                <w:szCs w:val="18"/>
              </w:rPr>
              <w:t>0,00</w:t>
            </w:r>
          </w:p>
        </w:tc>
        <w:tc>
          <w:tcPr>
            <w:tcW w:w="1218" w:type="pct"/>
            <w:vAlign w:val="center"/>
          </w:tcPr>
          <w:p w14:paraId="6AB9181E" w14:textId="555E76DE" w:rsidR="001B1F56" w:rsidRPr="00FC64BF" w:rsidRDefault="00157627" w:rsidP="002A04BF">
            <w:pPr>
              <w:jc w:val="center"/>
              <w:rPr>
                <w:rFonts w:cs="Times New Roman"/>
                <w:sz w:val="20"/>
                <w:szCs w:val="18"/>
              </w:rPr>
            </w:pPr>
            <w:r w:rsidRPr="00FC64BF">
              <w:rPr>
                <w:rFonts w:cs="Times New Roman"/>
                <w:sz w:val="20"/>
                <w:szCs w:val="18"/>
              </w:rPr>
              <w:t>0,00</w:t>
            </w:r>
          </w:p>
        </w:tc>
        <w:tc>
          <w:tcPr>
            <w:tcW w:w="1014" w:type="pct"/>
            <w:vAlign w:val="center"/>
          </w:tcPr>
          <w:p w14:paraId="59DF1921" w14:textId="77777777" w:rsidR="001B1F56" w:rsidRPr="00FC64BF" w:rsidRDefault="001B1F56" w:rsidP="002A04BF">
            <w:pPr>
              <w:jc w:val="center"/>
              <w:rPr>
                <w:rFonts w:cs="Times New Roman"/>
                <w:sz w:val="20"/>
                <w:szCs w:val="18"/>
              </w:rPr>
            </w:pPr>
            <w:r w:rsidRPr="00FC64BF">
              <w:rPr>
                <w:rFonts w:cs="Times New Roman"/>
                <w:sz w:val="20"/>
                <w:szCs w:val="18"/>
              </w:rPr>
              <w:t xml:space="preserve">0,00 </w:t>
            </w:r>
          </w:p>
        </w:tc>
      </w:tr>
      <w:tr w:rsidR="00CE622A" w:rsidRPr="00E00297" w14:paraId="483383BB" w14:textId="77777777" w:rsidTr="00B66CD2">
        <w:trPr>
          <w:trHeight w:val="375"/>
        </w:trPr>
        <w:tc>
          <w:tcPr>
            <w:tcW w:w="1537" w:type="pct"/>
            <w:shd w:val="clear" w:color="auto" w:fill="F2F2F2" w:themeFill="background1" w:themeFillShade="F2"/>
            <w:vAlign w:val="center"/>
          </w:tcPr>
          <w:p w14:paraId="6B5C9C80" w14:textId="3F8947E9" w:rsidR="001B1F56" w:rsidRPr="00FC64BF" w:rsidRDefault="001B1F56" w:rsidP="002A04BF">
            <w:pPr>
              <w:rPr>
                <w:rFonts w:cs="Times New Roman"/>
                <w:sz w:val="20"/>
                <w:szCs w:val="18"/>
              </w:rPr>
            </w:pPr>
            <w:r w:rsidRPr="00FC64BF">
              <w:rPr>
                <w:rFonts w:cs="Times New Roman"/>
                <w:sz w:val="20"/>
                <w:szCs w:val="18"/>
              </w:rPr>
              <w:t>ROK PROVEDBE</w:t>
            </w:r>
            <w:r w:rsidR="00F67753" w:rsidRPr="00FC64BF">
              <w:rPr>
                <w:rFonts w:cs="Times New Roman"/>
                <w:sz w:val="20"/>
                <w:szCs w:val="18"/>
              </w:rPr>
              <w:t xml:space="preserve"> </w:t>
            </w:r>
            <w:r w:rsidRPr="00FC64BF">
              <w:rPr>
                <w:rFonts w:cs="Times New Roman"/>
                <w:sz w:val="20"/>
                <w:szCs w:val="18"/>
              </w:rPr>
              <w:t>AKTIVNOSTI</w:t>
            </w:r>
          </w:p>
        </w:tc>
        <w:tc>
          <w:tcPr>
            <w:tcW w:w="3463" w:type="pct"/>
            <w:gridSpan w:val="3"/>
            <w:vAlign w:val="center"/>
          </w:tcPr>
          <w:p w14:paraId="5AECC44C" w14:textId="24479C6D" w:rsidR="001B1F56" w:rsidRPr="00FC64BF" w:rsidRDefault="001B1F56">
            <w:pPr>
              <w:rPr>
                <w:rFonts w:cs="Times New Roman"/>
                <w:sz w:val="20"/>
                <w:szCs w:val="18"/>
              </w:rPr>
            </w:pPr>
            <w:r w:rsidRPr="00FC64BF">
              <w:rPr>
                <w:rFonts w:cs="Times New Roman"/>
                <w:sz w:val="20"/>
                <w:szCs w:val="18"/>
              </w:rPr>
              <w:t>I. kvartal 202</w:t>
            </w:r>
            <w:r w:rsidR="00F14FBE">
              <w:rPr>
                <w:rFonts w:cs="Times New Roman"/>
                <w:sz w:val="20"/>
                <w:szCs w:val="18"/>
              </w:rPr>
              <w:t>6</w:t>
            </w:r>
            <w:r w:rsidRPr="00FC64BF">
              <w:rPr>
                <w:rFonts w:cs="Times New Roman"/>
                <w:sz w:val="20"/>
                <w:szCs w:val="18"/>
              </w:rPr>
              <w:t xml:space="preserve">. </w:t>
            </w:r>
          </w:p>
        </w:tc>
      </w:tr>
    </w:tbl>
    <w:p w14:paraId="34948E76" w14:textId="77777777" w:rsidR="001B1F56" w:rsidRDefault="001B1F56" w:rsidP="00D36147">
      <w:pPr>
        <w:spacing w:after="0" w:line="276" w:lineRule="auto"/>
        <w:jc w:val="both"/>
        <w:rPr>
          <w:rFonts w:cs="Times New Roman"/>
          <w:bCs/>
          <w:szCs w:val="24"/>
        </w:rPr>
      </w:pPr>
    </w:p>
    <w:p w14:paraId="23CE0720" w14:textId="77777777" w:rsidR="003379F1" w:rsidRPr="00FC64BF" w:rsidRDefault="003379F1" w:rsidP="00D36147">
      <w:pPr>
        <w:spacing w:after="0" w:line="276" w:lineRule="auto"/>
        <w:jc w:val="both"/>
        <w:rPr>
          <w:rFonts w:cs="Times New Roman"/>
          <w:bCs/>
          <w:szCs w:val="24"/>
        </w:rPr>
      </w:pPr>
    </w:p>
    <w:p w14:paraId="3ADBCA9F" w14:textId="1893BBCD" w:rsidR="004650B7" w:rsidRPr="00FC64BF" w:rsidRDefault="004650B7" w:rsidP="00D36147">
      <w:pPr>
        <w:pStyle w:val="Heading2"/>
        <w:spacing w:before="0" w:line="276" w:lineRule="auto"/>
        <w:rPr>
          <w:rFonts w:cs="Times New Roman"/>
        </w:rPr>
      </w:pPr>
      <w:r w:rsidRPr="00FC64BF">
        <w:rPr>
          <w:rFonts w:cs="Times New Roman"/>
        </w:rPr>
        <w:t>Mjera 6.2. Ispunjavanje preduvjeta za sustavno praćenje zdravlja romske populacije</w:t>
      </w:r>
    </w:p>
    <w:p w14:paraId="76A8CF51" w14:textId="77777777" w:rsidR="00754E0C" w:rsidRPr="00FC64BF" w:rsidRDefault="00754E0C" w:rsidP="004A3B23">
      <w:pPr>
        <w:spacing w:after="0" w:line="276" w:lineRule="auto"/>
        <w:jc w:val="both"/>
        <w:rPr>
          <w:rFonts w:cs="Times New Roman"/>
          <w:i/>
          <w:iCs/>
          <w:szCs w:val="24"/>
        </w:rPr>
      </w:pPr>
    </w:p>
    <w:p w14:paraId="024FCAE2" w14:textId="0BA90B0D" w:rsidR="00560B29" w:rsidRPr="00FC64BF" w:rsidRDefault="00560B29" w:rsidP="00D36147">
      <w:pPr>
        <w:spacing w:after="0" w:line="276" w:lineRule="auto"/>
        <w:jc w:val="both"/>
        <w:rPr>
          <w:rFonts w:cs="Times New Roman"/>
          <w:i/>
          <w:iCs/>
          <w:szCs w:val="24"/>
        </w:rPr>
      </w:pPr>
      <w:r w:rsidRPr="00FC64BF">
        <w:rPr>
          <w:rFonts w:cs="Times New Roman"/>
          <w:i/>
          <w:iCs/>
          <w:szCs w:val="24"/>
        </w:rPr>
        <w:t xml:space="preserve">Aktivnost 6.2.1. </w:t>
      </w:r>
      <w:r w:rsidR="009D3243" w:rsidRPr="00FC64BF">
        <w:rPr>
          <w:rFonts w:cs="Times New Roman"/>
          <w:i/>
          <w:sz w:val="22"/>
          <w:szCs w:val="20"/>
        </w:rPr>
        <w:t>Zdravstvena slika pripadnika romske nacionalne manjine</w:t>
      </w:r>
      <w:r w:rsidR="009D3243" w:rsidRPr="00FC64BF">
        <w:rPr>
          <w:rFonts w:cs="Times New Roman"/>
          <w:i/>
          <w:iCs/>
          <w:szCs w:val="24"/>
        </w:rPr>
        <w:t xml:space="preserve"> </w:t>
      </w:r>
    </w:p>
    <w:p w14:paraId="7DB6F377" w14:textId="1CD3E35C" w:rsidR="00FF7765" w:rsidRPr="00FC64BF" w:rsidRDefault="00560B29" w:rsidP="00D36147">
      <w:pPr>
        <w:spacing w:after="0" w:line="276" w:lineRule="auto"/>
        <w:jc w:val="both"/>
        <w:rPr>
          <w:rFonts w:cs="Times New Roman"/>
          <w:i/>
          <w:iCs/>
          <w:szCs w:val="24"/>
        </w:rPr>
      </w:pPr>
      <w:r w:rsidRPr="00FC64BF">
        <w:rPr>
          <w:rFonts w:cs="Times New Roman"/>
          <w:i/>
          <w:iCs/>
          <w:szCs w:val="24"/>
        </w:rPr>
        <w:t xml:space="preserve">Nositelj provedbe: </w:t>
      </w:r>
      <w:r w:rsidR="004650B7" w:rsidRPr="00FC64BF">
        <w:rPr>
          <w:rFonts w:cs="Times New Roman"/>
          <w:i/>
          <w:iCs/>
          <w:szCs w:val="24"/>
        </w:rPr>
        <w:t>Ured</w:t>
      </w:r>
      <w:r w:rsidR="00F65D28" w:rsidRPr="00F65D28">
        <w:rPr>
          <w:rFonts w:cs="Times New Roman"/>
          <w:i/>
          <w:iCs/>
        </w:rPr>
        <w:t xml:space="preserve"> </w:t>
      </w:r>
      <w:r w:rsidR="00F65D28">
        <w:rPr>
          <w:rFonts w:cs="Times New Roman"/>
          <w:i/>
          <w:iCs/>
        </w:rPr>
        <w:t>za ljudska prava  i prava nacionalnih manjina</w:t>
      </w:r>
      <w:r w:rsidR="004650B7" w:rsidRPr="00FC64BF">
        <w:rPr>
          <w:rFonts w:cs="Times New Roman"/>
          <w:i/>
          <w:iCs/>
          <w:szCs w:val="24"/>
        </w:rPr>
        <w:t xml:space="preserve"> </w:t>
      </w:r>
    </w:p>
    <w:p w14:paraId="7812CBA0" w14:textId="63D1882A" w:rsidR="004650B7" w:rsidRPr="00FC64BF" w:rsidRDefault="00FF7765" w:rsidP="00D36147">
      <w:pPr>
        <w:spacing w:after="0" w:line="276" w:lineRule="auto"/>
        <w:jc w:val="both"/>
        <w:rPr>
          <w:rFonts w:cs="Times New Roman"/>
          <w:i/>
          <w:iCs/>
          <w:szCs w:val="24"/>
        </w:rPr>
      </w:pPr>
      <w:r w:rsidRPr="00FC64BF">
        <w:rPr>
          <w:rFonts w:cs="Times New Roman"/>
          <w:i/>
          <w:iCs/>
          <w:szCs w:val="24"/>
        </w:rPr>
        <w:t xml:space="preserve">Partneri: </w:t>
      </w:r>
      <w:r w:rsidR="004650B7" w:rsidRPr="00FC64BF">
        <w:rPr>
          <w:rFonts w:cs="Times New Roman"/>
          <w:i/>
          <w:iCs/>
          <w:szCs w:val="24"/>
        </w:rPr>
        <w:t>Hrvatski zavod za javno zdravstvo</w:t>
      </w:r>
    </w:p>
    <w:p w14:paraId="549FF41C" w14:textId="77777777" w:rsidR="00593DCC" w:rsidRPr="00FC64BF" w:rsidRDefault="00593DCC" w:rsidP="00D36147">
      <w:pPr>
        <w:spacing w:after="0" w:line="276" w:lineRule="auto"/>
        <w:jc w:val="both"/>
        <w:rPr>
          <w:rFonts w:cs="Times New Roman"/>
          <w:i/>
          <w:iCs/>
          <w:szCs w:val="24"/>
        </w:rPr>
      </w:pPr>
    </w:p>
    <w:p w14:paraId="0BA6E8AB" w14:textId="5FB5165F" w:rsidR="0001101B" w:rsidRPr="00FC64BF" w:rsidRDefault="005C74DF" w:rsidP="00D36147">
      <w:pPr>
        <w:spacing w:after="0" w:line="276" w:lineRule="auto"/>
        <w:jc w:val="both"/>
        <w:rPr>
          <w:rFonts w:cs="Times New Roman"/>
          <w:szCs w:val="24"/>
        </w:rPr>
      </w:pPr>
      <w:r w:rsidRPr="00FC64BF">
        <w:rPr>
          <w:rFonts w:cs="Times New Roman"/>
          <w:szCs w:val="24"/>
        </w:rPr>
        <w:t>Provedba aktivnosti nije planira</w:t>
      </w:r>
      <w:r w:rsidR="001D5C13" w:rsidRPr="00FC64BF">
        <w:rPr>
          <w:rFonts w:cs="Times New Roman"/>
          <w:szCs w:val="24"/>
        </w:rPr>
        <w:t>n</w:t>
      </w:r>
      <w:r w:rsidRPr="00FC64BF">
        <w:rPr>
          <w:rFonts w:cs="Times New Roman"/>
          <w:szCs w:val="24"/>
        </w:rPr>
        <w:t>a u 202</w:t>
      </w:r>
      <w:r w:rsidR="00EE2053" w:rsidRPr="00FC64BF">
        <w:rPr>
          <w:rFonts w:cs="Times New Roman"/>
          <w:szCs w:val="24"/>
        </w:rPr>
        <w:t>4</w:t>
      </w:r>
      <w:r w:rsidRPr="00FC64BF">
        <w:rPr>
          <w:rFonts w:cs="Times New Roman"/>
          <w:szCs w:val="24"/>
        </w:rPr>
        <w:t xml:space="preserve">. </w:t>
      </w:r>
      <w:r w:rsidR="001A1802">
        <w:rPr>
          <w:rFonts w:cs="Times New Roman"/>
          <w:szCs w:val="24"/>
        </w:rPr>
        <w:t>godini.</w:t>
      </w:r>
    </w:p>
    <w:p w14:paraId="14273374" w14:textId="77777777" w:rsidR="00524406" w:rsidRPr="00FC64BF" w:rsidRDefault="00524406" w:rsidP="00D36147">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2785"/>
        <w:gridCol w:w="2231"/>
        <w:gridCol w:w="2208"/>
        <w:gridCol w:w="1838"/>
      </w:tblGrid>
      <w:tr w:rsidR="00CE622A" w:rsidRPr="00E00297" w14:paraId="394266C3" w14:textId="77777777" w:rsidTr="00B66CD2">
        <w:trPr>
          <w:trHeight w:val="606"/>
        </w:trPr>
        <w:tc>
          <w:tcPr>
            <w:tcW w:w="1537" w:type="pct"/>
            <w:shd w:val="clear" w:color="auto" w:fill="F2F2F2" w:themeFill="background1" w:themeFillShade="F2"/>
            <w:vAlign w:val="center"/>
          </w:tcPr>
          <w:p w14:paraId="573032C6" w14:textId="77777777" w:rsidR="0001101B" w:rsidRPr="00FC64BF" w:rsidRDefault="0001101B" w:rsidP="002A04BF">
            <w:pPr>
              <w:rPr>
                <w:rFonts w:cs="Times New Roman"/>
                <w:b/>
                <w:sz w:val="20"/>
                <w:szCs w:val="18"/>
              </w:rPr>
            </w:pPr>
            <w:r w:rsidRPr="00FC64BF">
              <w:rPr>
                <w:rFonts w:cs="Times New Roman"/>
                <w:b/>
                <w:sz w:val="20"/>
                <w:szCs w:val="18"/>
              </w:rPr>
              <w:t>Pokazatelji provedbe i pokazatelji uspješnosti provedbe</w:t>
            </w:r>
          </w:p>
        </w:tc>
        <w:tc>
          <w:tcPr>
            <w:tcW w:w="1231" w:type="pct"/>
            <w:shd w:val="clear" w:color="auto" w:fill="F2F2F2" w:themeFill="background1" w:themeFillShade="F2"/>
            <w:vAlign w:val="center"/>
          </w:tcPr>
          <w:p w14:paraId="6F18C319" w14:textId="56F98AB9" w:rsidR="0001101B" w:rsidRPr="00FC64BF" w:rsidRDefault="0001101B" w:rsidP="002A04BF">
            <w:pPr>
              <w:jc w:val="center"/>
              <w:rPr>
                <w:rFonts w:eastAsia="Calibri" w:cs="Times New Roman"/>
                <w:b/>
                <w:strike/>
                <w:sz w:val="20"/>
                <w:szCs w:val="18"/>
              </w:rPr>
            </w:pPr>
            <w:r w:rsidRPr="00FC64BF">
              <w:rPr>
                <w:rFonts w:eastAsia="Calibri" w:cs="Times New Roman"/>
                <w:b/>
                <w:sz w:val="20"/>
                <w:szCs w:val="18"/>
              </w:rPr>
              <w:t>Broj sudionika</w:t>
            </w:r>
          </w:p>
        </w:tc>
        <w:tc>
          <w:tcPr>
            <w:tcW w:w="1218" w:type="pct"/>
            <w:shd w:val="clear" w:color="auto" w:fill="F2F2F2" w:themeFill="background1" w:themeFillShade="F2"/>
            <w:vAlign w:val="center"/>
          </w:tcPr>
          <w:p w14:paraId="240188E0" w14:textId="47ACB50F" w:rsidR="0001101B" w:rsidRPr="00FC64BF" w:rsidRDefault="0001101B" w:rsidP="002A04BF">
            <w:pPr>
              <w:jc w:val="center"/>
              <w:rPr>
                <w:rFonts w:cs="Times New Roman"/>
                <w:b/>
                <w:sz w:val="20"/>
                <w:szCs w:val="18"/>
              </w:rPr>
            </w:pPr>
            <w:r w:rsidRPr="00FC64BF">
              <w:rPr>
                <w:rFonts w:cs="Times New Roman"/>
                <w:b/>
                <w:sz w:val="20"/>
                <w:szCs w:val="18"/>
              </w:rPr>
              <w:t>Broj djece sudionika</w:t>
            </w:r>
          </w:p>
        </w:tc>
        <w:tc>
          <w:tcPr>
            <w:tcW w:w="1014" w:type="pct"/>
            <w:shd w:val="clear" w:color="auto" w:fill="F2F2F2" w:themeFill="background1" w:themeFillShade="F2"/>
            <w:vAlign w:val="center"/>
          </w:tcPr>
          <w:p w14:paraId="69ECB757" w14:textId="53CB1F29" w:rsidR="0001101B" w:rsidRPr="00FC64BF" w:rsidRDefault="0001101B" w:rsidP="002A04BF">
            <w:pPr>
              <w:jc w:val="center"/>
              <w:rPr>
                <w:rFonts w:cs="Times New Roman"/>
                <w:b/>
                <w:sz w:val="20"/>
                <w:szCs w:val="18"/>
              </w:rPr>
            </w:pPr>
            <w:r w:rsidRPr="00FC64BF">
              <w:rPr>
                <w:rFonts w:cs="Times New Roman"/>
                <w:b/>
                <w:sz w:val="20"/>
                <w:szCs w:val="18"/>
              </w:rPr>
              <w:t>Izrađeno istraživačko izvješće</w:t>
            </w:r>
          </w:p>
        </w:tc>
      </w:tr>
      <w:tr w:rsidR="00CE622A" w:rsidRPr="00E00297" w14:paraId="24FC1F4F" w14:textId="77777777" w:rsidTr="00B66CD2">
        <w:tc>
          <w:tcPr>
            <w:tcW w:w="1537" w:type="pct"/>
            <w:shd w:val="clear" w:color="auto" w:fill="F2F2F2" w:themeFill="background1" w:themeFillShade="F2"/>
            <w:vAlign w:val="center"/>
          </w:tcPr>
          <w:p w14:paraId="436D1EBB" w14:textId="65F79990" w:rsidR="0001101B" w:rsidRPr="00FC64BF" w:rsidRDefault="0001101B" w:rsidP="00F65D28">
            <w:pPr>
              <w:rPr>
                <w:rFonts w:cs="Times New Roman"/>
                <w:sz w:val="20"/>
                <w:szCs w:val="18"/>
              </w:rPr>
            </w:pPr>
            <w:r w:rsidRPr="00FC64BF">
              <w:rPr>
                <w:rFonts w:cs="Times New Roman"/>
                <w:sz w:val="20"/>
                <w:szCs w:val="18"/>
              </w:rPr>
              <w:t>Planirani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31" w:type="pct"/>
            <w:vAlign w:val="center"/>
          </w:tcPr>
          <w:p w14:paraId="4C40C83F" w14:textId="68F1D285" w:rsidR="0001101B" w:rsidRPr="00FC64BF" w:rsidRDefault="0001101B" w:rsidP="002A04BF">
            <w:pPr>
              <w:jc w:val="center"/>
              <w:rPr>
                <w:rFonts w:cs="Times New Roman"/>
                <w:sz w:val="20"/>
                <w:szCs w:val="18"/>
              </w:rPr>
            </w:pPr>
            <w:r w:rsidRPr="00FC64BF">
              <w:rPr>
                <w:rFonts w:cs="Times New Roman"/>
                <w:sz w:val="20"/>
                <w:szCs w:val="18"/>
              </w:rPr>
              <w:t>/</w:t>
            </w:r>
          </w:p>
        </w:tc>
        <w:tc>
          <w:tcPr>
            <w:tcW w:w="1218" w:type="pct"/>
            <w:vAlign w:val="center"/>
          </w:tcPr>
          <w:p w14:paraId="6C4EEA55" w14:textId="6067533F" w:rsidR="0001101B" w:rsidRPr="00FC64BF" w:rsidRDefault="0001101B" w:rsidP="002A04BF">
            <w:pPr>
              <w:jc w:val="center"/>
              <w:rPr>
                <w:rFonts w:cs="Times New Roman"/>
                <w:sz w:val="20"/>
                <w:szCs w:val="18"/>
              </w:rPr>
            </w:pPr>
            <w:r w:rsidRPr="00FC64BF">
              <w:rPr>
                <w:rFonts w:cs="Times New Roman"/>
                <w:sz w:val="20"/>
                <w:szCs w:val="18"/>
              </w:rPr>
              <w:t>/</w:t>
            </w:r>
          </w:p>
        </w:tc>
        <w:tc>
          <w:tcPr>
            <w:tcW w:w="1014" w:type="pct"/>
            <w:vAlign w:val="center"/>
          </w:tcPr>
          <w:p w14:paraId="2A80A9BA" w14:textId="77777777" w:rsidR="0001101B" w:rsidRPr="00FC64BF" w:rsidRDefault="0001101B" w:rsidP="002A04BF">
            <w:pPr>
              <w:jc w:val="center"/>
              <w:rPr>
                <w:rFonts w:cs="Times New Roman"/>
                <w:sz w:val="20"/>
                <w:szCs w:val="18"/>
              </w:rPr>
            </w:pPr>
          </w:p>
        </w:tc>
      </w:tr>
      <w:tr w:rsidR="00CE622A" w:rsidRPr="00E00297" w14:paraId="688BA4D9" w14:textId="77777777" w:rsidTr="00B66CD2">
        <w:tc>
          <w:tcPr>
            <w:tcW w:w="1537" w:type="pct"/>
            <w:shd w:val="clear" w:color="auto" w:fill="F2F2F2" w:themeFill="background1" w:themeFillShade="F2"/>
            <w:vAlign w:val="center"/>
          </w:tcPr>
          <w:p w14:paraId="7749F243" w14:textId="66CB222B" w:rsidR="0001101B" w:rsidRPr="00FC64BF" w:rsidRDefault="0001101B" w:rsidP="00F65D28">
            <w:pPr>
              <w:rPr>
                <w:rFonts w:cs="Times New Roman"/>
                <w:sz w:val="20"/>
                <w:szCs w:val="18"/>
              </w:rPr>
            </w:pPr>
            <w:r w:rsidRPr="00FC64BF">
              <w:rPr>
                <w:rFonts w:cs="Times New Roman"/>
                <w:sz w:val="20"/>
                <w:szCs w:val="18"/>
              </w:rPr>
              <w:t>Ostvareni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31" w:type="pct"/>
            <w:vAlign w:val="center"/>
          </w:tcPr>
          <w:p w14:paraId="6ADFE900" w14:textId="77777777" w:rsidR="0001101B" w:rsidRPr="00FC64BF" w:rsidRDefault="0001101B" w:rsidP="002A04BF">
            <w:pPr>
              <w:jc w:val="center"/>
              <w:rPr>
                <w:rFonts w:cs="Times New Roman"/>
                <w:sz w:val="20"/>
                <w:szCs w:val="18"/>
              </w:rPr>
            </w:pPr>
            <w:r w:rsidRPr="00FC64BF">
              <w:rPr>
                <w:rFonts w:cs="Times New Roman"/>
                <w:sz w:val="20"/>
                <w:szCs w:val="18"/>
              </w:rPr>
              <w:t>0</w:t>
            </w:r>
          </w:p>
        </w:tc>
        <w:tc>
          <w:tcPr>
            <w:tcW w:w="1218" w:type="pct"/>
            <w:vAlign w:val="center"/>
          </w:tcPr>
          <w:p w14:paraId="2AFA9E29" w14:textId="77777777" w:rsidR="0001101B" w:rsidRPr="00FC64BF" w:rsidRDefault="0001101B" w:rsidP="002A04BF">
            <w:pPr>
              <w:jc w:val="center"/>
              <w:rPr>
                <w:rFonts w:cs="Times New Roman"/>
                <w:sz w:val="20"/>
                <w:szCs w:val="18"/>
              </w:rPr>
            </w:pPr>
            <w:r w:rsidRPr="00FC64BF">
              <w:rPr>
                <w:rFonts w:cs="Times New Roman"/>
                <w:sz w:val="20"/>
                <w:szCs w:val="18"/>
              </w:rPr>
              <w:t>0</w:t>
            </w:r>
          </w:p>
        </w:tc>
        <w:tc>
          <w:tcPr>
            <w:tcW w:w="1014" w:type="pct"/>
            <w:vAlign w:val="center"/>
          </w:tcPr>
          <w:p w14:paraId="6B9259CB" w14:textId="77777777" w:rsidR="0001101B" w:rsidRPr="00FC64BF" w:rsidRDefault="0001101B" w:rsidP="002A04BF">
            <w:pPr>
              <w:jc w:val="center"/>
              <w:rPr>
                <w:rFonts w:eastAsia="Calibri" w:cs="Times New Roman"/>
                <w:b/>
                <w:sz w:val="20"/>
                <w:szCs w:val="18"/>
              </w:rPr>
            </w:pPr>
          </w:p>
        </w:tc>
      </w:tr>
      <w:tr w:rsidR="00CE622A" w:rsidRPr="00E00297" w14:paraId="12CE080F" w14:textId="77777777" w:rsidTr="00B66CD2">
        <w:tc>
          <w:tcPr>
            <w:tcW w:w="1537" w:type="pct"/>
            <w:shd w:val="clear" w:color="auto" w:fill="F2F2F2" w:themeFill="background1" w:themeFillShade="F2"/>
            <w:vAlign w:val="center"/>
          </w:tcPr>
          <w:p w14:paraId="50400C72" w14:textId="77777777" w:rsidR="0001101B" w:rsidRPr="00FC64BF" w:rsidRDefault="0001101B" w:rsidP="002A04BF">
            <w:pPr>
              <w:rPr>
                <w:rFonts w:cs="Times New Roman"/>
                <w:b/>
                <w:sz w:val="20"/>
                <w:szCs w:val="18"/>
              </w:rPr>
            </w:pPr>
            <w:r w:rsidRPr="00FC64BF">
              <w:rPr>
                <w:rFonts w:cs="Times New Roman"/>
                <w:b/>
                <w:sz w:val="20"/>
                <w:szCs w:val="18"/>
              </w:rPr>
              <w:t xml:space="preserve">IZVORI FINANCIRANJA </w:t>
            </w:r>
          </w:p>
        </w:tc>
        <w:tc>
          <w:tcPr>
            <w:tcW w:w="1231" w:type="pct"/>
            <w:vAlign w:val="center"/>
          </w:tcPr>
          <w:p w14:paraId="442A55AB" w14:textId="77777777" w:rsidR="0001101B" w:rsidRPr="00FC64BF" w:rsidRDefault="0001101B"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27255C50" w14:textId="77777777" w:rsidR="0001101B" w:rsidRPr="00FC64BF" w:rsidRDefault="0001101B"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5F531EB6" w14:textId="77777777" w:rsidR="0001101B" w:rsidRPr="00FC64BF" w:rsidRDefault="0001101B" w:rsidP="002A04BF">
            <w:pPr>
              <w:jc w:val="center"/>
              <w:rPr>
                <w:rFonts w:cs="Times New Roman"/>
                <w:b/>
                <w:sz w:val="20"/>
                <w:szCs w:val="18"/>
              </w:rPr>
            </w:pPr>
            <w:r w:rsidRPr="00FC64BF">
              <w:rPr>
                <w:rFonts w:cs="Times New Roman"/>
                <w:b/>
                <w:sz w:val="20"/>
                <w:szCs w:val="18"/>
              </w:rPr>
              <w:t>Drugi izvori (EUR)</w:t>
            </w:r>
          </w:p>
        </w:tc>
      </w:tr>
      <w:tr w:rsidR="00CE622A" w:rsidRPr="00E00297" w14:paraId="3F2CB634" w14:textId="77777777" w:rsidTr="00B66CD2">
        <w:tc>
          <w:tcPr>
            <w:tcW w:w="1537" w:type="pct"/>
            <w:shd w:val="clear" w:color="auto" w:fill="F2F2F2" w:themeFill="background1" w:themeFillShade="F2"/>
            <w:vAlign w:val="center"/>
          </w:tcPr>
          <w:p w14:paraId="0517D60F" w14:textId="19EACB4D" w:rsidR="0001101B" w:rsidRPr="00FC64BF" w:rsidRDefault="0001101B" w:rsidP="00F65D28">
            <w:pPr>
              <w:rPr>
                <w:rFonts w:cs="Times New Roman"/>
                <w:sz w:val="20"/>
                <w:szCs w:val="18"/>
              </w:rPr>
            </w:pPr>
            <w:r w:rsidRPr="00FC64BF">
              <w:rPr>
                <w:rFonts w:cs="Times New Roman"/>
                <w:sz w:val="20"/>
                <w:szCs w:val="18"/>
              </w:rPr>
              <w:t>Izvori financiranja u 202</w:t>
            </w:r>
            <w:r w:rsidR="00EE2053" w:rsidRPr="00FC64BF">
              <w:rPr>
                <w:rFonts w:cs="Times New Roman"/>
                <w:sz w:val="20"/>
                <w:szCs w:val="18"/>
              </w:rPr>
              <w:t>4</w:t>
            </w:r>
            <w:r w:rsidRPr="00FC64BF">
              <w:rPr>
                <w:rFonts w:cs="Times New Roman"/>
                <w:sz w:val="20"/>
                <w:szCs w:val="18"/>
              </w:rPr>
              <w:t>. (proračunska pozicija i predviđeni iznos sredstava)</w:t>
            </w:r>
          </w:p>
        </w:tc>
        <w:tc>
          <w:tcPr>
            <w:tcW w:w="1231" w:type="pct"/>
            <w:vAlign w:val="center"/>
          </w:tcPr>
          <w:p w14:paraId="7E7BB02C" w14:textId="77777777" w:rsidR="0001101B" w:rsidRPr="00FC64BF" w:rsidRDefault="0001101B" w:rsidP="002A04BF">
            <w:pPr>
              <w:jc w:val="center"/>
              <w:rPr>
                <w:rFonts w:cs="Times New Roman"/>
                <w:sz w:val="20"/>
                <w:szCs w:val="18"/>
              </w:rPr>
            </w:pPr>
            <w:r w:rsidRPr="00FC64BF">
              <w:rPr>
                <w:rFonts w:cs="Times New Roman"/>
                <w:sz w:val="20"/>
                <w:szCs w:val="18"/>
              </w:rPr>
              <w:t>n/p</w:t>
            </w:r>
          </w:p>
        </w:tc>
        <w:tc>
          <w:tcPr>
            <w:tcW w:w="1218" w:type="pct"/>
            <w:vAlign w:val="center"/>
          </w:tcPr>
          <w:p w14:paraId="6A22870F" w14:textId="77777777" w:rsidR="0001101B" w:rsidRPr="00FC64BF" w:rsidRDefault="0001101B" w:rsidP="002A04BF">
            <w:pPr>
              <w:jc w:val="center"/>
              <w:rPr>
                <w:rFonts w:cs="Times New Roman"/>
                <w:sz w:val="20"/>
                <w:szCs w:val="18"/>
              </w:rPr>
            </w:pPr>
            <w:r w:rsidRPr="00FC64BF">
              <w:rPr>
                <w:rFonts w:cs="Times New Roman"/>
                <w:sz w:val="20"/>
                <w:szCs w:val="18"/>
              </w:rPr>
              <w:t>n/p</w:t>
            </w:r>
          </w:p>
        </w:tc>
        <w:tc>
          <w:tcPr>
            <w:tcW w:w="1014" w:type="pct"/>
            <w:vAlign w:val="center"/>
          </w:tcPr>
          <w:p w14:paraId="49A44D0D" w14:textId="77777777" w:rsidR="0001101B" w:rsidRPr="00FC64BF" w:rsidRDefault="0001101B" w:rsidP="002A04BF">
            <w:pPr>
              <w:jc w:val="center"/>
              <w:rPr>
                <w:rFonts w:cs="Times New Roman"/>
                <w:sz w:val="20"/>
                <w:szCs w:val="18"/>
              </w:rPr>
            </w:pPr>
            <w:r w:rsidRPr="00FC64BF">
              <w:rPr>
                <w:rFonts w:cs="Times New Roman"/>
                <w:sz w:val="20"/>
                <w:szCs w:val="18"/>
              </w:rPr>
              <w:t>n/p</w:t>
            </w:r>
          </w:p>
        </w:tc>
      </w:tr>
      <w:tr w:rsidR="00CE622A" w:rsidRPr="00E00297" w14:paraId="18E107A6" w14:textId="77777777" w:rsidTr="00B66CD2">
        <w:tc>
          <w:tcPr>
            <w:tcW w:w="1537" w:type="pct"/>
            <w:vMerge w:val="restart"/>
            <w:shd w:val="clear" w:color="auto" w:fill="F2F2F2" w:themeFill="background1" w:themeFillShade="F2"/>
            <w:vAlign w:val="center"/>
          </w:tcPr>
          <w:p w14:paraId="3156B17F" w14:textId="77777777" w:rsidR="0001101B" w:rsidRPr="00FC64BF" w:rsidRDefault="0001101B" w:rsidP="002A04BF">
            <w:pPr>
              <w:rPr>
                <w:rFonts w:cs="Times New Roman"/>
                <w:b/>
                <w:sz w:val="20"/>
                <w:szCs w:val="18"/>
              </w:rPr>
            </w:pPr>
            <w:r w:rsidRPr="00FC64BF">
              <w:rPr>
                <w:rFonts w:cs="Times New Roman"/>
                <w:b/>
                <w:sz w:val="20"/>
                <w:szCs w:val="18"/>
              </w:rPr>
              <w:t xml:space="preserve">UKUPNO UTROŠENA SREDSTVA PO IZVORU </w:t>
            </w:r>
          </w:p>
        </w:tc>
        <w:tc>
          <w:tcPr>
            <w:tcW w:w="1231" w:type="pct"/>
            <w:vAlign w:val="center"/>
          </w:tcPr>
          <w:p w14:paraId="65E42F59" w14:textId="77777777" w:rsidR="0001101B" w:rsidRPr="00FC64BF" w:rsidRDefault="0001101B"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7DF95DD8" w14:textId="77777777" w:rsidR="0001101B" w:rsidRPr="00FC64BF" w:rsidRDefault="0001101B"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6292129D" w14:textId="77777777" w:rsidR="0001101B" w:rsidRPr="00FC64BF" w:rsidRDefault="0001101B" w:rsidP="002A04BF">
            <w:pPr>
              <w:jc w:val="center"/>
              <w:rPr>
                <w:rFonts w:cs="Times New Roman"/>
                <w:b/>
                <w:sz w:val="20"/>
                <w:szCs w:val="18"/>
              </w:rPr>
            </w:pPr>
            <w:r w:rsidRPr="00FC64BF">
              <w:rPr>
                <w:rFonts w:cs="Times New Roman"/>
                <w:b/>
                <w:sz w:val="20"/>
                <w:szCs w:val="18"/>
              </w:rPr>
              <w:t>Drugi izvori (EUR)</w:t>
            </w:r>
          </w:p>
        </w:tc>
      </w:tr>
      <w:tr w:rsidR="00CE622A" w:rsidRPr="00E00297" w14:paraId="2FB64274" w14:textId="77777777" w:rsidTr="00B66CD2">
        <w:tc>
          <w:tcPr>
            <w:tcW w:w="1537" w:type="pct"/>
            <w:vMerge/>
            <w:shd w:val="clear" w:color="auto" w:fill="F2F2F2" w:themeFill="background1" w:themeFillShade="F2"/>
            <w:vAlign w:val="center"/>
          </w:tcPr>
          <w:p w14:paraId="0BEF3364" w14:textId="77777777" w:rsidR="0001101B" w:rsidRPr="00FC64BF" w:rsidRDefault="0001101B" w:rsidP="002A04BF">
            <w:pPr>
              <w:rPr>
                <w:rFonts w:cs="Times New Roman"/>
                <w:b/>
                <w:sz w:val="20"/>
                <w:szCs w:val="18"/>
              </w:rPr>
            </w:pPr>
          </w:p>
        </w:tc>
        <w:tc>
          <w:tcPr>
            <w:tcW w:w="1231" w:type="pct"/>
            <w:vAlign w:val="center"/>
          </w:tcPr>
          <w:p w14:paraId="72932CC3" w14:textId="5AC821FA" w:rsidR="0001101B" w:rsidRPr="00FC64BF" w:rsidRDefault="0001101B" w:rsidP="002A04BF">
            <w:pPr>
              <w:jc w:val="center"/>
              <w:rPr>
                <w:rFonts w:eastAsia="Calibri" w:cs="Times New Roman"/>
                <w:bCs/>
                <w:sz w:val="20"/>
                <w:szCs w:val="18"/>
              </w:rPr>
            </w:pPr>
            <w:r w:rsidRPr="00FC64BF">
              <w:rPr>
                <w:rFonts w:eastAsia="Calibri" w:cs="Times New Roman"/>
                <w:bCs/>
                <w:sz w:val="20"/>
                <w:szCs w:val="18"/>
              </w:rPr>
              <w:t xml:space="preserve"> </w:t>
            </w:r>
            <w:r w:rsidR="00F65E75" w:rsidRPr="00FC64BF">
              <w:rPr>
                <w:rFonts w:eastAsia="Calibri" w:cs="Times New Roman"/>
                <w:bCs/>
                <w:sz w:val="20"/>
                <w:szCs w:val="18"/>
              </w:rPr>
              <w:t>0,00</w:t>
            </w:r>
          </w:p>
        </w:tc>
        <w:tc>
          <w:tcPr>
            <w:tcW w:w="1218" w:type="pct"/>
            <w:vAlign w:val="center"/>
          </w:tcPr>
          <w:p w14:paraId="13291FD7" w14:textId="3F8E9619" w:rsidR="0001101B" w:rsidRPr="00FC64BF" w:rsidRDefault="00F65E75" w:rsidP="002A04BF">
            <w:pPr>
              <w:jc w:val="center"/>
              <w:rPr>
                <w:rFonts w:cs="Times New Roman"/>
                <w:sz w:val="20"/>
                <w:szCs w:val="18"/>
              </w:rPr>
            </w:pPr>
            <w:r w:rsidRPr="00FC64BF">
              <w:rPr>
                <w:rFonts w:cs="Times New Roman"/>
                <w:sz w:val="20"/>
                <w:szCs w:val="18"/>
              </w:rPr>
              <w:t>0,00</w:t>
            </w:r>
          </w:p>
        </w:tc>
        <w:tc>
          <w:tcPr>
            <w:tcW w:w="1014" w:type="pct"/>
            <w:vAlign w:val="center"/>
          </w:tcPr>
          <w:p w14:paraId="2BB73D45" w14:textId="77777777" w:rsidR="0001101B" w:rsidRPr="00FC64BF" w:rsidRDefault="0001101B" w:rsidP="002A04BF">
            <w:pPr>
              <w:jc w:val="center"/>
              <w:rPr>
                <w:rFonts w:cs="Times New Roman"/>
                <w:sz w:val="20"/>
                <w:szCs w:val="18"/>
              </w:rPr>
            </w:pPr>
            <w:r w:rsidRPr="00FC64BF">
              <w:rPr>
                <w:rFonts w:cs="Times New Roman"/>
                <w:sz w:val="20"/>
                <w:szCs w:val="18"/>
              </w:rPr>
              <w:t xml:space="preserve">0,00 </w:t>
            </w:r>
          </w:p>
        </w:tc>
      </w:tr>
      <w:tr w:rsidR="00CE622A" w:rsidRPr="00E00297" w14:paraId="71DBC311" w14:textId="77777777" w:rsidTr="00B66CD2">
        <w:trPr>
          <w:trHeight w:val="412"/>
        </w:trPr>
        <w:tc>
          <w:tcPr>
            <w:tcW w:w="1537" w:type="pct"/>
            <w:shd w:val="clear" w:color="auto" w:fill="F2F2F2" w:themeFill="background1" w:themeFillShade="F2"/>
            <w:vAlign w:val="center"/>
          </w:tcPr>
          <w:p w14:paraId="2CE42DAB" w14:textId="6AACFEBE" w:rsidR="0001101B" w:rsidRPr="00FC64BF" w:rsidRDefault="0001101B" w:rsidP="002A04BF">
            <w:pPr>
              <w:tabs>
                <w:tab w:val="right" w:pos="2614"/>
              </w:tabs>
              <w:rPr>
                <w:rFonts w:cs="Times New Roman"/>
                <w:sz w:val="20"/>
                <w:szCs w:val="18"/>
              </w:rPr>
            </w:pPr>
            <w:r w:rsidRPr="00FC64BF">
              <w:rPr>
                <w:rFonts w:cs="Times New Roman"/>
                <w:sz w:val="20"/>
                <w:szCs w:val="18"/>
              </w:rPr>
              <w:t>ROK PROVEDBE</w:t>
            </w:r>
            <w:r w:rsidR="00F67753" w:rsidRPr="00FC64BF">
              <w:rPr>
                <w:rFonts w:cs="Times New Roman"/>
                <w:sz w:val="20"/>
                <w:szCs w:val="18"/>
              </w:rPr>
              <w:t xml:space="preserve"> </w:t>
            </w:r>
            <w:r w:rsidRPr="00FC64BF">
              <w:rPr>
                <w:rFonts w:cs="Times New Roman"/>
                <w:sz w:val="20"/>
                <w:szCs w:val="18"/>
              </w:rPr>
              <w:t xml:space="preserve">AKTIVNOSTI </w:t>
            </w:r>
          </w:p>
        </w:tc>
        <w:tc>
          <w:tcPr>
            <w:tcW w:w="3463" w:type="pct"/>
            <w:gridSpan w:val="3"/>
            <w:vAlign w:val="center"/>
          </w:tcPr>
          <w:p w14:paraId="48B8BA9C" w14:textId="77777777" w:rsidR="0001101B" w:rsidRPr="00FC64BF" w:rsidRDefault="0001101B" w:rsidP="002A04BF">
            <w:pPr>
              <w:rPr>
                <w:rFonts w:cs="Times New Roman"/>
                <w:sz w:val="20"/>
                <w:szCs w:val="18"/>
              </w:rPr>
            </w:pPr>
            <w:r w:rsidRPr="00FC64BF">
              <w:rPr>
                <w:rFonts w:cs="Times New Roman"/>
                <w:sz w:val="20"/>
                <w:szCs w:val="18"/>
              </w:rPr>
              <w:t xml:space="preserve">IV. kvartal 2025. </w:t>
            </w:r>
          </w:p>
        </w:tc>
      </w:tr>
    </w:tbl>
    <w:p w14:paraId="4CF42F4C" w14:textId="77777777" w:rsidR="00B66CD2" w:rsidRDefault="00B66CD2" w:rsidP="004A3B23">
      <w:pPr>
        <w:spacing w:after="0" w:line="276" w:lineRule="auto"/>
        <w:jc w:val="both"/>
        <w:rPr>
          <w:rFonts w:cs="Times New Roman"/>
          <w:bCs/>
          <w:i/>
          <w:szCs w:val="24"/>
        </w:rPr>
      </w:pPr>
    </w:p>
    <w:p w14:paraId="7E41AAB9" w14:textId="77777777" w:rsidR="003379F1" w:rsidRPr="00FC64BF" w:rsidRDefault="003379F1" w:rsidP="004A3B23">
      <w:pPr>
        <w:spacing w:after="0" w:line="276" w:lineRule="auto"/>
        <w:jc w:val="both"/>
        <w:rPr>
          <w:rFonts w:cs="Times New Roman"/>
          <w:bCs/>
          <w:i/>
          <w:szCs w:val="24"/>
        </w:rPr>
      </w:pPr>
    </w:p>
    <w:p w14:paraId="1CF90C4E" w14:textId="34DD7EE7" w:rsidR="004650B7" w:rsidRPr="00FC64BF" w:rsidRDefault="004650B7" w:rsidP="00D36147">
      <w:pPr>
        <w:pStyle w:val="Heading2"/>
        <w:spacing w:before="0" w:line="276" w:lineRule="auto"/>
        <w:rPr>
          <w:rFonts w:cs="Times New Roman"/>
        </w:rPr>
      </w:pPr>
      <w:r w:rsidRPr="00FC64BF">
        <w:rPr>
          <w:rFonts w:cs="Times New Roman"/>
        </w:rPr>
        <w:t>Mjera</w:t>
      </w:r>
      <w:r w:rsidR="0055595F" w:rsidRPr="00FC64BF">
        <w:rPr>
          <w:rFonts w:cs="Times New Roman"/>
        </w:rPr>
        <w:t xml:space="preserve"> </w:t>
      </w:r>
      <w:r w:rsidRPr="00FC64BF">
        <w:rPr>
          <w:rFonts w:cs="Times New Roman"/>
        </w:rPr>
        <w:t>6.3. Unapređenje reproduktivnog zdravlja Romkinja</w:t>
      </w:r>
    </w:p>
    <w:p w14:paraId="0B5D998F" w14:textId="77777777" w:rsidR="00754E0C" w:rsidRPr="00FC64BF" w:rsidRDefault="00754E0C" w:rsidP="00D36147">
      <w:pPr>
        <w:spacing w:after="0" w:line="276" w:lineRule="auto"/>
        <w:rPr>
          <w:rFonts w:cs="Times New Roman"/>
          <w:sz w:val="18"/>
        </w:rPr>
      </w:pPr>
    </w:p>
    <w:p w14:paraId="4DC459EB" w14:textId="00BA586D" w:rsidR="00FF7765" w:rsidRPr="00FC64BF" w:rsidRDefault="00FF7765" w:rsidP="004A3B23">
      <w:pPr>
        <w:spacing w:after="0" w:line="276" w:lineRule="auto"/>
        <w:jc w:val="both"/>
        <w:rPr>
          <w:rFonts w:cs="Times New Roman"/>
          <w:i/>
          <w:sz w:val="22"/>
          <w:szCs w:val="20"/>
        </w:rPr>
      </w:pPr>
      <w:r w:rsidRPr="00FC64BF">
        <w:rPr>
          <w:rFonts w:cs="Times New Roman"/>
          <w:bCs/>
          <w:i/>
          <w:szCs w:val="24"/>
        </w:rPr>
        <w:t xml:space="preserve">Aktivnost: </w:t>
      </w:r>
      <w:r w:rsidRPr="00FC64BF">
        <w:rPr>
          <w:rFonts w:cs="Times New Roman"/>
          <w:i/>
          <w:sz w:val="22"/>
          <w:szCs w:val="20"/>
        </w:rPr>
        <w:t>6.3.1. Zdravlje prije svega</w:t>
      </w:r>
    </w:p>
    <w:p w14:paraId="077F1179" w14:textId="2B83A0D9" w:rsidR="009D3243" w:rsidRPr="00FC64BF" w:rsidRDefault="00FF7765" w:rsidP="00D36147">
      <w:pPr>
        <w:spacing w:after="0" w:line="276" w:lineRule="auto"/>
        <w:jc w:val="both"/>
        <w:rPr>
          <w:rFonts w:cs="Times New Roman"/>
          <w:bCs/>
          <w:i/>
          <w:szCs w:val="24"/>
        </w:rPr>
      </w:pPr>
      <w:r w:rsidRPr="00FC64BF">
        <w:rPr>
          <w:rFonts w:cs="Times New Roman"/>
          <w:bCs/>
          <w:i/>
          <w:szCs w:val="24"/>
        </w:rPr>
        <w:t>Nositelj: Ured</w:t>
      </w:r>
      <w:r w:rsidR="00F65D28" w:rsidRPr="00F65D28">
        <w:rPr>
          <w:rFonts w:cs="Times New Roman"/>
          <w:i/>
          <w:iCs/>
        </w:rPr>
        <w:t xml:space="preserve"> </w:t>
      </w:r>
      <w:r w:rsidR="00F65D28">
        <w:rPr>
          <w:rFonts w:cs="Times New Roman"/>
          <w:i/>
          <w:iCs/>
        </w:rPr>
        <w:t>za ljudska prava  i prava nacionalnih manjina</w:t>
      </w:r>
      <w:r w:rsidRPr="00FC64BF">
        <w:rPr>
          <w:rFonts w:cs="Times New Roman"/>
          <w:bCs/>
          <w:i/>
          <w:szCs w:val="24"/>
        </w:rPr>
        <w:t xml:space="preserve"> </w:t>
      </w:r>
    </w:p>
    <w:p w14:paraId="3F2D499F" w14:textId="77777777" w:rsidR="005612A7" w:rsidRPr="00FC64BF" w:rsidRDefault="005612A7" w:rsidP="00D36147">
      <w:pPr>
        <w:spacing w:after="0" w:line="276" w:lineRule="auto"/>
        <w:jc w:val="both"/>
        <w:rPr>
          <w:rFonts w:cs="Times New Roman"/>
          <w:bCs/>
          <w:i/>
          <w:sz w:val="18"/>
          <w:szCs w:val="24"/>
        </w:rPr>
      </w:pPr>
    </w:p>
    <w:p w14:paraId="54993B2B" w14:textId="2FC74D41" w:rsidR="005C74DF" w:rsidRPr="00FC64BF" w:rsidRDefault="005C74DF" w:rsidP="00D36147">
      <w:pPr>
        <w:spacing w:after="0" w:line="276" w:lineRule="auto"/>
        <w:jc w:val="both"/>
        <w:rPr>
          <w:rFonts w:cs="Times New Roman"/>
          <w:bCs/>
          <w:szCs w:val="24"/>
        </w:rPr>
      </w:pPr>
      <w:r w:rsidRPr="00FC64BF">
        <w:rPr>
          <w:rFonts w:cs="Times New Roman"/>
          <w:bCs/>
          <w:szCs w:val="24"/>
        </w:rPr>
        <w:t>Provedba aktivnosti nije planira</w:t>
      </w:r>
      <w:r w:rsidR="001D5C13" w:rsidRPr="00FC64BF">
        <w:rPr>
          <w:rFonts w:cs="Times New Roman"/>
          <w:bCs/>
          <w:szCs w:val="24"/>
        </w:rPr>
        <w:t>n</w:t>
      </w:r>
      <w:r w:rsidRPr="00FC64BF">
        <w:rPr>
          <w:rFonts w:cs="Times New Roman"/>
          <w:bCs/>
          <w:szCs w:val="24"/>
        </w:rPr>
        <w:t>a u 202</w:t>
      </w:r>
      <w:r w:rsidR="00EE2053" w:rsidRPr="00FC64BF">
        <w:rPr>
          <w:rFonts w:cs="Times New Roman"/>
          <w:bCs/>
          <w:szCs w:val="24"/>
        </w:rPr>
        <w:t>4</w:t>
      </w:r>
      <w:r w:rsidRPr="00FC64BF">
        <w:rPr>
          <w:rFonts w:cs="Times New Roman"/>
          <w:bCs/>
          <w:szCs w:val="24"/>
        </w:rPr>
        <w:t xml:space="preserve">. </w:t>
      </w:r>
      <w:r w:rsidR="00897A2A">
        <w:rPr>
          <w:rFonts w:cs="Times New Roman"/>
          <w:bCs/>
          <w:szCs w:val="24"/>
        </w:rPr>
        <w:t>godini.</w:t>
      </w:r>
    </w:p>
    <w:p w14:paraId="697AD169" w14:textId="77777777" w:rsidR="00524406" w:rsidRPr="00FC64BF" w:rsidRDefault="00524406" w:rsidP="00D36147">
      <w:pPr>
        <w:spacing w:after="0" w:line="276" w:lineRule="auto"/>
        <w:jc w:val="both"/>
        <w:rPr>
          <w:rFonts w:cs="Times New Roman"/>
          <w:bCs/>
          <w:szCs w:val="24"/>
        </w:rPr>
      </w:pPr>
    </w:p>
    <w:tbl>
      <w:tblPr>
        <w:tblStyle w:val="TableGrid"/>
        <w:tblW w:w="5000" w:type="pct"/>
        <w:tblLayout w:type="fixed"/>
        <w:tblLook w:val="04A0" w:firstRow="1" w:lastRow="0" w:firstColumn="1" w:lastColumn="0" w:noHBand="0" w:noVBand="1"/>
      </w:tblPr>
      <w:tblGrid>
        <w:gridCol w:w="2785"/>
        <w:gridCol w:w="2231"/>
        <w:gridCol w:w="2208"/>
        <w:gridCol w:w="1838"/>
      </w:tblGrid>
      <w:tr w:rsidR="00CE622A" w:rsidRPr="00E00297" w14:paraId="4FFB51C0" w14:textId="77777777" w:rsidTr="00B66CD2">
        <w:trPr>
          <w:trHeight w:val="606"/>
        </w:trPr>
        <w:tc>
          <w:tcPr>
            <w:tcW w:w="1537" w:type="pct"/>
            <w:shd w:val="clear" w:color="auto" w:fill="F2F2F2" w:themeFill="background1" w:themeFillShade="F2"/>
            <w:vAlign w:val="center"/>
          </w:tcPr>
          <w:p w14:paraId="2DEB4ACA" w14:textId="77777777" w:rsidR="0001101B" w:rsidRPr="00FC64BF" w:rsidRDefault="0001101B" w:rsidP="002A04BF">
            <w:pPr>
              <w:rPr>
                <w:rFonts w:cs="Times New Roman"/>
                <w:b/>
                <w:sz w:val="20"/>
                <w:szCs w:val="18"/>
              </w:rPr>
            </w:pPr>
            <w:r w:rsidRPr="00FC64BF">
              <w:rPr>
                <w:rFonts w:cs="Times New Roman"/>
                <w:b/>
                <w:sz w:val="20"/>
                <w:szCs w:val="18"/>
              </w:rPr>
              <w:t>Pokazatelji provedbe i pokazatelji uspješnosti provedbe</w:t>
            </w:r>
          </w:p>
        </w:tc>
        <w:tc>
          <w:tcPr>
            <w:tcW w:w="1231" w:type="pct"/>
            <w:shd w:val="clear" w:color="auto" w:fill="F2F2F2" w:themeFill="background1" w:themeFillShade="F2"/>
            <w:vAlign w:val="center"/>
          </w:tcPr>
          <w:p w14:paraId="36A0EC8B" w14:textId="17E514CE" w:rsidR="0001101B" w:rsidRPr="00FC64BF" w:rsidRDefault="00415E04" w:rsidP="002A04BF">
            <w:pPr>
              <w:jc w:val="center"/>
              <w:rPr>
                <w:rFonts w:eastAsia="Calibri" w:cs="Times New Roman"/>
                <w:b/>
                <w:strike/>
                <w:sz w:val="20"/>
                <w:szCs w:val="18"/>
              </w:rPr>
            </w:pPr>
            <w:r w:rsidRPr="00FC64BF">
              <w:rPr>
                <w:rFonts w:eastAsia="Calibri" w:cs="Times New Roman"/>
                <w:b/>
                <w:sz w:val="20"/>
                <w:szCs w:val="18"/>
              </w:rPr>
              <w:t>Broj događanja</w:t>
            </w:r>
          </w:p>
        </w:tc>
        <w:tc>
          <w:tcPr>
            <w:tcW w:w="1218" w:type="pct"/>
            <w:shd w:val="clear" w:color="auto" w:fill="F2F2F2" w:themeFill="background1" w:themeFillShade="F2"/>
            <w:vAlign w:val="center"/>
          </w:tcPr>
          <w:p w14:paraId="569F5D12" w14:textId="1A2D8251" w:rsidR="0001101B" w:rsidRPr="00FC64BF" w:rsidRDefault="00415E04" w:rsidP="003B763E">
            <w:pPr>
              <w:jc w:val="center"/>
              <w:rPr>
                <w:rFonts w:cs="Times New Roman"/>
                <w:b/>
                <w:sz w:val="20"/>
                <w:szCs w:val="18"/>
              </w:rPr>
            </w:pPr>
            <w:r w:rsidRPr="00FC64BF">
              <w:rPr>
                <w:rFonts w:cs="Times New Roman"/>
                <w:b/>
                <w:sz w:val="20"/>
                <w:szCs w:val="18"/>
              </w:rPr>
              <w:t>Broj sudionika</w:t>
            </w:r>
            <w:r w:rsidR="003B763E" w:rsidRPr="00FC64BF">
              <w:rPr>
                <w:rFonts w:cs="Times New Roman"/>
                <w:b/>
                <w:sz w:val="20"/>
                <w:szCs w:val="18"/>
              </w:rPr>
              <w:t xml:space="preserve"> </w:t>
            </w:r>
            <w:r w:rsidRPr="00FC64BF">
              <w:rPr>
                <w:rFonts w:cs="Times New Roman"/>
                <w:b/>
                <w:sz w:val="20"/>
                <w:szCs w:val="18"/>
              </w:rPr>
              <w:t>događanja</w:t>
            </w:r>
          </w:p>
        </w:tc>
        <w:tc>
          <w:tcPr>
            <w:tcW w:w="1014" w:type="pct"/>
            <w:shd w:val="clear" w:color="auto" w:fill="F2F2F2" w:themeFill="background1" w:themeFillShade="F2"/>
            <w:vAlign w:val="center"/>
          </w:tcPr>
          <w:p w14:paraId="3AC26DCE" w14:textId="3EC63A4B" w:rsidR="0001101B" w:rsidRPr="00FC64BF" w:rsidRDefault="00415E04" w:rsidP="002A04BF">
            <w:pPr>
              <w:jc w:val="center"/>
              <w:rPr>
                <w:rFonts w:cs="Times New Roman"/>
                <w:b/>
                <w:sz w:val="20"/>
                <w:szCs w:val="18"/>
              </w:rPr>
            </w:pPr>
            <w:r w:rsidRPr="00FC64BF">
              <w:rPr>
                <w:rFonts w:cs="Times New Roman"/>
                <w:b/>
                <w:sz w:val="20"/>
                <w:szCs w:val="18"/>
              </w:rPr>
              <w:t>Broj žena sudionica</w:t>
            </w:r>
          </w:p>
        </w:tc>
      </w:tr>
      <w:tr w:rsidR="00CE622A" w:rsidRPr="00E00297" w14:paraId="0E8D94BA" w14:textId="77777777" w:rsidTr="00B66CD2">
        <w:tc>
          <w:tcPr>
            <w:tcW w:w="1537" w:type="pct"/>
            <w:shd w:val="clear" w:color="auto" w:fill="F2F2F2" w:themeFill="background1" w:themeFillShade="F2"/>
            <w:vAlign w:val="center"/>
          </w:tcPr>
          <w:p w14:paraId="777C0B63" w14:textId="3529774F" w:rsidR="0001101B" w:rsidRPr="00FC64BF" w:rsidRDefault="0001101B" w:rsidP="00F65D28">
            <w:pPr>
              <w:rPr>
                <w:rFonts w:cs="Times New Roman"/>
                <w:sz w:val="20"/>
                <w:szCs w:val="18"/>
              </w:rPr>
            </w:pPr>
            <w:r w:rsidRPr="00FC64BF">
              <w:rPr>
                <w:rFonts w:cs="Times New Roman"/>
                <w:sz w:val="20"/>
                <w:szCs w:val="18"/>
              </w:rPr>
              <w:t>Planirani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31" w:type="pct"/>
            <w:vAlign w:val="center"/>
          </w:tcPr>
          <w:p w14:paraId="6CCDD098" w14:textId="0D2D79EB" w:rsidR="0001101B" w:rsidRPr="00FC64BF" w:rsidRDefault="00415E04" w:rsidP="002A04BF">
            <w:pPr>
              <w:jc w:val="center"/>
              <w:rPr>
                <w:rFonts w:cs="Times New Roman"/>
                <w:sz w:val="20"/>
                <w:szCs w:val="18"/>
              </w:rPr>
            </w:pPr>
            <w:r w:rsidRPr="00FC64BF">
              <w:rPr>
                <w:rFonts w:cs="Times New Roman"/>
                <w:sz w:val="20"/>
                <w:szCs w:val="18"/>
              </w:rPr>
              <w:t>n/p</w:t>
            </w:r>
          </w:p>
        </w:tc>
        <w:tc>
          <w:tcPr>
            <w:tcW w:w="1218" w:type="pct"/>
            <w:vAlign w:val="center"/>
          </w:tcPr>
          <w:p w14:paraId="2EC84C55" w14:textId="2B83E146" w:rsidR="0001101B" w:rsidRPr="00FC64BF" w:rsidRDefault="00415E04" w:rsidP="002A04BF">
            <w:pPr>
              <w:jc w:val="center"/>
              <w:rPr>
                <w:rFonts w:cs="Times New Roman"/>
                <w:sz w:val="20"/>
                <w:szCs w:val="18"/>
              </w:rPr>
            </w:pPr>
            <w:r w:rsidRPr="00FC64BF">
              <w:rPr>
                <w:rFonts w:cs="Times New Roman"/>
                <w:sz w:val="20"/>
                <w:szCs w:val="18"/>
              </w:rPr>
              <w:t>n/p</w:t>
            </w:r>
          </w:p>
        </w:tc>
        <w:tc>
          <w:tcPr>
            <w:tcW w:w="1014" w:type="pct"/>
            <w:vAlign w:val="center"/>
          </w:tcPr>
          <w:p w14:paraId="55252F1F" w14:textId="67B017E1" w:rsidR="0001101B" w:rsidRPr="00FC64BF" w:rsidRDefault="00415E04" w:rsidP="002A04BF">
            <w:pPr>
              <w:jc w:val="center"/>
              <w:rPr>
                <w:rFonts w:cs="Times New Roman"/>
                <w:sz w:val="20"/>
                <w:szCs w:val="18"/>
              </w:rPr>
            </w:pPr>
            <w:r w:rsidRPr="00FC64BF">
              <w:rPr>
                <w:rFonts w:cs="Times New Roman"/>
                <w:sz w:val="20"/>
                <w:szCs w:val="18"/>
              </w:rPr>
              <w:t>n/p</w:t>
            </w:r>
          </w:p>
        </w:tc>
      </w:tr>
      <w:tr w:rsidR="00CE622A" w:rsidRPr="00E00297" w14:paraId="1B5E74CE" w14:textId="77777777" w:rsidTr="00B66CD2">
        <w:tc>
          <w:tcPr>
            <w:tcW w:w="1537" w:type="pct"/>
            <w:shd w:val="clear" w:color="auto" w:fill="F2F2F2" w:themeFill="background1" w:themeFillShade="F2"/>
            <w:vAlign w:val="center"/>
          </w:tcPr>
          <w:p w14:paraId="688F5C97" w14:textId="12D2DD4E" w:rsidR="0001101B" w:rsidRPr="00FC64BF" w:rsidRDefault="0001101B" w:rsidP="00F65D28">
            <w:pPr>
              <w:rPr>
                <w:rFonts w:cs="Times New Roman"/>
                <w:sz w:val="20"/>
                <w:szCs w:val="18"/>
              </w:rPr>
            </w:pPr>
            <w:r w:rsidRPr="00FC64BF">
              <w:rPr>
                <w:rFonts w:cs="Times New Roman"/>
                <w:sz w:val="20"/>
                <w:szCs w:val="18"/>
              </w:rPr>
              <w:t xml:space="preserve">Ostvareni ishodi za pokazatelje provedbe u </w:t>
            </w:r>
            <w:r w:rsidR="00E00297" w:rsidRPr="00FC64BF">
              <w:rPr>
                <w:rFonts w:cs="Times New Roman"/>
                <w:sz w:val="20"/>
                <w:szCs w:val="18"/>
              </w:rPr>
              <w:t>202</w:t>
            </w:r>
            <w:r w:rsidR="00EE2053" w:rsidRPr="00FC64BF">
              <w:rPr>
                <w:rFonts w:cs="Times New Roman"/>
                <w:sz w:val="20"/>
                <w:szCs w:val="18"/>
              </w:rPr>
              <w:t>4</w:t>
            </w:r>
            <w:r w:rsidR="00E00297" w:rsidRPr="00FC64BF">
              <w:rPr>
                <w:rFonts w:cs="Times New Roman"/>
                <w:sz w:val="20"/>
                <w:szCs w:val="18"/>
              </w:rPr>
              <w:t>.</w:t>
            </w:r>
          </w:p>
        </w:tc>
        <w:tc>
          <w:tcPr>
            <w:tcW w:w="1231" w:type="pct"/>
            <w:vAlign w:val="center"/>
          </w:tcPr>
          <w:p w14:paraId="5EDFEF76" w14:textId="701D4098" w:rsidR="0001101B" w:rsidRPr="00FC64BF" w:rsidRDefault="00A941D2" w:rsidP="002A04BF">
            <w:pPr>
              <w:jc w:val="center"/>
              <w:rPr>
                <w:rFonts w:cs="Times New Roman"/>
                <w:sz w:val="20"/>
                <w:szCs w:val="18"/>
              </w:rPr>
            </w:pPr>
            <w:r w:rsidRPr="00FC64BF">
              <w:rPr>
                <w:rFonts w:cs="Times New Roman"/>
                <w:sz w:val="20"/>
                <w:szCs w:val="18"/>
              </w:rPr>
              <w:t>n/p</w:t>
            </w:r>
          </w:p>
        </w:tc>
        <w:tc>
          <w:tcPr>
            <w:tcW w:w="1218" w:type="pct"/>
            <w:vAlign w:val="center"/>
          </w:tcPr>
          <w:p w14:paraId="4FF25D34" w14:textId="76A737C4" w:rsidR="0001101B" w:rsidRPr="00FC64BF" w:rsidRDefault="00A941D2" w:rsidP="002A04BF">
            <w:pPr>
              <w:jc w:val="center"/>
              <w:rPr>
                <w:rFonts w:cs="Times New Roman"/>
                <w:sz w:val="20"/>
                <w:szCs w:val="18"/>
              </w:rPr>
            </w:pPr>
            <w:r w:rsidRPr="00FC64BF">
              <w:rPr>
                <w:rFonts w:cs="Times New Roman"/>
                <w:sz w:val="20"/>
                <w:szCs w:val="18"/>
              </w:rPr>
              <w:t>n/p</w:t>
            </w:r>
          </w:p>
        </w:tc>
        <w:tc>
          <w:tcPr>
            <w:tcW w:w="1014" w:type="pct"/>
            <w:vAlign w:val="center"/>
          </w:tcPr>
          <w:p w14:paraId="1FEE7DD7" w14:textId="004707BA" w:rsidR="0001101B" w:rsidRPr="00FC64BF" w:rsidRDefault="00A941D2" w:rsidP="002A04BF">
            <w:pPr>
              <w:jc w:val="center"/>
              <w:rPr>
                <w:rFonts w:eastAsia="Calibri" w:cs="Times New Roman"/>
                <w:sz w:val="20"/>
                <w:szCs w:val="18"/>
              </w:rPr>
            </w:pPr>
            <w:r w:rsidRPr="00FC64BF">
              <w:rPr>
                <w:rFonts w:eastAsia="Calibri" w:cs="Times New Roman"/>
                <w:sz w:val="20"/>
                <w:szCs w:val="18"/>
              </w:rPr>
              <w:t>n/p</w:t>
            </w:r>
          </w:p>
        </w:tc>
      </w:tr>
      <w:tr w:rsidR="00CE622A" w:rsidRPr="00E00297" w14:paraId="67D810B7" w14:textId="77777777" w:rsidTr="00B66CD2">
        <w:tc>
          <w:tcPr>
            <w:tcW w:w="1537" w:type="pct"/>
            <w:shd w:val="clear" w:color="auto" w:fill="F2F2F2" w:themeFill="background1" w:themeFillShade="F2"/>
            <w:vAlign w:val="center"/>
          </w:tcPr>
          <w:p w14:paraId="11B3B232" w14:textId="77777777" w:rsidR="0001101B" w:rsidRPr="00FC64BF" w:rsidRDefault="0001101B" w:rsidP="002A04BF">
            <w:pPr>
              <w:rPr>
                <w:rFonts w:cs="Times New Roman"/>
                <w:b/>
                <w:sz w:val="20"/>
                <w:szCs w:val="18"/>
              </w:rPr>
            </w:pPr>
            <w:r w:rsidRPr="00FC64BF">
              <w:rPr>
                <w:rFonts w:cs="Times New Roman"/>
                <w:b/>
                <w:sz w:val="20"/>
                <w:szCs w:val="18"/>
              </w:rPr>
              <w:t xml:space="preserve">IZVORI FINANCIRANJA </w:t>
            </w:r>
          </w:p>
        </w:tc>
        <w:tc>
          <w:tcPr>
            <w:tcW w:w="1231" w:type="pct"/>
            <w:vAlign w:val="center"/>
          </w:tcPr>
          <w:p w14:paraId="35C7D3D9" w14:textId="77777777" w:rsidR="0001101B" w:rsidRPr="00FC64BF" w:rsidRDefault="0001101B"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4E1701B3" w14:textId="77777777" w:rsidR="0001101B" w:rsidRPr="00FC64BF" w:rsidRDefault="0001101B"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63A91002" w14:textId="77777777" w:rsidR="0001101B" w:rsidRPr="00FC64BF" w:rsidRDefault="0001101B" w:rsidP="002A04BF">
            <w:pPr>
              <w:jc w:val="center"/>
              <w:rPr>
                <w:rFonts w:cs="Times New Roman"/>
                <w:b/>
                <w:sz w:val="20"/>
                <w:szCs w:val="18"/>
              </w:rPr>
            </w:pPr>
            <w:r w:rsidRPr="00FC64BF">
              <w:rPr>
                <w:rFonts w:cs="Times New Roman"/>
                <w:b/>
                <w:sz w:val="20"/>
                <w:szCs w:val="18"/>
              </w:rPr>
              <w:t>Drugi izvori (EUR)</w:t>
            </w:r>
          </w:p>
        </w:tc>
      </w:tr>
      <w:tr w:rsidR="00CE622A" w:rsidRPr="00E00297" w14:paraId="3457CB76" w14:textId="77777777" w:rsidTr="00B66CD2">
        <w:tc>
          <w:tcPr>
            <w:tcW w:w="1537" w:type="pct"/>
            <w:shd w:val="clear" w:color="auto" w:fill="F2F2F2" w:themeFill="background1" w:themeFillShade="F2"/>
            <w:vAlign w:val="center"/>
          </w:tcPr>
          <w:p w14:paraId="67061D36" w14:textId="3E80B761" w:rsidR="0001101B" w:rsidRPr="00FC64BF" w:rsidRDefault="0001101B" w:rsidP="00F65D28">
            <w:pPr>
              <w:rPr>
                <w:rFonts w:cs="Times New Roman"/>
                <w:sz w:val="20"/>
                <w:szCs w:val="18"/>
              </w:rPr>
            </w:pPr>
            <w:r w:rsidRPr="00FC64BF">
              <w:rPr>
                <w:rFonts w:cs="Times New Roman"/>
                <w:sz w:val="20"/>
                <w:szCs w:val="18"/>
              </w:rPr>
              <w:t>Izvori financiranja u 202</w:t>
            </w:r>
            <w:r w:rsidR="00EE2053" w:rsidRPr="00FC64BF">
              <w:rPr>
                <w:rFonts w:cs="Times New Roman"/>
                <w:sz w:val="20"/>
                <w:szCs w:val="18"/>
              </w:rPr>
              <w:t>4</w:t>
            </w:r>
            <w:r w:rsidRPr="00FC64BF">
              <w:rPr>
                <w:rFonts w:cs="Times New Roman"/>
                <w:sz w:val="20"/>
                <w:szCs w:val="18"/>
              </w:rPr>
              <w:t>. (proračunska pozicija i predviđeni iznos sredstava)</w:t>
            </w:r>
          </w:p>
        </w:tc>
        <w:tc>
          <w:tcPr>
            <w:tcW w:w="1231" w:type="pct"/>
            <w:vAlign w:val="center"/>
          </w:tcPr>
          <w:p w14:paraId="709B8D8F" w14:textId="77777777" w:rsidR="0001101B" w:rsidRPr="00FC64BF" w:rsidRDefault="0001101B" w:rsidP="002A04BF">
            <w:pPr>
              <w:jc w:val="center"/>
              <w:rPr>
                <w:rFonts w:cs="Times New Roman"/>
                <w:sz w:val="20"/>
                <w:szCs w:val="18"/>
              </w:rPr>
            </w:pPr>
            <w:r w:rsidRPr="00FC64BF">
              <w:rPr>
                <w:rFonts w:cs="Times New Roman"/>
                <w:sz w:val="20"/>
                <w:szCs w:val="18"/>
              </w:rPr>
              <w:t>n/p</w:t>
            </w:r>
          </w:p>
        </w:tc>
        <w:tc>
          <w:tcPr>
            <w:tcW w:w="1218" w:type="pct"/>
            <w:vAlign w:val="center"/>
          </w:tcPr>
          <w:p w14:paraId="1A92AB33" w14:textId="77777777" w:rsidR="0001101B" w:rsidRPr="00FC64BF" w:rsidRDefault="0001101B" w:rsidP="002A04BF">
            <w:pPr>
              <w:jc w:val="center"/>
              <w:rPr>
                <w:rFonts w:cs="Times New Roman"/>
                <w:sz w:val="20"/>
                <w:szCs w:val="18"/>
              </w:rPr>
            </w:pPr>
            <w:r w:rsidRPr="00FC64BF">
              <w:rPr>
                <w:rFonts w:cs="Times New Roman"/>
                <w:sz w:val="20"/>
                <w:szCs w:val="18"/>
              </w:rPr>
              <w:t>n/p</w:t>
            </w:r>
          </w:p>
        </w:tc>
        <w:tc>
          <w:tcPr>
            <w:tcW w:w="1014" w:type="pct"/>
            <w:vAlign w:val="center"/>
          </w:tcPr>
          <w:p w14:paraId="07BE8DEF" w14:textId="77777777" w:rsidR="0001101B" w:rsidRPr="00FC64BF" w:rsidRDefault="0001101B" w:rsidP="002A04BF">
            <w:pPr>
              <w:jc w:val="center"/>
              <w:rPr>
                <w:rFonts w:cs="Times New Roman"/>
                <w:sz w:val="20"/>
                <w:szCs w:val="18"/>
              </w:rPr>
            </w:pPr>
            <w:r w:rsidRPr="00FC64BF">
              <w:rPr>
                <w:rFonts w:cs="Times New Roman"/>
                <w:sz w:val="20"/>
                <w:szCs w:val="18"/>
              </w:rPr>
              <w:t>n/p</w:t>
            </w:r>
          </w:p>
        </w:tc>
      </w:tr>
      <w:tr w:rsidR="00CE622A" w:rsidRPr="00E00297" w14:paraId="6C70269B" w14:textId="77777777" w:rsidTr="00B66CD2">
        <w:tc>
          <w:tcPr>
            <w:tcW w:w="1537" w:type="pct"/>
            <w:vMerge w:val="restart"/>
            <w:shd w:val="clear" w:color="auto" w:fill="F2F2F2" w:themeFill="background1" w:themeFillShade="F2"/>
            <w:vAlign w:val="center"/>
          </w:tcPr>
          <w:p w14:paraId="27254C34" w14:textId="77777777" w:rsidR="0001101B" w:rsidRPr="00FC64BF" w:rsidRDefault="0001101B" w:rsidP="002A04BF">
            <w:pPr>
              <w:rPr>
                <w:rFonts w:cs="Times New Roman"/>
                <w:b/>
                <w:sz w:val="20"/>
                <w:szCs w:val="18"/>
              </w:rPr>
            </w:pPr>
            <w:r w:rsidRPr="00FC64BF">
              <w:rPr>
                <w:rFonts w:cs="Times New Roman"/>
                <w:b/>
                <w:sz w:val="20"/>
                <w:szCs w:val="18"/>
              </w:rPr>
              <w:t xml:space="preserve">UKUPNO UTROŠENA SREDSTVA PO IZVORU </w:t>
            </w:r>
          </w:p>
        </w:tc>
        <w:tc>
          <w:tcPr>
            <w:tcW w:w="1231" w:type="pct"/>
            <w:vAlign w:val="center"/>
          </w:tcPr>
          <w:p w14:paraId="5CE934AA" w14:textId="77777777" w:rsidR="0001101B" w:rsidRPr="00FC64BF" w:rsidRDefault="0001101B"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79964C6C" w14:textId="77777777" w:rsidR="0001101B" w:rsidRPr="00FC64BF" w:rsidRDefault="0001101B"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15FED64E" w14:textId="77777777" w:rsidR="0001101B" w:rsidRPr="00FC64BF" w:rsidRDefault="0001101B" w:rsidP="002A04BF">
            <w:pPr>
              <w:jc w:val="center"/>
              <w:rPr>
                <w:rFonts w:cs="Times New Roman"/>
                <w:b/>
                <w:sz w:val="20"/>
                <w:szCs w:val="18"/>
              </w:rPr>
            </w:pPr>
            <w:r w:rsidRPr="00FC64BF">
              <w:rPr>
                <w:rFonts w:cs="Times New Roman"/>
                <w:b/>
                <w:sz w:val="20"/>
                <w:szCs w:val="18"/>
              </w:rPr>
              <w:t>Drugi izvori (EUR)</w:t>
            </w:r>
          </w:p>
        </w:tc>
      </w:tr>
      <w:tr w:rsidR="00CE622A" w:rsidRPr="00E00297" w14:paraId="05895CFD" w14:textId="77777777" w:rsidTr="00B66CD2">
        <w:tc>
          <w:tcPr>
            <w:tcW w:w="1537" w:type="pct"/>
            <w:vMerge/>
            <w:shd w:val="clear" w:color="auto" w:fill="F2F2F2" w:themeFill="background1" w:themeFillShade="F2"/>
            <w:vAlign w:val="center"/>
          </w:tcPr>
          <w:p w14:paraId="2585F1F6" w14:textId="77777777" w:rsidR="0001101B" w:rsidRPr="00FC64BF" w:rsidRDefault="0001101B" w:rsidP="002A04BF">
            <w:pPr>
              <w:rPr>
                <w:rFonts w:cs="Times New Roman"/>
                <w:b/>
                <w:sz w:val="20"/>
                <w:szCs w:val="18"/>
              </w:rPr>
            </w:pPr>
          </w:p>
        </w:tc>
        <w:tc>
          <w:tcPr>
            <w:tcW w:w="1231" w:type="pct"/>
            <w:vAlign w:val="center"/>
          </w:tcPr>
          <w:p w14:paraId="1EA02257" w14:textId="4247F95A" w:rsidR="0001101B" w:rsidRPr="00FC64BF" w:rsidRDefault="0001101B" w:rsidP="002A04BF">
            <w:pPr>
              <w:jc w:val="center"/>
              <w:rPr>
                <w:rFonts w:eastAsia="Calibri" w:cs="Times New Roman"/>
                <w:sz w:val="20"/>
              </w:rPr>
            </w:pPr>
            <w:r w:rsidRPr="00FC64BF">
              <w:rPr>
                <w:rFonts w:eastAsia="Calibri" w:cs="Times New Roman"/>
                <w:sz w:val="20"/>
              </w:rPr>
              <w:t xml:space="preserve"> </w:t>
            </w:r>
            <w:r w:rsidR="00415E04" w:rsidRPr="00FC64BF">
              <w:rPr>
                <w:rFonts w:eastAsia="Calibri" w:cs="Times New Roman"/>
                <w:sz w:val="20"/>
              </w:rPr>
              <w:t>0,00</w:t>
            </w:r>
          </w:p>
        </w:tc>
        <w:tc>
          <w:tcPr>
            <w:tcW w:w="1218" w:type="pct"/>
            <w:vAlign w:val="center"/>
          </w:tcPr>
          <w:p w14:paraId="00523163" w14:textId="61B33E08" w:rsidR="0001101B" w:rsidRPr="00FC64BF" w:rsidRDefault="00415E04" w:rsidP="002A04BF">
            <w:pPr>
              <w:jc w:val="center"/>
              <w:rPr>
                <w:rFonts w:cs="Times New Roman"/>
                <w:sz w:val="20"/>
                <w:szCs w:val="18"/>
              </w:rPr>
            </w:pPr>
            <w:r w:rsidRPr="00FC64BF">
              <w:rPr>
                <w:rFonts w:cs="Times New Roman"/>
                <w:sz w:val="20"/>
                <w:szCs w:val="18"/>
              </w:rPr>
              <w:t>0,00</w:t>
            </w:r>
          </w:p>
        </w:tc>
        <w:tc>
          <w:tcPr>
            <w:tcW w:w="1014" w:type="pct"/>
            <w:vAlign w:val="center"/>
          </w:tcPr>
          <w:p w14:paraId="6C3D44E8" w14:textId="77777777" w:rsidR="0001101B" w:rsidRPr="00FC64BF" w:rsidRDefault="0001101B" w:rsidP="002A04BF">
            <w:pPr>
              <w:jc w:val="center"/>
              <w:rPr>
                <w:rFonts w:cs="Times New Roman"/>
                <w:sz w:val="20"/>
                <w:szCs w:val="18"/>
              </w:rPr>
            </w:pPr>
            <w:r w:rsidRPr="00FC64BF">
              <w:rPr>
                <w:rFonts w:cs="Times New Roman"/>
                <w:sz w:val="20"/>
                <w:szCs w:val="18"/>
              </w:rPr>
              <w:t xml:space="preserve">0,00 </w:t>
            </w:r>
          </w:p>
        </w:tc>
      </w:tr>
      <w:tr w:rsidR="00CE622A" w:rsidRPr="00E00297" w14:paraId="03DDA45C" w14:textId="77777777" w:rsidTr="00B66CD2">
        <w:trPr>
          <w:trHeight w:val="518"/>
        </w:trPr>
        <w:tc>
          <w:tcPr>
            <w:tcW w:w="1537" w:type="pct"/>
            <w:shd w:val="clear" w:color="auto" w:fill="F2F2F2" w:themeFill="background1" w:themeFillShade="F2"/>
            <w:vAlign w:val="center"/>
          </w:tcPr>
          <w:p w14:paraId="7099E69D" w14:textId="3E3B399B" w:rsidR="0001101B" w:rsidRPr="00FC64BF" w:rsidRDefault="00A941D2" w:rsidP="002A04BF">
            <w:pPr>
              <w:rPr>
                <w:rFonts w:cs="Times New Roman"/>
                <w:sz w:val="20"/>
                <w:szCs w:val="18"/>
              </w:rPr>
            </w:pPr>
            <w:r w:rsidRPr="00FC64BF">
              <w:rPr>
                <w:rFonts w:cs="Times New Roman"/>
                <w:sz w:val="20"/>
                <w:szCs w:val="18"/>
              </w:rPr>
              <w:t>ROK PROVEDBE</w:t>
            </w:r>
            <w:r w:rsidR="00F67753" w:rsidRPr="00FC64BF">
              <w:rPr>
                <w:rFonts w:cs="Times New Roman"/>
                <w:sz w:val="20"/>
                <w:szCs w:val="18"/>
              </w:rPr>
              <w:t xml:space="preserve"> </w:t>
            </w:r>
            <w:r w:rsidRPr="00FC64BF">
              <w:rPr>
                <w:rFonts w:cs="Times New Roman"/>
                <w:sz w:val="20"/>
                <w:szCs w:val="18"/>
              </w:rPr>
              <w:t>AKTIVNOSTI</w:t>
            </w:r>
          </w:p>
        </w:tc>
        <w:tc>
          <w:tcPr>
            <w:tcW w:w="3463" w:type="pct"/>
            <w:gridSpan w:val="3"/>
            <w:vAlign w:val="center"/>
          </w:tcPr>
          <w:p w14:paraId="5B310D72" w14:textId="77777777" w:rsidR="0001101B" w:rsidRPr="00FC64BF" w:rsidRDefault="0001101B" w:rsidP="002A04BF">
            <w:pPr>
              <w:rPr>
                <w:rFonts w:cs="Times New Roman"/>
                <w:sz w:val="20"/>
                <w:szCs w:val="18"/>
              </w:rPr>
            </w:pPr>
            <w:r w:rsidRPr="00FC64BF">
              <w:rPr>
                <w:rFonts w:cs="Times New Roman"/>
                <w:sz w:val="20"/>
                <w:szCs w:val="18"/>
              </w:rPr>
              <w:t xml:space="preserve">IV. kvartal 2025. </w:t>
            </w:r>
          </w:p>
        </w:tc>
      </w:tr>
    </w:tbl>
    <w:p w14:paraId="476E318D" w14:textId="77777777" w:rsidR="005612A7" w:rsidRDefault="005612A7" w:rsidP="00ED326C"/>
    <w:p w14:paraId="273DAB1E" w14:textId="77777777" w:rsidR="003379F1" w:rsidRPr="00FC64BF" w:rsidRDefault="003379F1" w:rsidP="00ED326C"/>
    <w:p w14:paraId="54B98355" w14:textId="31BEDFF7" w:rsidR="00330FAE" w:rsidRPr="00FC64BF" w:rsidRDefault="00330FAE">
      <w:pPr>
        <w:rPr>
          <w:rFonts w:eastAsiaTheme="majorEastAsia" w:cs="Times New Roman"/>
          <w:b/>
          <w:szCs w:val="26"/>
        </w:rPr>
      </w:pPr>
    </w:p>
    <w:p w14:paraId="1959DE4F" w14:textId="66A4A0CB" w:rsidR="004650B7" w:rsidRPr="00FC64BF" w:rsidRDefault="004650B7" w:rsidP="00D36147">
      <w:pPr>
        <w:pStyle w:val="Heading2"/>
        <w:spacing w:line="276" w:lineRule="auto"/>
        <w:rPr>
          <w:rFonts w:cs="Times New Roman"/>
        </w:rPr>
      </w:pPr>
      <w:r w:rsidRPr="00FC64BF">
        <w:rPr>
          <w:rFonts w:cs="Times New Roman"/>
        </w:rPr>
        <w:t>Mjera 6.4. Povećanje informiranosti romske populacije o rodno utemeljenom nasilju</w:t>
      </w:r>
    </w:p>
    <w:bookmarkEnd w:id="52"/>
    <w:p w14:paraId="5B66DEE0" w14:textId="77777777" w:rsidR="00754E0C" w:rsidRPr="00FC64BF" w:rsidRDefault="00754E0C" w:rsidP="004A3B23">
      <w:pPr>
        <w:spacing w:after="0" w:line="276" w:lineRule="auto"/>
        <w:jc w:val="both"/>
        <w:rPr>
          <w:rFonts w:cs="Times New Roman"/>
          <w:bCs/>
          <w:i/>
          <w:sz w:val="14"/>
          <w:szCs w:val="24"/>
        </w:rPr>
      </w:pPr>
    </w:p>
    <w:p w14:paraId="663F7FFA" w14:textId="2D1D8F3C" w:rsidR="00FF7765" w:rsidRPr="00FC64BF" w:rsidRDefault="00FF7765" w:rsidP="00D36147">
      <w:pPr>
        <w:spacing w:after="0" w:line="276" w:lineRule="auto"/>
        <w:jc w:val="both"/>
        <w:rPr>
          <w:rFonts w:cs="Times New Roman"/>
          <w:i/>
          <w:sz w:val="22"/>
          <w:szCs w:val="20"/>
          <w:lang w:val="de-DE"/>
        </w:rPr>
      </w:pPr>
      <w:r w:rsidRPr="00FC64BF">
        <w:rPr>
          <w:rFonts w:cs="Times New Roman"/>
          <w:bCs/>
          <w:i/>
          <w:szCs w:val="24"/>
        </w:rPr>
        <w:t xml:space="preserve">Aktivnost </w:t>
      </w:r>
      <w:r w:rsidRPr="00FC64BF">
        <w:rPr>
          <w:rFonts w:cs="Times New Roman"/>
          <w:i/>
          <w:sz w:val="22"/>
          <w:szCs w:val="20"/>
          <w:lang w:val="de-DE"/>
        </w:rPr>
        <w:t>6.4.1. Povećanje informiranosti o rodno utemeljenom nasilju</w:t>
      </w:r>
    </w:p>
    <w:p w14:paraId="38CADB99" w14:textId="6A5181E2" w:rsidR="00754E0C" w:rsidRPr="00FC64BF" w:rsidRDefault="00FF7765" w:rsidP="00D36147">
      <w:pPr>
        <w:spacing w:after="0" w:line="276" w:lineRule="auto"/>
        <w:jc w:val="both"/>
        <w:rPr>
          <w:rFonts w:cs="Times New Roman"/>
          <w:bCs/>
          <w:i/>
          <w:sz w:val="20"/>
          <w:szCs w:val="24"/>
        </w:rPr>
      </w:pPr>
      <w:r w:rsidRPr="00FC64BF">
        <w:rPr>
          <w:rFonts w:cs="Times New Roman"/>
          <w:bCs/>
          <w:i/>
          <w:szCs w:val="24"/>
        </w:rPr>
        <w:t xml:space="preserve">Nositelj: Ured </w:t>
      </w:r>
      <w:r w:rsidR="00F65D28">
        <w:rPr>
          <w:rFonts w:cs="Times New Roman"/>
          <w:i/>
          <w:iCs/>
        </w:rPr>
        <w:t>za ljudska prava  i prava nacionalnih manjina</w:t>
      </w:r>
    </w:p>
    <w:p w14:paraId="490689D9" w14:textId="77777777" w:rsidR="00A90DD9" w:rsidRDefault="00A90DD9" w:rsidP="00D36147">
      <w:pPr>
        <w:spacing w:after="0" w:line="276" w:lineRule="auto"/>
        <w:jc w:val="both"/>
        <w:rPr>
          <w:rFonts w:cs="Times New Roman"/>
          <w:bCs/>
          <w:iCs/>
          <w:szCs w:val="24"/>
        </w:rPr>
      </w:pPr>
    </w:p>
    <w:p w14:paraId="32D14755" w14:textId="6C6375B3" w:rsidR="00190175" w:rsidRPr="00FC64BF" w:rsidRDefault="001D5C13" w:rsidP="00D36147">
      <w:pPr>
        <w:spacing w:after="0" w:line="276" w:lineRule="auto"/>
        <w:jc w:val="both"/>
        <w:rPr>
          <w:rFonts w:cs="Times New Roman"/>
          <w:bCs/>
          <w:iCs/>
          <w:szCs w:val="24"/>
        </w:rPr>
      </w:pPr>
      <w:r w:rsidRPr="00FC64BF">
        <w:rPr>
          <w:rFonts w:cs="Times New Roman"/>
          <w:bCs/>
          <w:iCs/>
          <w:szCs w:val="24"/>
        </w:rPr>
        <w:t>Provedba aktivnosti nije planirana u 202</w:t>
      </w:r>
      <w:r w:rsidR="00E00297" w:rsidRPr="00FC64BF">
        <w:rPr>
          <w:rFonts w:cs="Times New Roman"/>
          <w:bCs/>
          <w:iCs/>
          <w:szCs w:val="24"/>
        </w:rPr>
        <w:t>4</w:t>
      </w:r>
      <w:r w:rsidRPr="00FC64BF">
        <w:rPr>
          <w:rFonts w:cs="Times New Roman"/>
          <w:bCs/>
          <w:iCs/>
          <w:szCs w:val="24"/>
        </w:rPr>
        <w:t xml:space="preserve">. </w:t>
      </w:r>
      <w:r w:rsidR="00897A2A">
        <w:rPr>
          <w:rFonts w:cs="Times New Roman"/>
          <w:bCs/>
          <w:iCs/>
          <w:szCs w:val="24"/>
        </w:rPr>
        <w:t>godini.</w:t>
      </w:r>
    </w:p>
    <w:p w14:paraId="5825BDDE" w14:textId="77777777" w:rsidR="0029699C" w:rsidRPr="00FC64BF" w:rsidRDefault="0029699C" w:rsidP="00D36147">
      <w:pPr>
        <w:spacing w:after="0" w:line="276" w:lineRule="auto"/>
        <w:jc w:val="both"/>
        <w:rPr>
          <w:rFonts w:cs="Times New Roman"/>
          <w:bCs/>
          <w:iCs/>
          <w:szCs w:val="24"/>
        </w:rPr>
      </w:pPr>
    </w:p>
    <w:tbl>
      <w:tblPr>
        <w:tblStyle w:val="TableGrid"/>
        <w:tblW w:w="5003" w:type="pct"/>
        <w:tblInd w:w="-5" w:type="dxa"/>
        <w:tblLayout w:type="fixed"/>
        <w:tblLook w:val="04A0" w:firstRow="1" w:lastRow="0" w:firstColumn="1" w:lastColumn="0" w:noHBand="0" w:noVBand="1"/>
      </w:tblPr>
      <w:tblGrid>
        <w:gridCol w:w="2791"/>
        <w:gridCol w:w="2230"/>
        <w:gridCol w:w="2209"/>
        <w:gridCol w:w="1837"/>
      </w:tblGrid>
      <w:tr w:rsidR="00CE622A" w:rsidRPr="00E00297" w14:paraId="5B2F7020" w14:textId="77777777" w:rsidTr="002A04BF">
        <w:trPr>
          <w:trHeight w:val="606"/>
        </w:trPr>
        <w:tc>
          <w:tcPr>
            <w:tcW w:w="1539" w:type="pct"/>
            <w:shd w:val="clear" w:color="auto" w:fill="F2F2F2" w:themeFill="background1" w:themeFillShade="F2"/>
            <w:vAlign w:val="center"/>
          </w:tcPr>
          <w:p w14:paraId="0A24F23F" w14:textId="77777777" w:rsidR="00A941D2" w:rsidRPr="00FC64BF" w:rsidRDefault="00A941D2" w:rsidP="002A04BF">
            <w:pPr>
              <w:rPr>
                <w:rFonts w:cs="Times New Roman"/>
                <w:b/>
                <w:sz w:val="20"/>
                <w:szCs w:val="18"/>
              </w:rPr>
            </w:pPr>
            <w:r w:rsidRPr="00FC64BF">
              <w:rPr>
                <w:rFonts w:cs="Times New Roman"/>
                <w:b/>
                <w:sz w:val="20"/>
                <w:szCs w:val="18"/>
              </w:rPr>
              <w:t>Pokazatelji provedbe i pokazatelji uspješnosti provedbe</w:t>
            </w:r>
          </w:p>
        </w:tc>
        <w:tc>
          <w:tcPr>
            <w:tcW w:w="1230" w:type="pct"/>
            <w:shd w:val="clear" w:color="auto" w:fill="F2F2F2" w:themeFill="background1" w:themeFillShade="F2"/>
            <w:vAlign w:val="center"/>
          </w:tcPr>
          <w:p w14:paraId="466E193A" w14:textId="77777777" w:rsidR="00A941D2" w:rsidRPr="00FC64BF" w:rsidRDefault="00A941D2" w:rsidP="002A04BF">
            <w:pPr>
              <w:jc w:val="center"/>
              <w:rPr>
                <w:rFonts w:eastAsia="Calibri" w:cs="Times New Roman"/>
                <w:b/>
                <w:strike/>
                <w:sz w:val="20"/>
                <w:szCs w:val="18"/>
              </w:rPr>
            </w:pPr>
            <w:r w:rsidRPr="00FC64BF">
              <w:rPr>
                <w:rFonts w:eastAsia="Calibri" w:cs="Times New Roman"/>
                <w:b/>
                <w:sz w:val="20"/>
                <w:szCs w:val="18"/>
              </w:rPr>
              <w:t>Broj događanja</w:t>
            </w:r>
          </w:p>
        </w:tc>
        <w:tc>
          <w:tcPr>
            <w:tcW w:w="1218" w:type="pct"/>
            <w:shd w:val="clear" w:color="auto" w:fill="F2F2F2" w:themeFill="background1" w:themeFillShade="F2"/>
            <w:vAlign w:val="center"/>
          </w:tcPr>
          <w:p w14:paraId="611D770A" w14:textId="4AE9C4AC" w:rsidR="00A941D2" w:rsidRPr="00FC64BF" w:rsidRDefault="00A941D2" w:rsidP="002A04BF">
            <w:pPr>
              <w:jc w:val="center"/>
              <w:rPr>
                <w:rFonts w:cs="Times New Roman"/>
                <w:b/>
                <w:sz w:val="20"/>
                <w:szCs w:val="18"/>
              </w:rPr>
            </w:pPr>
            <w:r w:rsidRPr="00FC64BF">
              <w:rPr>
                <w:rFonts w:cs="Times New Roman"/>
                <w:b/>
                <w:sz w:val="20"/>
                <w:szCs w:val="18"/>
              </w:rPr>
              <w:t>Broj muškaraca sudionika</w:t>
            </w:r>
          </w:p>
        </w:tc>
        <w:tc>
          <w:tcPr>
            <w:tcW w:w="1014" w:type="pct"/>
            <w:shd w:val="clear" w:color="auto" w:fill="F2F2F2" w:themeFill="background1" w:themeFillShade="F2"/>
            <w:vAlign w:val="center"/>
          </w:tcPr>
          <w:p w14:paraId="426C98D1" w14:textId="77777777" w:rsidR="00A941D2" w:rsidRPr="00FC64BF" w:rsidRDefault="00A941D2" w:rsidP="002A04BF">
            <w:pPr>
              <w:jc w:val="center"/>
              <w:rPr>
                <w:rFonts w:cs="Times New Roman"/>
                <w:b/>
                <w:sz w:val="20"/>
                <w:szCs w:val="18"/>
              </w:rPr>
            </w:pPr>
            <w:r w:rsidRPr="00FC64BF">
              <w:rPr>
                <w:rFonts w:cs="Times New Roman"/>
                <w:b/>
                <w:sz w:val="20"/>
                <w:szCs w:val="18"/>
              </w:rPr>
              <w:t>Broj žena sudionica</w:t>
            </w:r>
          </w:p>
        </w:tc>
      </w:tr>
      <w:tr w:rsidR="00CE622A" w:rsidRPr="00E00297" w14:paraId="52A06105" w14:textId="77777777" w:rsidTr="002A04BF">
        <w:tc>
          <w:tcPr>
            <w:tcW w:w="1539" w:type="pct"/>
            <w:shd w:val="clear" w:color="auto" w:fill="F2F2F2" w:themeFill="background1" w:themeFillShade="F2"/>
            <w:vAlign w:val="center"/>
          </w:tcPr>
          <w:p w14:paraId="45ED7289" w14:textId="763636FB" w:rsidR="00A941D2" w:rsidRPr="00FC64BF" w:rsidRDefault="00A941D2" w:rsidP="00F65D28">
            <w:pPr>
              <w:rPr>
                <w:rFonts w:cs="Times New Roman"/>
                <w:sz w:val="20"/>
                <w:szCs w:val="18"/>
              </w:rPr>
            </w:pPr>
            <w:r w:rsidRPr="00FC64BF">
              <w:rPr>
                <w:rFonts w:cs="Times New Roman"/>
                <w:sz w:val="20"/>
                <w:szCs w:val="18"/>
              </w:rPr>
              <w:t>Planirani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30" w:type="pct"/>
            <w:vAlign w:val="center"/>
          </w:tcPr>
          <w:p w14:paraId="414FD5B9" w14:textId="77777777" w:rsidR="00A941D2" w:rsidRPr="00FC64BF" w:rsidRDefault="00A941D2" w:rsidP="002A04BF">
            <w:pPr>
              <w:jc w:val="center"/>
              <w:rPr>
                <w:rFonts w:cs="Times New Roman"/>
                <w:sz w:val="20"/>
                <w:szCs w:val="18"/>
              </w:rPr>
            </w:pPr>
            <w:r w:rsidRPr="00FC64BF">
              <w:rPr>
                <w:rFonts w:cs="Times New Roman"/>
                <w:sz w:val="20"/>
                <w:szCs w:val="18"/>
              </w:rPr>
              <w:t>n/p</w:t>
            </w:r>
          </w:p>
        </w:tc>
        <w:tc>
          <w:tcPr>
            <w:tcW w:w="1218" w:type="pct"/>
            <w:vAlign w:val="center"/>
          </w:tcPr>
          <w:p w14:paraId="2EC6FFE3" w14:textId="77777777" w:rsidR="00A941D2" w:rsidRPr="00FC64BF" w:rsidRDefault="00A941D2" w:rsidP="002A04BF">
            <w:pPr>
              <w:jc w:val="center"/>
              <w:rPr>
                <w:rFonts w:cs="Times New Roman"/>
                <w:sz w:val="20"/>
                <w:szCs w:val="18"/>
              </w:rPr>
            </w:pPr>
            <w:r w:rsidRPr="00FC64BF">
              <w:rPr>
                <w:rFonts w:cs="Times New Roman"/>
                <w:sz w:val="20"/>
                <w:szCs w:val="18"/>
              </w:rPr>
              <w:t>n/p</w:t>
            </w:r>
          </w:p>
        </w:tc>
        <w:tc>
          <w:tcPr>
            <w:tcW w:w="1014" w:type="pct"/>
            <w:vAlign w:val="center"/>
          </w:tcPr>
          <w:p w14:paraId="23536D9A" w14:textId="77777777" w:rsidR="00A941D2" w:rsidRPr="00FC64BF" w:rsidRDefault="00A941D2" w:rsidP="002A04BF">
            <w:pPr>
              <w:jc w:val="center"/>
              <w:rPr>
                <w:rFonts w:cs="Times New Roman"/>
                <w:sz w:val="20"/>
                <w:szCs w:val="18"/>
              </w:rPr>
            </w:pPr>
            <w:r w:rsidRPr="00FC64BF">
              <w:rPr>
                <w:rFonts w:cs="Times New Roman"/>
                <w:sz w:val="20"/>
                <w:szCs w:val="18"/>
              </w:rPr>
              <w:t>n/p</w:t>
            </w:r>
          </w:p>
        </w:tc>
      </w:tr>
      <w:tr w:rsidR="00CE622A" w:rsidRPr="00E00297" w14:paraId="49850A22" w14:textId="77777777" w:rsidTr="002A04BF">
        <w:tc>
          <w:tcPr>
            <w:tcW w:w="1539" w:type="pct"/>
            <w:shd w:val="clear" w:color="auto" w:fill="F2F2F2" w:themeFill="background1" w:themeFillShade="F2"/>
            <w:vAlign w:val="center"/>
          </w:tcPr>
          <w:p w14:paraId="6DB6DFDF" w14:textId="18E81F97" w:rsidR="00A941D2" w:rsidRPr="00FC64BF" w:rsidRDefault="00A941D2" w:rsidP="00F65D28">
            <w:pPr>
              <w:rPr>
                <w:rFonts w:cs="Times New Roman"/>
                <w:sz w:val="20"/>
                <w:szCs w:val="18"/>
              </w:rPr>
            </w:pPr>
            <w:r w:rsidRPr="00FC64BF">
              <w:rPr>
                <w:rFonts w:cs="Times New Roman"/>
                <w:sz w:val="20"/>
                <w:szCs w:val="18"/>
              </w:rPr>
              <w:t>Ostvareni ishodi za pokazatelje provedbe u 202</w:t>
            </w:r>
            <w:r w:rsidR="00EE2053" w:rsidRPr="00FC64BF">
              <w:rPr>
                <w:rFonts w:cs="Times New Roman"/>
                <w:sz w:val="20"/>
                <w:szCs w:val="18"/>
              </w:rPr>
              <w:t>4</w:t>
            </w:r>
            <w:r w:rsidRPr="00FC64BF">
              <w:rPr>
                <w:rFonts w:cs="Times New Roman"/>
                <w:sz w:val="20"/>
                <w:szCs w:val="18"/>
              </w:rPr>
              <w:t xml:space="preserve">. </w:t>
            </w:r>
          </w:p>
        </w:tc>
        <w:tc>
          <w:tcPr>
            <w:tcW w:w="1230" w:type="pct"/>
            <w:vAlign w:val="center"/>
          </w:tcPr>
          <w:p w14:paraId="1BB74CCC" w14:textId="400EF308" w:rsidR="00A941D2" w:rsidRPr="00FC64BF" w:rsidRDefault="00A941D2" w:rsidP="002A04BF">
            <w:pPr>
              <w:jc w:val="center"/>
              <w:rPr>
                <w:rFonts w:cs="Times New Roman"/>
                <w:sz w:val="20"/>
                <w:szCs w:val="18"/>
              </w:rPr>
            </w:pPr>
            <w:r w:rsidRPr="00FC64BF">
              <w:rPr>
                <w:rFonts w:cs="Times New Roman"/>
                <w:sz w:val="20"/>
                <w:szCs w:val="18"/>
              </w:rPr>
              <w:t>n/p</w:t>
            </w:r>
          </w:p>
        </w:tc>
        <w:tc>
          <w:tcPr>
            <w:tcW w:w="1218" w:type="pct"/>
            <w:vAlign w:val="center"/>
          </w:tcPr>
          <w:p w14:paraId="6209FF68" w14:textId="0AA08F0E" w:rsidR="00A941D2" w:rsidRPr="00FC64BF" w:rsidRDefault="00A941D2" w:rsidP="002A04BF">
            <w:pPr>
              <w:jc w:val="center"/>
              <w:rPr>
                <w:rFonts w:cs="Times New Roman"/>
                <w:sz w:val="20"/>
                <w:szCs w:val="18"/>
              </w:rPr>
            </w:pPr>
            <w:r w:rsidRPr="00FC64BF">
              <w:rPr>
                <w:rFonts w:cs="Times New Roman"/>
                <w:sz w:val="20"/>
                <w:szCs w:val="18"/>
              </w:rPr>
              <w:t>n/p</w:t>
            </w:r>
          </w:p>
        </w:tc>
        <w:tc>
          <w:tcPr>
            <w:tcW w:w="1014" w:type="pct"/>
            <w:vAlign w:val="center"/>
          </w:tcPr>
          <w:p w14:paraId="349815B1" w14:textId="5EE358F8" w:rsidR="00A941D2" w:rsidRPr="00FC64BF" w:rsidRDefault="00A941D2" w:rsidP="002A04BF">
            <w:pPr>
              <w:jc w:val="center"/>
              <w:rPr>
                <w:rFonts w:eastAsia="Calibri" w:cs="Times New Roman"/>
                <w:sz w:val="20"/>
                <w:szCs w:val="18"/>
              </w:rPr>
            </w:pPr>
            <w:r w:rsidRPr="00FC64BF">
              <w:rPr>
                <w:rFonts w:eastAsia="Calibri" w:cs="Times New Roman"/>
                <w:sz w:val="20"/>
                <w:szCs w:val="18"/>
              </w:rPr>
              <w:t>n/p</w:t>
            </w:r>
          </w:p>
        </w:tc>
      </w:tr>
      <w:tr w:rsidR="00CE622A" w:rsidRPr="00E00297" w14:paraId="74BBD01A" w14:textId="77777777" w:rsidTr="002A04BF">
        <w:tc>
          <w:tcPr>
            <w:tcW w:w="1539" w:type="pct"/>
            <w:shd w:val="clear" w:color="auto" w:fill="F2F2F2" w:themeFill="background1" w:themeFillShade="F2"/>
            <w:vAlign w:val="center"/>
          </w:tcPr>
          <w:p w14:paraId="0FE2843C" w14:textId="77777777" w:rsidR="00A941D2" w:rsidRPr="00FC64BF" w:rsidRDefault="00A941D2" w:rsidP="002A04BF">
            <w:pPr>
              <w:rPr>
                <w:rFonts w:cs="Times New Roman"/>
                <w:b/>
                <w:sz w:val="20"/>
                <w:szCs w:val="18"/>
              </w:rPr>
            </w:pPr>
            <w:r w:rsidRPr="00FC64BF">
              <w:rPr>
                <w:rFonts w:cs="Times New Roman"/>
                <w:b/>
                <w:sz w:val="20"/>
                <w:szCs w:val="18"/>
              </w:rPr>
              <w:t xml:space="preserve">IZVORI FINANCIRANJA </w:t>
            </w:r>
          </w:p>
        </w:tc>
        <w:tc>
          <w:tcPr>
            <w:tcW w:w="1230" w:type="pct"/>
            <w:vAlign w:val="center"/>
          </w:tcPr>
          <w:p w14:paraId="7FF7A904" w14:textId="77777777" w:rsidR="00A941D2" w:rsidRPr="00FC64BF" w:rsidRDefault="00A941D2"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5B1BF9A2" w14:textId="77777777" w:rsidR="00A941D2" w:rsidRPr="00FC64BF" w:rsidRDefault="00A941D2"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5B44AD5E" w14:textId="77777777" w:rsidR="00A941D2" w:rsidRPr="00FC64BF" w:rsidRDefault="00A941D2" w:rsidP="002A04BF">
            <w:pPr>
              <w:jc w:val="center"/>
              <w:rPr>
                <w:rFonts w:cs="Times New Roman"/>
                <w:b/>
                <w:sz w:val="20"/>
                <w:szCs w:val="18"/>
              </w:rPr>
            </w:pPr>
            <w:r w:rsidRPr="00FC64BF">
              <w:rPr>
                <w:rFonts w:cs="Times New Roman"/>
                <w:b/>
                <w:sz w:val="20"/>
                <w:szCs w:val="18"/>
              </w:rPr>
              <w:t>Drugi izvori (EUR)</w:t>
            </w:r>
          </w:p>
        </w:tc>
      </w:tr>
      <w:tr w:rsidR="00CE622A" w:rsidRPr="00E00297" w14:paraId="1103F78C" w14:textId="77777777" w:rsidTr="002A04BF">
        <w:tc>
          <w:tcPr>
            <w:tcW w:w="1539" w:type="pct"/>
            <w:shd w:val="clear" w:color="auto" w:fill="F2F2F2" w:themeFill="background1" w:themeFillShade="F2"/>
            <w:vAlign w:val="center"/>
          </w:tcPr>
          <w:p w14:paraId="642B774B" w14:textId="1C10A69E" w:rsidR="00A941D2" w:rsidRPr="00FC64BF" w:rsidRDefault="00A941D2" w:rsidP="00F65D28">
            <w:pPr>
              <w:rPr>
                <w:rFonts w:cs="Times New Roman"/>
                <w:sz w:val="20"/>
                <w:szCs w:val="18"/>
              </w:rPr>
            </w:pPr>
            <w:r w:rsidRPr="00FC64BF">
              <w:rPr>
                <w:rFonts w:cs="Times New Roman"/>
                <w:sz w:val="20"/>
                <w:szCs w:val="18"/>
              </w:rPr>
              <w:t>Izvori financiranja u 202</w:t>
            </w:r>
            <w:r w:rsidR="00EE2053" w:rsidRPr="00FC64BF">
              <w:rPr>
                <w:rFonts w:cs="Times New Roman"/>
                <w:sz w:val="20"/>
                <w:szCs w:val="18"/>
              </w:rPr>
              <w:t>4</w:t>
            </w:r>
            <w:r w:rsidRPr="00FC64BF">
              <w:rPr>
                <w:rFonts w:cs="Times New Roman"/>
                <w:sz w:val="20"/>
                <w:szCs w:val="18"/>
              </w:rPr>
              <w:t>. (proračunska pozicija i predviđeni iznos sredstava)</w:t>
            </w:r>
          </w:p>
        </w:tc>
        <w:tc>
          <w:tcPr>
            <w:tcW w:w="1230" w:type="pct"/>
            <w:vAlign w:val="center"/>
          </w:tcPr>
          <w:p w14:paraId="728C7034" w14:textId="77777777" w:rsidR="00A941D2" w:rsidRPr="00FC64BF" w:rsidRDefault="00A941D2" w:rsidP="002A04BF">
            <w:pPr>
              <w:jc w:val="center"/>
              <w:rPr>
                <w:rFonts w:cs="Times New Roman"/>
                <w:sz w:val="20"/>
                <w:szCs w:val="18"/>
              </w:rPr>
            </w:pPr>
            <w:r w:rsidRPr="00FC64BF">
              <w:rPr>
                <w:rFonts w:cs="Times New Roman"/>
                <w:sz w:val="20"/>
                <w:szCs w:val="18"/>
              </w:rPr>
              <w:t>n/p</w:t>
            </w:r>
          </w:p>
        </w:tc>
        <w:tc>
          <w:tcPr>
            <w:tcW w:w="1218" w:type="pct"/>
            <w:vAlign w:val="center"/>
          </w:tcPr>
          <w:p w14:paraId="10B973AE" w14:textId="77777777" w:rsidR="00A941D2" w:rsidRPr="00FC64BF" w:rsidRDefault="00A941D2" w:rsidP="002A04BF">
            <w:pPr>
              <w:jc w:val="center"/>
              <w:rPr>
                <w:rFonts w:cs="Times New Roman"/>
                <w:sz w:val="20"/>
                <w:szCs w:val="18"/>
              </w:rPr>
            </w:pPr>
            <w:r w:rsidRPr="00FC64BF">
              <w:rPr>
                <w:rFonts w:cs="Times New Roman"/>
                <w:sz w:val="20"/>
                <w:szCs w:val="18"/>
              </w:rPr>
              <w:t>n/p</w:t>
            </w:r>
          </w:p>
        </w:tc>
        <w:tc>
          <w:tcPr>
            <w:tcW w:w="1014" w:type="pct"/>
            <w:vAlign w:val="center"/>
          </w:tcPr>
          <w:p w14:paraId="35978632" w14:textId="77777777" w:rsidR="00A941D2" w:rsidRPr="00FC64BF" w:rsidRDefault="00A941D2" w:rsidP="002A04BF">
            <w:pPr>
              <w:jc w:val="center"/>
              <w:rPr>
                <w:rFonts w:cs="Times New Roman"/>
                <w:sz w:val="20"/>
                <w:szCs w:val="18"/>
              </w:rPr>
            </w:pPr>
            <w:r w:rsidRPr="00FC64BF">
              <w:rPr>
                <w:rFonts w:cs="Times New Roman"/>
                <w:sz w:val="20"/>
                <w:szCs w:val="18"/>
              </w:rPr>
              <w:t>n/p</w:t>
            </w:r>
          </w:p>
        </w:tc>
      </w:tr>
      <w:tr w:rsidR="00CE622A" w:rsidRPr="00E00297" w14:paraId="5313CEFD" w14:textId="77777777" w:rsidTr="002A04BF">
        <w:tc>
          <w:tcPr>
            <w:tcW w:w="1539" w:type="pct"/>
            <w:vMerge w:val="restart"/>
            <w:shd w:val="clear" w:color="auto" w:fill="F2F2F2" w:themeFill="background1" w:themeFillShade="F2"/>
            <w:vAlign w:val="center"/>
          </w:tcPr>
          <w:p w14:paraId="603C5EFE" w14:textId="77777777" w:rsidR="00A941D2" w:rsidRPr="00FC64BF" w:rsidRDefault="00A941D2" w:rsidP="002A04BF">
            <w:pPr>
              <w:rPr>
                <w:rFonts w:cs="Times New Roman"/>
                <w:b/>
                <w:sz w:val="20"/>
                <w:szCs w:val="18"/>
              </w:rPr>
            </w:pPr>
            <w:r w:rsidRPr="00FC64BF">
              <w:rPr>
                <w:rFonts w:cs="Times New Roman"/>
                <w:b/>
                <w:sz w:val="20"/>
                <w:szCs w:val="18"/>
              </w:rPr>
              <w:t xml:space="preserve">UKUPNO UTROŠENA SREDSTVA PO IZVORU </w:t>
            </w:r>
          </w:p>
        </w:tc>
        <w:tc>
          <w:tcPr>
            <w:tcW w:w="1230" w:type="pct"/>
            <w:vAlign w:val="center"/>
          </w:tcPr>
          <w:p w14:paraId="07152BC4" w14:textId="77777777" w:rsidR="00A941D2" w:rsidRPr="00FC64BF" w:rsidRDefault="00A941D2" w:rsidP="002A04BF">
            <w:pPr>
              <w:jc w:val="center"/>
              <w:rPr>
                <w:rFonts w:cs="Times New Roman"/>
                <w:b/>
                <w:sz w:val="20"/>
                <w:szCs w:val="18"/>
              </w:rPr>
            </w:pPr>
            <w:r w:rsidRPr="00FC64BF">
              <w:rPr>
                <w:rFonts w:cs="Times New Roman"/>
                <w:b/>
                <w:sz w:val="20"/>
                <w:szCs w:val="18"/>
              </w:rPr>
              <w:t>Državni proračun (EUR)</w:t>
            </w:r>
          </w:p>
        </w:tc>
        <w:tc>
          <w:tcPr>
            <w:tcW w:w="1218" w:type="pct"/>
            <w:vAlign w:val="center"/>
          </w:tcPr>
          <w:p w14:paraId="523CAA7C" w14:textId="77777777" w:rsidR="00A941D2" w:rsidRPr="00FC64BF" w:rsidRDefault="00A941D2" w:rsidP="002A04BF">
            <w:pPr>
              <w:jc w:val="center"/>
              <w:rPr>
                <w:rFonts w:cs="Times New Roman"/>
                <w:b/>
                <w:sz w:val="20"/>
                <w:szCs w:val="18"/>
              </w:rPr>
            </w:pPr>
            <w:r w:rsidRPr="00FC64BF">
              <w:rPr>
                <w:rFonts w:cs="Times New Roman"/>
                <w:b/>
                <w:sz w:val="20"/>
                <w:szCs w:val="18"/>
              </w:rPr>
              <w:t>EU financiranje (EUR)</w:t>
            </w:r>
          </w:p>
        </w:tc>
        <w:tc>
          <w:tcPr>
            <w:tcW w:w="1014" w:type="pct"/>
            <w:vAlign w:val="center"/>
          </w:tcPr>
          <w:p w14:paraId="7C653E4B" w14:textId="77777777" w:rsidR="00A941D2" w:rsidRPr="00FC64BF" w:rsidRDefault="00A941D2" w:rsidP="002A04BF">
            <w:pPr>
              <w:jc w:val="center"/>
              <w:rPr>
                <w:rFonts w:cs="Times New Roman"/>
                <w:b/>
                <w:sz w:val="20"/>
                <w:szCs w:val="18"/>
              </w:rPr>
            </w:pPr>
            <w:r w:rsidRPr="00FC64BF">
              <w:rPr>
                <w:rFonts w:cs="Times New Roman"/>
                <w:b/>
                <w:sz w:val="20"/>
                <w:szCs w:val="18"/>
              </w:rPr>
              <w:t>Drugi izvori (EUR)</w:t>
            </w:r>
          </w:p>
        </w:tc>
      </w:tr>
      <w:tr w:rsidR="00CE622A" w:rsidRPr="00E00297" w14:paraId="697F716E" w14:textId="77777777" w:rsidTr="002A04BF">
        <w:tc>
          <w:tcPr>
            <w:tcW w:w="1539" w:type="pct"/>
            <w:vMerge/>
            <w:shd w:val="clear" w:color="auto" w:fill="F2F2F2" w:themeFill="background1" w:themeFillShade="F2"/>
            <w:vAlign w:val="center"/>
          </w:tcPr>
          <w:p w14:paraId="39F8909C" w14:textId="77777777" w:rsidR="00A941D2" w:rsidRPr="00FC64BF" w:rsidRDefault="00A941D2" w:rsidP="002A04BF">
            <w:pPr>
              <w:rPr>
                <w:rFonts w:cs="Times New Roman"/>
                <w:b/>
                <w:sz w:val="20"/>
                <w:szCs w:val="18"/>
              </w:rPr>
            </w:pPr>
          </w:p>
        </w:tc>
        <w:tc>
          <w:tcPr>
            <w:tcW w:w="1230" w:type="pct"/>
            <w:vAlign w:val="center"/>
          </w:tcPr>
          <w:p w14:paraId="0FD07C34" w14:textId="77777777" w:rsidR="00A941D2" w:rsidRPr="00FC64BF" w:rsidRDefault="00A941D2" w:rsidP="002A04BF">
            <w:pPr>
              <w:jc w:val="center"/>
              <w:rPr>
                <w:rFonts w:eastAsia="Calibri" w:cs="Times New Roman"/>
                <w:sz w:val="20"/>
              </w:rPr>
            </w:pPr>
            <w:r w:rsidRPr="00FC64BF">
              <w:rPr>
                <w:rFonts w:eastAsia="Calibri" w:cs="Times New Roman"/>
                <w:sz w:val="20"/>
              </w:rPr>
              <w:t xml:space="preserve"> 0,00</w:t>
            </w:r>
          </w:p>
        </w:tc>
        <w:tc>
          <w:tcPr>
            <w:tcW w:w="1218" w:type="pct"/>
            <w:vAlign w:val="center"/>
          </w:tcPr>
          <w:p w14:paraId="4C398DF6" w14:textId="77777777" w:rsidR="00A941D2" w:rsidRPr="00FC64BF" w:rsidRDefault="00A941D2" w:rsidP="002A04BF">
            <w:pPr>
              <w:jc w:val="center"/>
              <w:rPr>
                <w:rFonts w:cs="Times New Roman"/>
                <w:sz w:val="20"/>
                <w:szCs w:val="18"/>
              </w:rPr>
            </w:pPr>
            <w:r w:rsidRPr="00FC64BF">
              <w:rPr>
                <w:rFonts w:cs="Times New Roman"/>
                <w:sz w:val="20"/>
                <w:szCs w:val="18"/>
              </w:rPr>
              <w:t>0,00</w:t>
            </w:r>
          </w:p>
        </w:tc>
        <w:tc>
          <w:tcPr>
            <w:tcW w:w="1014" w:type="pct"/>
            <w:vAlign w:val="center"/>
          </w:tcPr>
          <w:p w14:paraId="5708039D" w14:textId="77777777" w:rsidR="00A941D2" w:rsidRPr="00FC64BF" w:rsidRDefault="00A941D2" w:rsidP="002A04BF">
            <w:pPr>
              <w:jc w:val="center"/>
              <w:rPr>
                <w:rFonts w:cs="Times New Roman"/>
                <w:sz w:val="20"/>
                <w:szCs w:val="18"/>
              </w:rPr>
            </w:pPr>
            <w:r w:rsidRPr="00FC64BF">
              <w:rPr>
                <w:rFonts w:cs="Times New Roman"/>
                <w:sz w:val="20"/>
                <w:szCs w:val="18"/>
              </w:rPr>
              <w:t xml:space="preserve">0,00 </w:t>
            </w:r>
          </w:p>
        </w:tc>
      </w:tr>
      <w:tr w:rsidR="00CE622A" w:rsidRPr="00E00297" w14:paraId="2C4BF56D" w14:textId="77777777" w:rsidTr="002A04BF">
        <w:trPr>
          <w:trHeight w:val="410"/>
        </w:trPr>
        <w:tc>
          <w:tcPr>
            <w:tcW w:w="1539" w:type="pct"/>
            <w:shd w:val="clear" w:color="auto" w:fill="F2F2F2" w:themeFill="background1" w:themeFillShade="F2"/>
            <w:vAlign w:val="center"/>
          </w:tcPr>
          <w:p w14:paraId="2D4EA18A" w14:textId="6BB9EF02" w:rsidR="00A941D2" w:rsidRPr="00FC64BF" w:rsidRDefault="00A941D2" w:rsidP="002A04BF">
            <w:pPr>
              <w:rPr>
                <w:rFonts w:cs="Times New Roman"/>
                <w:sz w:val="20"/>
                <w:szCs w:val="18"/>
              </w:rPr>
            </w:pPr>
            <w:r w:rsidRPr="00FC64BF">
              <w:rPr>
                <w:rFonts w:cs="Times New Roman"/>
                <w:sz w:val="20"/>
                <w:szCs w:val="18"/>
              </w:rPr>
              <w:t>ROK PROVEDBE</w:t>
            </w:r>
            <w:r w:rsidR="00C62C50" w:rsidRPr="00FC64BF">
              <w:rPr>
                <w:rFonts w:cs="Times New Roman"/>
                <w:sz w:val="20"/>
                <w:szCs w:val="18"/>
              </w:rPr>
              <w:t xml:space="preserve"> </w:t>
            </w:r>
            <w:r w:rsidRPr="00FC64BF">
              <w:rPr>
                <w:rFonts w:cs="Times New Roman"/>
                <w:sz w:val="20"/>
                <w:szCs w:val="18"/>
              </w:rPr>
              <w:t xml:space="preserve">AKTIVNOSTI </w:t>
            </w:r>
          </w:p>
        </w:tc>
        <w:tc>
          <w:tcPr>
            <w:tcW w:w="3461" w:type="pct"/>
            <w:gridSpan w:val="3"/>
            <w:vAlign w:val="center"/>
          </w:tcPr>
          <w:p w14:paraId="3C97F2D7" w14:textId="77777777" w:rsidR="00A941D2" w:rsidRPr="00FC64BF" w:rsidRDefault="00A941D2" w:rsidP="002A04BF">
            <w:pPr>
              <w:rPr>
                <w:rFonts w:cs="Times New Roman"/>
                <w:sz w:val="20"/>
                <w:szCs w:val="18"/>
              </w:rPr>
            </w:pPr>
            <w:r w:rsidRPr="00FC64BF">
              <w:rPr>
                <w:rFonts w:cs="Times New Roman"/>
                <w:sz w:val="20"/>
                <w:szCs w:val="18"/>
              </w:rPr>
              <w:t xml:space="preserve">IV. kvartal 2025. </w:t>
            </w:r>
          </w:p>
        </w:tc>
      </w:tr>
    </w:tbl>
    <w:p w14:paraId="624997B7" w14:textId="0B9432FC" w:rsidR="00957D56" w:rsidRPr="00FC64BF" w:rsidRDefault="00957D56" w:rsidP="00E5482D">
      <w:bookmarkStart w:id="53" w:name="_Toc132988321"/>
      <w:bookmarkStart w:id="54" w:name="_Hlk66118693"/>
    </w:p>
    <w:p w14:paraId="4F7498B4" w14:textId="77777777" w:rsidR="00957D56" w:rsidRPr="00A81FA5" w:rsidRDefault="00957D56">
      <w:r w:rsidRPr="00CE622A">
        <w:rPr>
          <w:color w:val="FF0000"/>
        </w:rPr>
        <w:br w:type="page"/>
      </w:r>
    </w:p>
    <w:p w14:paraId="0D1BCB82" w14:textId="371835A4" w:rsidR="00D04ADD" w:rsidRPr="00A81FA5" w:rsidRDefault="004650B7" w:rsidP="002A04BF">
      <w:pPr>
        <w:pStyle w:val="Heading1"/>
      </w:pPr>
      <w:r w:rsidRPr="00A81FA5">
        <w:lastRenderedPageBreak/>
        <w:t>MJERE I</w:t>
      </w:r>
      <w:r w:rsidR="0046415A" w:rsidRPr="00A81FA5">
        <w:t xml:space="preserve"> </w:t>
      </w:r>
      <w:r w:rsidR="00CB102E" w:rsidRPr="00A81FA5">
        <w:t>AKTIVNOSTI</w:t>
      </w:r>
      <w:r w:rsidR="0046415A" w:rsidRPr="00A81FA5">
        <w:t xml:space="preserve"> U SEKTORSKOM CILJU </w:t>
      </w:r>
      <w:r w:rsidR="008D1FC7" w:rsidRPr="00A81FA5">
        <w:t xml:space="preserve">UČINKOVIT </w:t>
      </w:r>
      <w:r w:rsidR="004C2B4D" w:rsidRPr="00A81FA5">
        <w:t xml:space="preserve">I </w:t>
      </w:r>
      <w:r w:rsidR="008D1FC7" w:rsidRPr="00A81FA5">
        <w:t xml:space="preserve">JEDNAK PRISTUP </w:t>
      </w:r>
      <w:r w:rsidR="00C95517" w:rsidRPr="00A81FA5">
        <w:t xml:space="preserve">ROMA </w:t>
      </w:r>
      <w:r w:rsidR="008D1FC7" w:rsidRPr="00A81FA5">
        <w:t>PRIKLADNOM</w:t>
      </w:r>
      <w:r w:rsidR="00C95517" w:rsidRPr="00A81FA5">
        <w:t>,</w:t>
      </w:r>
      <w:r w:rsidR="008D1FC7" w:rsidRPr="00A81FA5">
        <w:t xml:space="preserve"> DESEGREGIRANOM STANOVANJU </w:t>
      </w:r>
      <w:r w:rsidR="005E2D75" w:rsidRPr="00A81FA5">
        <w:t>I OSNOVNIM USLUGAMA</w:t>
      </w:r>
      <w:bookmarkEnd w:id="53"/>
    </w:p>
    <w:p w14:paraId="2B058D31" w14:textId="77777777" w:rsidR="00190175" w:rsidRPr="00A81FA5" w:rsidRDefault="00190175" w:rsidP="00D36147">
      <w:pPr>
        <w:spacing w:after="0" w:line="276" w:lineRule="auto"/>
        <w:jc w:val="both"/>
        <w:rPr>
          <w:rFonts w:cs="Times New Roman"/>
        </w:rPr>
      </w:pPr>
    </w:p>
    <w:p w14:paraId="1ED7A830" w14:textId="2EA92BE4" w:rsidR="00CD01DC" w:rsidRPr="00A81FA5" w:rsidRDefault="00CD01DC" w:rsidP="00D36147">
      <w:pPr>
        <w:spacing w:after="0" w:line="276" w:lineRule="auto"/>
        <w:jc w:val="both"/>
        <w:rPr>
          <w:rFonts w:cs="Times New Roman"/>
        </w:rPr>
      </w:pPr>
      <w:r w:rsidRPr="00A81FA5">
        <w:rPr>
          <w:rFonts w:cs="Times New Roman"/>
        </w:rPr>
        <w:t xml:space="preserve">Svrha provedbe mjera i aktivnosti je: </w:t>
      </w:r>
    </w:p>
    <w:p w14:paraId="6683C130" w14:textId="0844652A" w:rsidR="00661C2F" w:rsidRPr="00A81FA5" w:rsidRDefault="00661C2F" w:rsidP="004A3B23">
      <w:pPr>
        <w:pStyle w:val="ListParagraph"/>
        <w:numPr>
          <w:ilvl w:val="0"/>
          <w:numId w:val="3"/>
        </w:numPr>
        <w:spacing w:line="276" w:lineRule="auto"/>
        <w:jc w:val="both"/>
      </w:pPr>
      <w:r w:rsidRPr="00A81FA5">
        <w:t>ujednačavanje stambenih uvjeta života pripadnika romske nacionalne manjine</w:t>
      </w:r>
      <w:r w:rsidR="005966D7" w:rsidRPr="00A81FA5">
        <w:t xml:space="preserve"> s uvjetima života</w:t>
      </w:r>
      <w:r w:rsidR="0048723A" w:rsidRPr="00A81FA5">
        <w:t xml:space="preserve"> opće populacije</w:t>
      </w:r>
      <w:r w:rsidR="005966D7" w:rsidRPr="00A81FA5">
        <w:t>;</w:t>
      </w:r>
    </w:p>
    <w:p w14:paraId="67D2C41C" w14:textId="51F5553C" w:rsidR="005966D7" w:rsidRPr="00A81FA5" w:rsidRDefault="005966D7" w:rsidP="00D36147">
      <w:pPr>
        <w:pStyle w:val="ListParagraph"/>
        <w:numPr>
          <w:ilvl w:val="0"/>
          <w:numId w:val="3"/>
        </w:numPr>
        <w:spacing w:line="276" w:lineRule="auto"/>
        <w:jc w:val="both"/>
      </w:pPr>
      <w:r w:rsidRPr="00A81FA5">
        <w:t>ujednačavanje okolišnih uvjeta života pripadnika romske nacionalne manjine s uvjetima života opće populacije;</w:t>
      </w:r>
    </w:p>
    <w:p w14:paraId="2980B792" w14:textId="186F9209" w:rsidR="00BC4411" w:rsidRPr="00A81FA5" w:rsidRDefault="005966D7" w:rsidP="00BC4411">
      <w:pPr>
        <w:pStyle w:val="ListParagraph"/>
        <w:numPr>
          <w:ilvl w:val="0"/>
          <w:numId w:val="3"/>
        </w:numPr>
        <w:spacing w:line="276" w:lineRule="auto"/>
        <w:jc w:val="both"/>
      </w:pPr>
      <w:r w:rsidRPr="00A81FA5">
        <w:t xml:space="preserve">pružanje </w:t>
      </w:r>
      <w:r w:rsidR="0048723A" w:rsidRPr="00A81FA5">
        <w:t>potpor</w:t>
      </w:r>
      <w:r w:rsidRPr="00A81FA5">
        <w:t>e</w:t>
      </w:r>
      <w:r w:rsidR="0048723A" w:rsidRPr="00A81FA5">
        <w:t xml:space="preserve"> tijelima odgovornim za standarde stanovanja, osnovne usluge i zaštitu okoliša</w:t>
      </w:r>
      <w:r w:rsidRPr="00A81FA5">
        <w:t>.</w:t>
      </w:r>
      <w:r w:rsidR="0048723A" w:rsidRPr="00A81FA5">
        <w:t xml:space="preserve"> </w:t>
      </w:r>
    </w:p>
    <w:p w14:paraId="4A4D7432" w14:textId="1AB32B13" w:rsidR="001D7217" w:rsidRPr="00A81FA5" w:rsidRDefault="001D7217" w:rsidP="00BC4411">
      <w:pPr>
        <w:rPr>
          <w:rFonts w:eastAsia="Times New Roman" w:cs="Times New Roman"/>
          <w:szCs w:val="24"/>
          <w:lang w:eastAsia="hr-HR"/>
        </w:rPr>
      </w:pPr>
    </w:p>
    <w:p w14:paraId="74E50515" w14:textId="16CE087E" w:rsidR="00754E0C" w:rsidRPr="00FC64BF" w:rsidRDefault="00754E0C" w:rsidP="00D36147">
      <w:pPr>
        <w:pStyle w:val="Heading2"/>
        <w:spacing w:line="276" w:lineRule="auto"/>
        <w:rPr>
          <w:rFonts w:cs="Times New Roman"/>
        </w:rPr>
      </w:pPr>
      <w:r w:rsidRPr="00FC64BF">
        <w:rPr>
          <w:rFonts w:cs="Times New Roman"/>
        </w:rPr>
        <w:t>Mjera 7.1. Smanjivanje jaza u stambenoj deprivaciji Roma i opće populacije</w:t>
      </w:r>
    </w:p>
    <w:p w14:paraId="72BE7E2F" w14:textId="77777777" w:rsidR="00190175" w:rsidRPr="00FC64BF" w:rsidRDefault="00190175" w:rsidP="004A3B23">
      <w:pPr>
        <w:spacing w:after="0" w:line="276" w:lineRule="auto"/>
        <w:jc w:val="both"/>
        <w:rPr>
          <w:rFonts w:cs="Times New Roman"/>
          <w:i/>
          <w:iCs/>
          <w:szCs w:val="24"/>
        </w:rPr>
      </w:pPr>
    </w:p>
    <w:p w14:paraId="3EE261E9" w14:textId="0B87C5DE" w:rsidR="00560B29" w:rsidRPr="00FC64BF" w:rsidRDefault="004650B7" w:rsidP="00D36147">
      <w:pPr>
        <w:spacing w:after="0" w:line="276" w:lineRule="auto"/>
        <w:jc w:val="both"/>
        <w:rPr>
          <w:rFonts w:cs="Times New Roman"/>
          <w:i/>
          <w:iCs/>
          <w:szCs w:val="24"/>
        </w:rPr>
      </w:pPr>
      <w:r w:rsidRPr="00FC64BF">
        <w:rPr>
          <w:rFonts w:cs="Times New Roman"/>
          <w:i/>
          <w:iCs/>
          <w:szCs w:val="24"/>
        </w:rPr>
        <w:t>Aktivnost 7.1.1. Poboljšanje uvjeta življenja i stambeno zbrinjavanje pripa</w:t>
      </w:r>
      <w:r w:rsidR="00560B29" w:rsidRPr="00FC64BF">
        <w:rPr>
          <w:rFonts w:cs="Times New Roman"/>
          <w:i/>
          <w:iCs/>
          <w:szCs w:val="24"/>
        </w:rPr>
        <w:t>dnika romske nacionalne manjine</w:t>
      </w:r>
    </w:p>
    <w:p w14:paraId="11044F39" w14:textId="4213D2FD" w:rsidR="00560B29" w:rsidRPr="00FC64BF" w:rsidRDefault="00560B29" w:rsidP="00D36147">
      <w:pPr>
        <w:spacing w:after="0" w:line="276" w:lineRule="auto"/>
        <w:jc w:val="both"/>
        <w:rPr>
          <w:rFonts w:cs="Times New Roman"/>
          <w:i/>
          <w:iCs/>
          <w:szCs w:val="24"/>
        </w:rPr>
      </w:pPr>
      <w:r w:rsidRPr="00FC64BF">
        <w:rPr>
          <w:rFonts w:cs="Times New Roman"/>
          <w:i/>
          <w:iCs/>
          <w:szCs w:val="24"/>
        </w:rPr>
        <w:t>Nositelj provedbe:</w:t>
      </w:r>
      <w:r w:rsidR="00AC0902" w:rsidRPr="00FC64BF">
        <w:rPr>
          <w:rFonts w:cs="Times New Roman"/>
          <w:i/>
          <w:iCs/>
          <w:szCs w:val="24"/>
        </w:rPr>
        <w:t xml:space="preserve"> </w:t>
      </w:r>
      <w:r w:rsidR="00FF7765" w:rsidRPr="00FC64BF">
        <w:rPr>
          <w:rFonts w:cs="Times New Roman"/>
          <w:i/>
          <w:iCs/>
          <w:szCs w:val="24"/>
        </w:rPr>
        <w:t>Ministarstvo prostornoga uređenja, graditeljstva i državne imovine</w:t>
      </w:r>
      <w:r w:rsidRPr="00FC64BF">
        <w:rPr>
          <w:rFonts w:cs="Times New Roman"/>
          <w:i/>
          <w:iCs/>
          <w:szCs w:val="24"/>
        </w:rPr>
        <w:t xml:space="preserve"> </w:t>
      </w:r>
    </w:p>
    <w:p w14:paraId="040860F0" w14:textId="4FFBA83E" w:rsidR="004650B7" w:rsidRPr="00FC64BF" w:rsidRDefault="00560B29" w:rsidP="00D36147">
      <w:pPr>
        <w:spacing w:after="0" w:line="276" w:lineRule="auto"/>
        <w:jc w:val="both"/>
        <w:rPr>
          <w:rFonts w:cs="Times New Roman"/>
          <w:i/>
          <w:iCs/>
          <w:szCs w:val="24"/>
        </w:rPr>
      </w:pPr>
      <w:r w:rsidRPr="00FC64BF">
        <w:rPr>
          <w:rFonts w:cs="Times New Roman"/>
          <w:i/>
          <w:iCs/>
          <w:szCs w:val="24"/>
        </w:rPr>
        <w:t xml:space="preserve">Partneri: </w:t>
      </w:r>
      <w:r w:rsidR="00904353" w:rsidRPr="00FC64BF">
        <w:rPr>
          <w:rFonts w:cs="Times New Roman"/>
          <w:iCs/>
          <w:szCs w:val="24"/>
        </w:rPr>
        <w:t xml:space="preserve">Općina </w:t>
      </w:r>
      <w:proofErr w:type="spellStart"/>
      <w:r w:rsidR="00904353" w:rsidRPr="00FC64BF">
        <w:rPr>
          <w:rFonts w:cs="Times New Roman"/>
          <w:iCs/>
          <w:szCs w:val="24"/>
        </w:rPr>
        <w:t>Petlovac</w:t>
      </w:r>
      <w:proofErr w:type="spellEnd"/>
    </w:p>
    <w:p w14:paraId="6F3D15AD" w14:textId="73407A13" w:rsidR="00593DCC" w:rsidRPr="00FC64BF" w:rsidRDefault="00593DCC" w:rsidP="00D36147">
      <w:pPr>
        <w:spacing w:after="0" w:line="276" w:lineRule="auto"/>
        <w:jc w:val="both"/>
        <w:rPr>
          <w:rFonts w:cs="Times New Roman"/>
          <w:i/>
          <w:iCs/>
          <w:szCs w:val="24"/>
        </w:rPr>
      </w:pPr>
    </w:p>
    <w:p w14:paraId="0B982F61" w14:textId="46F385C7" w:rsidR="000A4DFE" w:rsidRPr="00FC64BF" w:rsidRDefault="000A4DFE" w:rsidP="00D36147">
      <w:pPr>
        <w:spacing w:after="0" w:line="276" w:lineRule="auto"/>
        <w:jc w:val="both"/>
        <w:rPr>
          <w:rFonts w:eastAsia="Aptos" w:cs="Times New Roman"/>
          <w:iCs/>
          <w:color w:val="000000"/>
          <w:szCs w:val="24"/>
          <w:lang w:bidi="ar"/>
        </w:rPr>
      </w:pPr>
      <w:r w:rsidRPr="00FC64BF">
        <w:rPr>
          <w:rFonts w:cs="Times New Roman"/>
          <w:szCs w:val="24"/>
        </w:rPr>
        <w:t xml:space="preserve">Ministarstvo prostornoga uređenja, graditeljstva i državne imovine je krajem 2023. </w:t>
      </w:r>
      <w:r w:rsidR="00897A2A">
        <w:rPr>
          <w:rFonts w:cs="Times New Roman"/>
          <w:szCs w:val="24"/>
        </w:rPr>
        <w:t xml:space="preserve">godine </w:t>
      </w:r>
      <w:r w:rsidRPr="00FC64BF">
        <w:rPr>
          <w:rFonts w:cs="Times New Roman"/>
          <w:szCs w:val="24"/>
        </w:rPr>
        <w:t xml:space="preserve">donijelo </w:t>
      </w:r>
      <w:r w:rsidRPr="00FC64BF">
        <w:rPr>
          <w:szCs w:val="24"/>
        </w:rPr>
        <w:t xml:space="preserve">Godišnji program unapređenja </w:t>
      </w:r>
      <w:r w:rsidRPr="0096247E">
        <w:rPr>
          <w:szCs w:val="24"/>
        </w:rPr>
        <w:t>životnih uvjeta pripadnika romske nacionalne manjine</w:t>
      </w:r>
      <w:r w:rsidR="003379F1" w:rsidRPr="0096247E">
        <w:rPr>
          <w:szCs w:val="24"/>
        </w:rPr>
        <w:t xml:space="preserve"> (u daljnjem tekstu: Godišnji program).</w:t>
      </w:r>
      <w:r w:rsidRPr="0096247E">
        <w:rPr>
          <w:szCs w:val="24"/>
        </w:rPr>
        <w:t xml:space="preserve"> u romskom naselju Torjanci (Osječko-baranjska županija, Općina Petlovac) za 2024. godinu. </w:t>
      </w:r>
      <w:r w:rsidR="003379F1" w:rsidRPr="0096247E">
        <w:rPr>
          <w:szCs w:val="24"/>
        </w:rPr>
        <w:t>Godišnji p</w:t>
      </w:r>
      <w:r w:rsidRPr="0096247E">
        <w:rPr>
          <w:rFonts w:cs="Times New Roman"/>
          <w:iCs/>
          <w:color w:val="000000"/>
          <w:szCs w:val="24"/>
        </w:rPr>
        <w:t>rogram</w:t>
      </w:r>
      <w:r w:rsidRPr="0096247E">
        <w:rPr>
          <w:rFonts w:eastAsia="Aptos" w:cs="Times New Roman"/>
          <w:iCs/>
          <w:color w:val="000000"/>
          <w:szCs w:val="24"/>
          <w:lang w:bidi="ar"/>
        </w:rPr>
        <w:t xml:space="preserve"> uključuje izgradnju 6 obiteljskih kuća u romskom naselju Torjanci. Općina</w:t>
      </w:r>
      <w:r w:rsidRPr="00FC64BF">
        <w:rPr>
          <w:rFonts w:eastAsia="Aptos" w:cs="Times New Roman"/>
          <w:iCs/>
          <w:color w:val="000000"/>
          <w:szCs w:val="24"/>
          <w:lang w:bidi="ar"/>
        </w:rPr>
        <w:t xml:space="preserve"> Petlovac je početkom 2024. </w:t>
      </w:r>
      <w:r w:rsidR="00897A2A">
        <w:rPr>
          <w:rFonts w:eastAsia="Aptos" w:cs="Times New Roman"/>
          <w:iCs/>
          <w:color w:val="000000"/>
          <w:szCs w:val="24"/>
          <w:lang w:bidi="ar"/>
        </w:rPr>
        <w:t xml:space="preserve">godine </w:t>
      </w:r>
      <w:r w:rsidRPr="00FC64BF">
        <w:rPr>
          <w:rFonts w:eastAsia="Aptos" w:cs="Times New Roman"/>
          <w:iCs/>
          <w:color w:val="000000"/>
          <w:szCs w:val="24"/>
          <w:lang w:bidi="ar"/>
        </w:rPr>
        <w:t xml:space="preserve">dostavila Ministarstvu prostornoga uređenja, </w:t>
      </w:r>
      <w:r w:rsidRPr="006A7507">
        <w:rPr>
          <w:rFonts w:eastAsia="Aptos" w:cs="Times New Roman"/>
          <w:iCs/>
          <w:color w:val="000000"/>
          <w:szCs w:val="24"/>
          <w:lang w:bidi="ar"/>
        </w:rPr>
        <w:t xml:space="preserve">graditeljstva i državne imovine odluke i ugovore o darovanju nekretnina za 6 korisnika programa. </w:t>
      </w:r>
      <w:r w:rsidRPr="00957968">
        <w:rPr>
          <w:rFonts w:eastAsia="Aptos" w:cs="Times New Roman"/>
          <w:iCs/>
          <w:color w:val="000000"/>
          <w:szCs w:val="24"/>
          <w:lang w:bidi="ar"/>
        </w:rPr>
        <w:t>Ministarstvo</w:t>
      </w:r>
      <w:r w:rsidR="003379F1" w:rsidRPr="00957968">
        <w:rPr>
          <w:rFonts w:eastAsia="Aptos" w:cs="Times New Roman"/>
          <w:iCs/>
          <w:color w:val="000000"/>
          <w:szCs w:val="24"/>
          <w:lang w:bidi="ar"/>
        </w:rPr>
        <w:t xml:space="preserve"> </w:t>
      </w:r>
      <w:r w:rsidR="003379F1" w:rsidRPr="00957968">
        <w:rPr>
          <w:rFonts w:cs="Times New Roman"/>
          <w:szCs w:val="24"/>
        </w:rPr>
        <w:t>prostornoga uređenja, graditeljstva i državne</w:t>
      </w:r>
      <w:r w:rsidRPr="006A7507">
        <w:rPr>
          <w:rFonts w:eastAsia="Aptos" w:cs="Times New Roman"/>
          <w:iCs/>
          <w:color w:val="000000"/>
          <w:szCs w:val="24"/>
          <w:lang w:bidi="ar"/>
        </w:rPr>
        <w:t xml:space="preserve"> </w:t>
      </w:r>
      <w:r w:rsidR="006A7507" w:rsidRPr="006A7507">
        <w:rPr>
          <w:rFonts w:eastAsia="Aptos" w:cs="Times New Roman"/>
          <w:iCs/>
          <w:color w:val="000000"/>
          <w:szCs w:val="24"/>
          <w:lang w:bidi="ar"/>
        </w:rPr>
        <w:t>i</w:t>
      </w:r>
      <w:r w:rsidR="006A7507" w:rsidRPr="00957968">
        <w:rPr>
          <w:rFonts w:eastAsia="Aptos" w:cs="Times New Roman"/>
          <w:iCs/>
          <w:color w:val="000000"/>
          <w:szCs w:val="24"/>
          <w:lang w:bidi="ar"/>
        </w:rPr>
        <w:t xml:space="preserve">movine </w:t>
      </w:r>
      <w:r w:rsidRPr="00957968">
        <w:rPr>
          <w:rFonts w:eastAsia="Aptos" w:cs="Times New Roman"/>
          <w:iCs/>
          <w:color w:val="000000"/>
          <w:szCs w:val="24"/>
          <w:lang w:bidi="ar"/>
        </w:rPr>
        <w:t>j</w:t>
      </w:r>
      <w:r w:rsidRPr="00FC64BF">
        <w:rPr>
          <w:rFonts w:eastAsia="Aptos" w:cs="Times New Roman"/>
          <w:iCs/>
          <w:color w:val="000000"/>
          <w:szCs w:val="24"/>
          <w:lang w:bidi="ar"/>
        </w:rPr>
        <w:t xml:space="preserve">e provelo postupak javne nabave i sklopilo ugovor o projektiranju kuća. Izrađeni su idejni i glavni projekti za gradnju svih 6 obiteljskih kuća te su podneseni zahtjevi za ishođenje građevinskih dozvola. Tijekom prosinca 2024. izdane su građevinske dozvole za gradnju 3 obiteljske kuće, a za gradnju preostale 3 obiteljske kuće očekuje se izdavanje građevinske dozvole u siječnju 2025. Izgradnja obiteljskih kuća predviđena je u 2025. </w:t>
      </w:r>
      <w:r w:rsidR="00897A2A">
        <w:rPr>
          <w:rFonts w:eastAsia="Aptos" w:cs="Times New Roman"/>
          <w:iCs/>
          <w:color w:val="000000"/>
          <w:szCs w:val="24"/>
          <w:lang w:bidi="ar"/>
        </w:rPr>
        <w:t>godini.</w:t>
      </w:r>
    </w:p>
    <w:p w14:paraId="592568B1" w14:textId="156843A8" w:rsidR="000A4DFE" w:rsidRPr="00FC64BF" w:rsidRDefault="000A4DFE" w:rsidP="00D36147">
      <w:pPr>
        <w:spacing w:after="0" w:line="276" w:lineRule="auto"/>
        <w:jc w:val="both"/>
        <w:rPr>
          <w:rFonts w:eastAsia="Times New Roman" w:cs="Times New Roman"/>
          <w:iCs/>
          <w:szCs w:val="24"/>
          <w:lang w:bidi="ar"/>
        </w:rPr>
      </w:pPr>
      <w:r w:rsidRPr="00FC64BF">
        <w:rPr>
          <w:rFonts w:cs="Times New Roman"/>
          <w:iCs/>
          <w:color w:val="000000"/>
          <w:szCs w:val="24"/>
        </w:rPr>
        <w:t xml:space="preserve">Aktivnost se provodi kroz proračunsku aktivnost A761075 Poboljšanje uvjeta življenja romske nacionalne manjine, te su u 2024. </w:t>
      </w:r>
      <w:r w:rsidR="00897A2A">
        <w:rPr>
          <w:rFonts w:cs="Times New Roman"/>
          <w:iCs/>
          <w:color w:val="000000"/>
          <w:szCs w:val="24"/>
        </w:rPr>
        <w:t xml:space="preserve">godini </w:t>
      </w:r>
      <w:r w:rsidRPr="00FC64BF">
        <w:rPr>
          <w:rFonts w:cs="Times New Roman"/>
          <w:iCs/>
          <w:color w:val="000000"/>
          <w:szCs w:val="24"/>
        </w:rPr>
        <w:t xml:space="preserve">utrošena sredstva u iznosu od </w:t>
      </w:r>
      <w:r w:rsidRPr="00FC64BF">
        <w:rPr>
          <w:rFonts w:eastAsia="Aptos" w:cs="Times New Roman"/>
          <w:iCs/>
          <w:color w:val="000000"/>
          <w:szCs w:val="24"/>
        </w:rPr>
        <w:t>709.606</w:t>
      </w:r>
      <w:r w:rsidRPr="00FC64BF">
        <w:rPr>
          <w:rFonts w:cs="Times New Roman"/>
          <w:iCs/>
          <w:color w:val="000000"/>
          <w:szCs w:val="24"/>
        </w:rPr>
        <w:t xml:space="preserve"> </w:t>
      </w:r>
      <w:r w:rsidR="003379F1">
        <w:rPr>
          <w:rFonts w:cs="Times New Roman"/>
          <w:iCs/>
          <w:color w:val="000000"/>
          <w:szCs w:val="24"/>
        </w:rPr>
        <w:t>EUR</w:t>
      </w:r>
      <w:r w:rsidR="003379F1" w:rsidRPr="00FC64BF">
        <w:rPr>
          <w:rFonts w:cs="Times New Roman"/>
          <w:iCs/>
          <w:color w:val="000000"/>
          <w:szCs w:val="24"/>
        </w:rPr>
        <w:t xml:space="preserve"> </w:t>
      </w:r>
      <w:r w:rsidRPr="00FC64BF">
        <w:rPr>
          <w:rFonts w:cs="Times New Roman"/>
          <w:iCs/>
          <w:color w:val="000000"/>
          <w:szCs w:val="24"/>
        </w:rPr>
        <w:t xml:space="preserve">ili 56 % </w:t>
      </w:r>
      <w:r w:rsidRPr="00FC64BF">
        <w:rPr>
          <w:rFonts w:eastAsia="Times New Roman" w:cs="Times New Roman"/>
          <w:iCs/>
          <w:szCs w:val="24"/>
          <w:lang w:bidi="ar"/>
        </w:rPr>
        <w:t>od planiranih sredstava na proračunskoj aktivnosti.</w:t>
      </w:r>
    </w:p>
    <w:p w14:paraId="67B9A8DF" w14:textId="27B2BF4B" w:rsidR="000A4DFE" w:rsidRPr="00CA723B" w:rsidRDefault="000A4DFE" w:rsidP="00CA723B">
      <w:pPr>
        <w:spacing w:after="0" w:line="276" w:lineRule="auto"/>
        <w:jc w:val="both"/>
        <w:rPr>
          <w:rFonts w:eastAsia="Aptos" w:cs="Times New Roman"/>
          <w:iCs/>
          <w:szCs w:val="24"/>
          <w:lang w:bidi="ar"/>
        </w:rPr>
      </w:pPr>
      <w:r w:rsidRPr="00FC64BF">
        <w:rPr>
          <w:rFonts w:eastAsia="Aptos" w:cs="Times New Roman"/>
          <w:iCs/>
          <w:color w:val="000000"/>
          <w:szCs w:val="24"/>
        </w:rPr>
        <w:t xml:space="preserve">Proračunska sredstva u iznosu 709.606 </w:t>
      </w:r>
      <w:r w:rsidR="003379F1">
        <w:rPr>
          <w:rFonts w:eastAsia="Aptos" w:cs="Times New Roman"/>
          <w:iCs/>
          <w:color w:val="000000"/>
          <w:szCs w:val="24"/>
        </w:rPr>
        <w:t>EUR</w:t>
      </w:r>
      <w:r w:rsidR="003379F1" w:rsidRPr="00FC64BF">
        <w:rPr>
          <w:rFonts w:eastAsia="Aptos" w:cs="Times New Roman"/>
          <w:iCs/>
          <w:color w:val="000000"/>
          <w:szCs w:val="24"/>
        </w:rPr>
        <w:t xml:space="preserve"> </w:t>
      </w:r>
      <w:r w:rsidRPr="00FC64BF">
        <w:rPr>
          <w:rFonts w:eastAsia="Aptos" w:cs="Times New Roman"/>
          <w:iCs/>
          <w:color w:val="000000"/>
          <w:szCs w:val="24"/>
        </w:rPr>
        <w:t xml:space="preserve">utrošena su za </w:t>
      </w:r>
      <w:r w:rsidRPr="00FC64BF">
        <w:rPr>
          <w:rFonts w:cs="Times New Roman"/>
          <w:iCs/>
          <w:color w:val="000000"/>
          <w:szCs w:val="24"/>
        </w:rPr>
        <w:t>građevinski materijal i sanitarnu opremu za uređenje kupaonica/sanitarnih čvorova, vanjsku PVC stolariju i podne obloge (</w:t>
      </w:r>
      <w:r w:rsidRPr="00CA723B">
        <w:rPr>
          <w:rFonts w:cs="Times New Roman"/>
          <w:iCs/>
          <w:szCs w:val="24"/>
        </w:rPr>
        <w:t>laminat) k</w:t>
      </w:r>
      <w:r w:rsidRPr="00CA723B">
        <w:rPr>
          <w:rFonts w:eastAsia="Aptos" w:cs="Times New Roman"/>
          <w:iCs/>
          <w:szCs w:val="24"/>
        </w:rPr>
        <w:t xml:space="preserve">oji su isporučeni krajem 2023. </w:t>
      </w:r>
      <w:r w:rsidR="00897A2A">
        <w:rPr>
          <w:rFonts w:eastAsia="Aptos" w:cs="Times New Roman"/>
          <w:iCs/>
          <w:szCs w:val="24"/>
        </w:rPr>
        <w:t xml:space="preserve">godine </w:t>
      </w:r>
      <w:r w:rsidRPr="00CA723B">
        <w:rPr>
          <w:rFonts w:eastAsia="Aptos" w:cs="Times New Roman"/>
          <w:iCs/>
          <w:szCs w:val="24"/>
        </w:rPr>
        <w:t>prema godišnjem programu za 2023.</w:t>
      </w:r>
      <w:r w:rsidR="00897A2A">
        <w:rPr>
          <w:rFonts w:eastAsia="Aptos" w:cs="Times New Roman"/>
          <w:iCs/>
          <w:szCs w:val="24"/>
        </w:rPr>
        <w:t xml:space="preserve"> godinu,</w:t>
      </w:r>
      <w:r w:rsidRPr="00CA723B">
        <w:rPr>
          <w:rFonts w:eastAsia="Aptos" w:cs="Times New Roman"/>
          <w:iCs/>
          <w:szCs w:val="24"/>
        </w:rPr>
        <w:t xml:space="preserve"> a plaćeni početkom 2024. </w:t>
      </w:r>
      <w:r w:rsidR="00897A2A">
        <w:rPr>
          <w:rFonts w:eastAsia="Aptos" w:cs="Times New Roman"/>
          <w:iCs/>
          <w:szCs w:val="24"/>
        </w:rPr>
        <w:t>godine.</w:t>
      </w:r>
    </w:p>
    <w:p w14:paraId="2EBE8A8F" w14:textId="314C1A3A" w:rsidR="000A4DFE" w:rsidRPr="00CA723B" w:rsidRDefault="000A4DFE" w:rsidP="00CA723B">
      <w:pPr>
        <w:spacing w:after="0" w:line="276" w:lineRule="auto"/>
        <w:jc w:val="both"/>
        <w:rPr>
          <w:rFonts w:cs="Times New Roman"/>
          <w:iCs/>
          <w:szCs w:val="24"/>
        </w:rPr>
      </w:pPr>
    </w:p>
    <w:p w14:paraId="50603CA3" w14:textId="40D75D22" w:rsidR="00C018F9" w:rsidRPr="00CA723B" w:rsidRDefault="00C018F9" w:rsidP="00CA723B">
      <w:pPr>
        <w:spacing w:after="0" w:line="276" w:lineRule="auto"/>
        <w:jc w:val="both"/>
        <w:rPr>
          <w:rFonts w:eastAsia="Times New Roman"/>
          <w:szCs w:val="24"/>
          <w:lang w:eastAsia="hr-HR"/>
        </w:rPr>
      </w:pPr>
      <w:r w:rsidRPr="00CA723B">
        <w:rPr>
          <w:rFonts w:eastAsia="Times New Roman"/>
          <w:szCs w:val="24"/>
          <w:lang w:eastAsia="hr-HR"/>
        </w:rPr>
        <w:t xml:space="preserve">Ministarstvo prostornoga uređenja, graditeljstva i državne imovine provodilo je </w:t>
      </w:r>
      <w:r w:rsidR="00CA723B">
        <w:rPr>
          <w:rFonts w:eastAsia="Times New Roman"/>
          <w:szCs w:val="24"/>
          <w:lang w:eastAsia="hr-HR"/>
        </w:rPr>
        <w:t xml:space="preserve">i </w:t>
      </w:r>
      <w:r w:rsidRPr="00CA723B">
        <w:rPr>
          <w:rFonts w:eastAsia="Times New Roman"/>
          <w:szCs w:val="24"/>
          <w:lang w:eastAsia="hr-HR"/>
        </w:rPr>
        <w:t xml:space="preserve">aktivnosti na unaprjeđenju prostornog uređenja područja naseljenih Romima u obliku dodjele financijske potpore za prostorno uređenje područja naseljenog Romima za 2024. </w:t>
      </w:r>
      <w:r w:rsidR="00897A2A">
        <w:rPr>
          <w:rFonts w:eastAsia="Times New Roman"/>
          <w:szCs w:val="24"/>
          <w:lang w:eastAsia="hr-HR"/>
        </w:rPr>
        <w:t xml:space="preserve">godinu. </w:t>
      </w:r>
      <w:r w:rsidRPr="00CA723B">
        <w:rPr>
          <w:rFonts w:eastAsia="Times New Roman"/>
          <w:szCs w:val="24"/>
          <w:lang w:eastAsia="hr-HR"/>
        </w:rPr>
        <w:t xml:space="preserve">U cilju unaprjeđenja prostornog uređenja, ministar je, u svrhu osiguravanja financijske potpore za </w:t>
      </w:r>
      <w:r w:rsidRPr="00CA723B">
        <w:rPr>
          <w:rFonts w:eastAsia="Times New Roman"/>
          <w:szCs w:val="24"/>
          <w:lang w:eastAsia="hr-HR"/>
        </w:rPr>
        <w:lastRenderedPageBreak/>
        <w:t xml:space="preserve">izradu prostornih planova, projektne i druge tehničke dokumentacije za potrebe ishođenja akata za gradnju na područjima naseljenim Romima, donio Odluku o raspisivanju javnog poziva za prostorno uređenje područja naseljenog Romima, KLASA: 350-01/24-01/142, URBROJ: 531-08-23-5 od 08. listopada 2024. Prihvatljivi podnositelji zahtjeva u svrhu dodjele financijske potpore bile su </w:t>
      </w:r>
      <w:r w:rsidR="00026107">
        <w:rPr>
          <w:rFonts w:eastAsia="Times New Roman"/>
          <w:szCs w:val="24"/>
          <w:lang w:eastAsia="hr-HR"/>
        </w:rPr>
        <w:t>JLP(R)S</w:t>
      </w:r>
      <w:r w:rsidRPr="00CA723B">
        <w:rPr>
          <w:rFonts w:eastAsia="Times New Roman"/>
          <w:szCs w:val="24"/>
          <w:lang w:eastAsia="hr-HR"/>
        </w:rPr>
        <w:t xml:space="preserve"> koje prema Popisu stanovništva iz 2021. imaju više od 1 % pripadnika romske nacionalne manjine, pri čemu taj postotak čini najmanje 20 stanovnika pripadnika romske nacionalne manjine koji žive u toj </w:t>
      </w:r>
      <w:r w:rsidR="00FE7B55">
        <w:rPr>
          <w:rFonts w:eastAsia="Times New Roman"/>
          <w:szCs w:val="24"/>
          <w:lang w:eastAsia="hr-HR"/>
        </w:rPr>
        <w:t>JLP(R)S</w:t>
      </w:r>
      <w:r w:rsidRPr="00CA723B">
        <w:rPr>
          <w:rFonts w:eastAsia="Times New Roman"/>
          <w:szCs w:val="24"/>
          <w:lang w:eastAsia="hr-HR"/>
        </w:rPr>
        <w:t>.</w:t>
      </w:r>
      <w:r w:rsidRPr="00CA723B">
        <w:rPr>
          <w:rFonts w:eastAsia="Aptos" w:cs="Calibri"/>
          <w:szCs w:val="24"/>
          <w:lang w:eastAsia="hr-HR"/>
        </w:rPr>
        <w:t xml:space="preserve"> </w:t>
      </w:r>
      <w:r w:rsidRPr="00CA723B">
        <w:rPr>
          <w:rFonts w:eastAsia="Times New Roman"/>
          <w:szCs w:val="24"/>
          <w:lang w:eastAsia="hr-HR"/>
        </w:rPr>
        <w:t>Prihvatljive aktivnosti</w:t>
      </w:r>
      <w:r w:rsidRPr="00CA723B">
        <w:rPr>
          <w:rFonts w:eastAsia="Times New Roman"/>
          <w:b/>
          <w:bCs/>
          <w:szCs w:val="24"/>
          <w:lang w:eastAsia="hr-HR"/>
        </w:rPr>
        <w:t xml:space="preserve"> </w:t>
      </w:r>
      <w:r w:rsidRPr="00CA723B">
        <w:rPr>
          <w:rFonts w:eastAsia="Times New Roman"/>
          <w:szCs w:val="24"/>
          <w:lang w:eastAsia="hr-HR"/>
        </w:rPr>
        <w:t>bile su izrada sljedeće dokumentacije:</w:t>
      </w:r>
    </w:p>
    <w:p w14:paraId="170307AB" w14:textId="7CB51738" w:rsidR="00C018F9" w:rsidRPr="00CA723B" w:rsidRDefault="00C018F9" w:rsidP="00CA723B">
      <w:pPr>
        <w:numPr>
          <w:ilvl w:val="0"/>
          <w:numId w:val="15"/>
        </w:numPr>
        <w:spacing w:after="0" w:line="276" w:lineRule="auto"/>
        <w:rPr>
          <w:rFonts w:eastAsia="Times New Roman"/>
          <w:szCs w:val="24"/>
          <w:lang w:eastAsia="hr-HR"/>
        </w:rPr>
      </w:pPr>
      <w:r w:rsidRPr="00CA723B">
        <w:rPr>
          <w:rFonts w:eastAsia="Times New Roman"/>
          <w:szCs w:val="24"/>
          <w:lang w:eastAsia="hr-HR"/>
        </w:rPr>
        <w:t xml:space="preserve">prostorni planovi: urbanistički planovi uređenja (UPU) </w:t>
      </w:r>
    </w:p>
    <w:p w14:paraId="6A49E56A" w14:textId="4A48B189" w:rsidR="00C018F9" w:rsidRPr="00CA723B" w:rsidRDefault="00C018F9" w:rsidP="00CA723B">
      <w:pPr>
        <w:numPr>
          <w:ilvl w:val="0"/>
          <w:numId w:val="15"/>
        </w:numPr>
        <w:spacing w:after="0" w:line="276" w:lineRule="auto"/>
        <w:rPr>
          <w:rFonts w:eastAsia="Times New Roman"/>
          <w:szCs w:val="24"/>
          <w:lang w:eastAsia="hr-HR"/>
        </w:rPr>
      </w:pPr>
      <w:r w:rsidRPr="00CA723B">
        <w:rPr>
          <w:rFonts w:eastAsia="Times New Roman"/>
          <w:szCs w:val="24"/>
          <w:lang w:eastAsia="hr-HR"/>
        </w:rPr>
        <w:t>projektno-tehnička dokumentacija: idejni projekt,</w:t>
      </w:r>
      <w:r w:rsidR="002F7831">
        <w:rPr>
          <w:rFonts w:eastAsia="Times New Roman"/>
          <w:szCs w:val="24"/>
          <w:lang w:eastAsia="hr-HR"/>
        </w:rPr>
        <w:t xml:space="preserve"> </w:t>
      </w:r>
      <w:r w:rsidRPr="00CA723B">
        <w:rPr>
          <w:rFonts w:eastAsia="Times New Roman"/>
          <w:szCs w:val="24"/>
          <w:lang w:eastAsia="hr-HR"/>
        </w:rPr>
        <w:t>glavni</w:t>
      </w:r>
      <w:r w:rsidR="002F7831">
        <w:rPr>
          <w:rFonts w:eastAsia="Times New Roman"/>
          <w:szCs w:val="24"/>
          <w:lang w:eastAsia="hr-HR"/>
        </w:rPr>
        <w:t xml:space="preserve"> </w:t>
      </w:r>
      <w:r w:rsidRPr="00CA723B">
        <w:rPr>
          <w:rFonts w:eastAsia="Times New Roman"/>
          <w:szCs w:val="24"/>
          <w:lang w:eastAsia="hr-HR"/>
        </w:rPr>
        <w:t>projekt, parcelacijski elaborat i druga tehnička dokumentacija za potrebe ishođenja akata za gradnju.</w:t>
      </w:r>
    </w:p>
    <w:p w14:paraId="2FF2F97D" w14:textId="77777777" w:rsidR="00C018F9" w:rsidRPr="00CA723B" w:rsidRDefault="00C018F9" w:rsidP="00CA723B">
      <w:pPr>
        <w:spacing w:after="0" w:line="276" w:lineRule="auto"/>
        <w:rPr>
          <w:rFonts w:eastAsia="Times New Roman"/>
          <w:szCs w:val="24"/>
          <w:lang w:eastAsia="hr-HR"/>
        </w:rPr>
      </w:pPr>
    </w:p>
    <w:p w14:paraId="69A0677D" w14:textId="168DA701" w:rsidR="003379F1" w:rsidRDefault="00C018F9" w:rsidP="00CA723B">
      <w:pPr>
        <w:spacing w:after="0" w:line="276" w:lineRule="auto"/>
        <w:jc w:val="both"/>
        <w:rPr>
          <w:rFonts w:cs="Times New Roman"/>
          <w:szCs w:val="24"/>
        </w:rPr>
      </w:pPr>
      <w:r w:rsidRPr="00CA723B">
        <w:rPr>
          <w:rFonts w:eastAsia="Times New Roman"/>
          <w:szCs w:val="24"/>
          <w:lang w:eastAsia="hr-HR"/>
        </w:rPr>
        <w:t>Povjerenstvo za odabir projekata za dodjelu financijske potpore za prostorno uređenje područja naseljenog Romima pregledalo je pristigle ponude dostavljene elektroničkom poštom na Javni poziv za dodjelu financijske potpore koji je objavljen na mrežnim stanicama ovoga Ministarstva</w:t>
      </w:r>
      <w:r w:rsidR="003379F1" w:rsidRPr="003379F1">
        <w:rPr>
          <w:rFonts w:cs="Times New Roman"/>
          <w:szCs w:val="24"/>
        </w:rPr>
        <w:t xml:space="preserve"> </w:t>
      </w:r>
      <w:r w:rsidR="003379F1" w:rsidRPr="00FC64BF">
        <w:rPr>
          <w:rFonts w:cs="Times New Roman"/>
          <w:szCs w:val="24"/>
        </w:rPr>
        <w:t>prostornoga uređenja, graditeljstva i državne</w:t>
      </w:r>
      <w:r w:rsidR="00C56409">
        <w:rPr>
          <w:rFonts w:cs="Times New Roman"/>
          <w:szCs w:val="24"/>
        </w:rPr>
        <w:t xml:space="preserve"> imovine:</w:t>
      </w:r>
    </w:p>
    <w:p w14:paraId="1759EC0E" w14:textId="5BE204DE" w:rsidR="00C018F9" w:rsidRPr="00CA723B" w:rsidRDefault="00C018F9" w:rsidP="00CA723B">
      <w:pPr>
        <w:spacing w:after="0" w:line="276" w:lineRule="auto"/>
        <w:jc w:val="both"/>
        <w:rPr>
          <w:rFonts w:eastAsia="Times New Roman"/>
          <w:szCs w:val="24"/>
          <w:lang w:eastAsia="hr-HR"/>
        </w:rPr>
      </w:pPr>
      <w:r w:rsidRPr="00CA723B">
        <w:rPr>
          <w:rFonts w:eastAsia="Times New Roman"/>
          <w:szCs w:val="24"/>
          <w:lang w:eastAsia="hr-HR"/>
        </w:rPr>
        <w:t xml:space="preserve"> (</w:t>
      </w:r>
      <w:hyperlink r:id="rId16" w:history="1">
        <w:r w:rsidRPr="00CA723B">
          <w:rPr>
            <w:rFonts w:eastAsia="Times New Roman"/>
            <w:szCs w:val="24"/>
            <w:u w:val="single"/>
            <w:lang w:eastAsia="hr-HR"/>
          </w:rPr>
          <w:t>https://mpgi.gov.hr/o-ministarstvu/djelokrug-50/prostorno-uredjenje-3335/natjecaji-14722/05-09-2024-javni-poziv-za-dodjelu-financijske-potpore-za-prostorno-uredjenje-podrucja-naseljenog-romima-za-2024-godinu/17840</w:t>
        </w:r>
      </w:hyperlink>
      <w:r w:rsidRPr="00CA723B">
        <w:rPr>
          <w:rFonts w:eastAsia="Times New Roman"/>
          <w:szCs w:val="24"/>
          <w:lang w:eastAsia="hr-HR"/>
        </w:rPr>
        <w:t xml:space="preserve">). Ugovori o dodjeli financijske potpore za izradu prostornih planova i projektno-tehničke dokumentacije za potrebe ishođenja akata za gradnju sklopljeni su sa 6 </w:t>
      </w:r>
      <w:r w:rsidR="00FE7B55">
        <w:rPr>
          <w:rFonts w:eastAsia="Times New Roman"/>
          <w:szCs w:val="24"/>
          <w:lang w:eastAsia="hr-HR"/>
        </w:rPr>
        <w:t>JLP(R)S</w:t>
      </w:r>
      <w:r w:rsidRPr="00CA723B">
        <w:rPr>
          <w:rFonts w:eastAsia="Times New Roman"/>
          <w:szCs w:val="24"/>
          <w:lang w:eastAsia="hr-HR"/>
        </w:rPr>
        <w:t>: Općina Petlov</w:t>
      </w:r>
      <w:r w:rsidR="007C1ACB" w:rsidRPr="00CA723B">
        <w:rPr>
          <w:rFonts w:eastAsia="Times New Roman"/>
          <w:szCs w:val="24"/>
          <w:lang w:eastAsia="hr-HR"/>
        </w:rPr>
        <w:t>a</w:t>
      </w:r>
      <w:r w:rsidRPr="00CA723B">
        <w:rPr>
          <w:rFonts w:eastAsia="Times New Roman"/>
          <w:szCs w:val="24"/>
          <w:lang w:eastAsia="hr-HR"/>
        </w:rPr>
        <w:t>c, Općina Mali Bukovec, Općina Đelekovec, Općina Legrad, Općina Peteranec i Grad Đurđevac.</w:t>
      </w:r>
    </w:p>
    <w:p w14:paraId="6FC19F0A" w14:textId="4DDA56A5" w:rsidR="00C018F9" w:rsidRPr="00CA723B" w:rsidRDefault="00C018F9" w:rsidP="00CA723B">
      <w:pPr>
        <w:spacing w:after="0" w:line="276" w:lineRule="auto"/>
        <w:jc w:val="both"/>
        <w:rPr>
          <w:rFonts w:eastAsia="Times New Roman"/>
          <w:szCs w:val="24"/>
          <w:lang w:eastAsia="hr-HR"/>
        </w:rPr>
      </w:pPr>
      <w:r w:rsidRPr="00CA723B">
        <w:rPr>
          <w:rFonts w:eastAsia="Times New Roman"/>
          <w:szCs w:val="24"/>
          <w:lang w:eastAsia="hr-HR"/>
        </w:rPr>
        <w:t xml:space="preserve">U Državnom proračunu Republike Hrvatske za 2024. </w:t>
      </w:r>
      <w:r w:rsidR="00897A2A">
        <w:rPr>
          <w:rFonts w:eastAsia="Times New Roman"/>
          <w:szCs w:val="24"/>
          <w:lang w:eastAsia="hr-HR"/>
        </w:rPr>
        <w:t xml:space="preserve">godinu </w:t>
      </w:r>
      <w:r w:rsidRPr="00CA723B">
        <w:rPr>
          <w:rFonts w:eastAsia="Times New Roman"/>
          <w:szCs w:val="24"/>
          <w:lang w:eastAsia="hr-HR"/>
        </w:rPr>
        <w:t>s pozicije Ministarstva prostornoga uređenja, graditeljstva i državne imovine, razdjel 076, glava 05, aktivnost A576199 - Prostorno uređenje područja naseljenih Romima, stavka 3631 - Tekuće pomoći unutar opće države, za aktivnosti na prostornom uređenju područja naseljenih Romima, što uključuje izradu prostornih planova i izradu projektno-tehničke dokumentacije za potrebe ishođenja akata za gradnju (idejni projekt,</w:t>
      </w:r>
      <w:r w:rsidR="002F7831">
        <w:rPr>
          <w:rFonts w:eastAsia="Times New Roman"/>
          <w:szCs w:val="24"/>
          <w:lang w:eastAsia="hr-HR"/>
        </w:rPr>
        <w:t xml:space="preserve"> </w:t>
      </w:r>
      <w:r w:rsidRPr="00CA723B">
        <w:rPr>
          <w:rFonts w:eastAsia="Times New Roman"/>
          <w:szCs w:val="24"/>
          <w:lang w:eastAsia="hr-HR"/>
        </w:rPr>
        <w:t>glavni</w:t>
      </w:r>
      <w:r w:rsidR="002F7831">
        <w:rPr>
          <w:rFonts w:eastAsia="Times New Roman"/>
          <w:szCs w:val="24"/>
          <w:lang w:eastAsia="hr-HR"/>
        </w:rPr>
        <w:t xml:space="preserve"> </w:t>
      </w:r>
      <w:r w:rsidRPr="00CA723B">
        <w:rPr>
          <w:rFonts w:eastAsia="Times New Roman"/>
          <w:szCs w:val="24"/>
          <w:lang w:eastAsia="hr-HR"/>
        </w:rPr>
        <w:t xml:space="preserve">projekt, parcelacijski elaborat i druga tehnička dokumentacija), od planiranog iznosa od 79.634,00 </w:t>
      </w:r>
      <w:r w:rsidR="003379F1">
        <w:rPr>
          <w:rFonts w:eastAsia="Times New Roman"/>
          <w:szCs w:val="24"/>
          <w:lang w:eastAsia="hr-HR"/>
        </w:rPr>
        <w:t>EUR</w:t>
      </w:r>
      <w:r w:rsidR="003379F1" w:rsidRPr="00CA723B">
        <w:rPr>
          <w:rFonts w:eastAsia="Times New Roman"/>
          <w:szCs w:val="24"/>
          <w:lang w:eastAsia="hr-HR"/>
        </w:rPr>
        <w:t xml:space="preserve"> </w:t>
      </w:r>
      <w:r w:rsidRPr="00CA723B">
        <w:rPr>
          <w:rFonts w:eastAsia="Times New Roman"/>
          <w:szCs w:val="24"/>
          <w:lang w:eastAsia="hr-HR"/>
        </w:rPr>
        <w:t xml:space="preserve">utrošena su sredstva u sveukupnom iznosu od 79.313,50 </w:t>
      </w:r>
      <w:r w:rsidR="003379F1">
        <w:rPr>
          <w:rFonts w:eastAsia="Times New Roman"/>
          <w:szCs w:val="24"/>
          <w:lang w:eastAsia="hr-HR"/>
        </w:rPr>
        <w:t>EUR</w:t>
      </w:r>
      <w:r w:rsidR="003379F1" w:rsidRPr="00CA723B">
        <w:rPr>
          <w:rFonts w:eastAsia="Times New Roman"/>
          <w:szCs w:val="24"/>
          <w:lang w:eastAsia="hr-HR"/>
        </w:rPr>
        <w:t xml:space="preserve"> </w:t>
      </w:r>
      <w:r w:rsidRPr="00CA723B">
        <w:rPr>
          <w:rFonts w:eastAsia="Times New Roman"/>
          <w:szCs w:val="24"/>
          <w:lang w:eastAsia="hr-HR"/>
        </w:rPr>
        <w:t>(99,59</w:t>
      </w:r>
      <w:r w:rsidR="00897A2A">
        <w:rPr>
          <w:rFonts w:eastAsia="Times New Roman"/>
          <w:szCs w:val="24"/>
          <w:lang w:eastAsia="hr-HR"/>
        </w:rPr>
        <w:t xml:space="preserve"> </w:t>
      </w:r>
      <w:r w:rsidRPr="00CA723B">
        <w:rPr>
          <w:rFonts w:eastAsia="Times New Roman"/>
          <w:szCs w:val="24"/>
          <w:lang w:eastAsia="hr-HR"/>
        </w:rPr>
        <w:t>%</w:t>
      </w:r>
      <w:r w:rsidR="00205645" w:rsidRPr="00CA723B">
        <w:rPr>
          <w:rFonts w:eastAsia="Times New Roman"/>
          <w:szCs w:val="24"/>
          <w:lang w:eastAsia="hr-HR"/>
        </w:rPr>
        <w:t xml:space="preserve">). </w:t>
      </w:r>
    </w:p>
    <w:p w14:paraId="71FF272F" w14:textId="77777777" w:rsidR="00C018F9" w:rsidRPr="00CA723B" w:rsidRDefault="00C018F9" w:rsidP="00CA723B">
      <w:pPr>
        <w:spacing w:after="0" w:line="276" w:lineRule="auto"/>
        <w:ind w:firstLine="708"/>
        <w:jc w:val="both"/>
        <w:rPr>
          <w:rFonts w:eastAsia="Times New Roman"/>
          <w:szCs w:val="24"/>
          <w:lang w:eastAsia="hr-HR"/>
        </w:rPr>
      </w:pPr>
      <w:r w:rsidRPr="00CA723B">
        <w:rPr>
          <w:rFonts w:eastAsia="Times New Roman"/>
          <w:szCs w:val="24"/>
          <w:lang w:eastAsia="hr-HR"/>
        </w:rPr>
        <w:t>Popis odobrenih projekata za unaprjeđenje prostornog uređenja područja naseljenih Romima:</w:t>
      </w:r>
    </w:p>
    <w:p w14:paraId="648F2D49" w14:textId="6750B913" w:rsidR="00C018F9" w:rsidRPr="00CA723B" w:rsidRDefault="00C018F9" w:rsidP="00CA723B">
      <w:pPr>
        <w:numPr>
          <w:ilvl w:val="0"/>
          <w:numId w:val="16"/>
        </w:numPr>
        <w:spacing w:after="0" w:line="276" w:lineRule="auto"/>
        <w:jc w:val="both"/>
        <w:rPr>
          <w:rFonts w:eastAsia="Times New Roman"/>
          <w:szCs w:val="24"/>
          <w:lang w:eastAsia="hr-HR"/>
        </w:rPr>
      </w:pPr>
      <w:r w:rsidRPr="00CA723B">
        <w:rPr>
          <w:rFonts w:eastAsia="Times New Roman"/>
          <w:szCs w:val="24"/>
          <w:lang w:eastAsia="hr-HR"/>
        </w:rPr>
        <w:t xml:space="preserve">Općina Petlovac - Izrada projektno-tehničke dokumentacije za izgradnju zgrade javne namjene „Društveni dom s trgom i sportskim igralištem u Baranjskom Petrovom Selu“ - 25.960 </w:t>
      </w:r>
      <w:r w:rsidR="003379F1">
        <w:rPr>
          <w:rFonts w:eastAsia="Times New Roman"/>
          <w:szCs w:val="24"/>
          <w:lang w:eastAsia="hr-HR"/>
        </w:rPr>
        <w:t>EUR</w:t>
      </w:r>
    </w:p>
    <w:p w14:paraId="63C9230F" w14:textId="1ED8E918" w:rsidR="00C018F9" w:rsidRPr="00CA723B" w:rsidRDefault="00C018F9" w:rsidP="00CA723B">
      <w:pPr>
        <w:numPr>
          <w:ilvl w:val="0"/>
          <w:numId w:val="16"/>
        </w:numPr>
        <w:spacing w:after="0" w:line="276" w:lineRule="auto"/>
        <w:jc w:val="both"/>
        <w:rPr>
          <w:rFonts w:eastAsia="Times New Roman"/>
          <w:szCs w:val="24"/>
          <w:lang w:eastAsia="hr-HR"/>
        </w:rPr>
      </w:pPr>
      <w:r w:rsidRPr="00CA723B">
        <w:rPr>
          <w:rFonts w:eastAsia="Times New Roman"/>
          <w:szCs w:val="24"/>
          <w:lang w:eastAsia="hr-HR"/>
        </w:rPr>
        <w:t xml:space="preserve">Općina Mali Bukovec - Izrada projektne dokumentacije za rekonstrukciju općinske zgrade Općine Mali Bukovec - 5.588,50 </w:t>
      </w:r>
      <w:r w:rsidR="003379F1">
        <w:rPr>
          <w:rFonts w:eastAsia="Times New Roman"/>
          <w:szCs w:val="24"/>
          <w:lang w:eastAsia="hr-HR"/>
        </w:rPr>
        <w:t>EUR</w:t>
      </w:r>
    </w:p>
    <w:p w14:paraId="3652D29D" w14:textId="0272F35F" w:rsidR="00C018F9" w:rsidRPr="00CA723B" w:rsidRDefault="00C018F9" w:rsidP="00CA723B">
      <w:pPr>
        <w:numPr>
          <w:ilvl w:val="0"/>
          <w:numId w:val="16"/>
        </w:numPr>
        <w:spacing w:after="0" w:line="276" w:lineRule="auto"/>
        <w:jc w:val="both"/>
        <w:rPr>
          <w:rFonts w:eastAsia="Times New Roman"/>
          <w:szCs w:val="24"/>
          <w:lang w:eastAsia="hr-HR"/>
        </w:rPr>
      </w:pPr>
      <w:r w:rsidRPr="00CA723B">
        <w:rPr>
          <w:rFonts w:eastAsia="Times New Roman"/>
          <w:szCs w:val="24"/>
          <w:lang w:eastAsia="hr-HR"/>
        </w:rPr>
        <w:t xml:space="preserve">Općina Đelekovec - Izrada glavnog projekta rekonstrukcije zgrade tržnice u Đelekovcu - 9.210 </w:t>
      </w:r>
      <w:r w:rsidR="003379F1">
        <w:rPr>
          <w:rFonts w:eastAsia="Times New Roman"/>
          <w:szCs w:val="24"/>
          <w:lang w:eastAsia="hr-HR"/>
        </w:rPr>
        <w:t>EUR</w:t>
      </w:r>
      <w:r w:rsidR="003379F1" w:rsidRPr="00CA723B">
        <w:rPr>
          <w:rFonts w:eastAsia="Times New Roman"/>
          <w:szCs w:val="24"/>
          <w:lang w:eastAsia="hr-HR"/>
        </w:rPr>
        <w:t xml:space="preserve"> </w:t>
      </w:r>
    </w:p>
    <w:p w14:paraId="2266948C" w14:textId="0A6DD5F8" w:rsidR="00C018F9" w:rsidRPr="00CA723B" w:rsidRDefault="00C018F9" w:rsidP="00CA723B">
      <w:pPr>
        <w:numPr>
          <w:ilvl w:val="0"/>
          <w:numId w:val="16"/>
        </w:numPr>
        <w:spacing w:after="0" w:line="276" w:lineRule="auto"/>
        <w:jc w:val="both"/>
        <w:rPr>
          <w:rFonts w:eastAsia="Times New Roman"/>
          <w:szCs w:val="24"/>
          <w:lang w:eastAsia="hr-HR"/>
        </w:rPr>
      </w:pPr>
      <w:r w:rsidRPr="00CA723B">
        <w:rPr>
          <w:rFonts w:eastAsia="Times New Roman"/>
          <w:szCs w:val="24"/>
          <w:lang w:eastAsia="hr-HR"/>
        </w:rPr>
        <w:t>Općina Legrad - Usluge projektiranja FTTH mreže za područje Općine Legrad - 25.555</w:t>
      </w:r>
      <w:r w:rsidR="002F7831">
        <w:rPr>
          <w:rFonts w:eastAsia="Times New Roman"/>
          <w:szCs w:val="24"/>
          <w:lang w:eastAsia="hr-HR"/>
        </w:rPr>
        <w:t xml:space="preserve"> </w:t>
      </w:r>
      <w:r w:rsidR="003379F1">
        <w:rPr>
          <w:rFonts w:eastAsia="Times New Roman"/>
          <w:szCs w:val="24"/>
          <w:lang w:eastAsia="hr-HR"/>
        </w:rPr>
        <w:t>EUR</w:t>
      </w:r>
      <w:r w:rsidR="003379F1" w:rsidRPr="00CA723B">
        <w:rPr>
          <w:rFonts w:eastAsia="Times New Roman"/>
          <w:szCs w:val="24"/>
          <w:lang w:eastAsia="hr-HR"/>
        </w:rPr>
        <w:t xml:space="preserve"> </w:t>
      </w:r>
    </w:p>
    <w:p w14:paraId="545D8B96" w14:textId="32B62E76" w:rsidR="00C018F9" w:rsidRPr="00CA723B" w:rsidRDefault="00C018F9" w:rsidP="00CA723B">
      <w:pPr>
        <w:numPr>
          <w:ilvl w:val="0"/>
          <w:numId w:val="16"/>
        </w:numPr>
        <w:spacing w:after="0" w:line="276" w:lineRule="auto"/>
        <w:jc w:val="both"/>
        <w:rPr>
          <w:rFonts w:eastAsia="Times New Roman"/>
          <w:szCs w:val="24"/>
          <w:lang w:eastAsia="hr-HR"/>
        </w:rPr>
      </w:pPr>
      <w:r w:rsidRPr="00CA723B">
        <w:rPr>
          <w:rFonts w:eastAsia="Times New Roman"/>
          <w:szCs w:val="24"/>
          <w:lang w:eastAsia="hr-HR"/>
        </w:rPr>
        <w:t xml:space="preserve">Općina Peteranec - Izrada projektne dokumentacije za dogradnju vrtića u Peterancu - 6.000 </w:t>
      </w:r>
      <w:r w:rsidR="003379F1">
        <w:rPr>
          <w:rFonts w:eastAsia="Times New Roman"/>
          <w:szCs w:val="24"/>
          <w:lang w:eastAsia="hr-HR"/>
        </w:rPr>
        <w:t>EUR</w:t>
      </w:r>
    </w:p>
    <w:p w14:paraId="23C0D355" w14:textId="12213485" w:rsidR="00C018F9" w:rsidRPr="006A7507" w:rsidRDefault="00C018F9" w:rsidP="00CA723B">
      <w:pPr>
        <w:numPr>
          <w:ilvl w:val="0"/>
          <w:numId w:val="16"/>
        </w:numPr>
        <w:spacing w:after="0" w:line="276" w:lineRule="auto"/>
        <w:jc w:val="both"/>
        <w:rPr>
          <w:rFonts w:eastAsia="Times New Roman"/>
          <w:szCs w:val="24"/>
          <w:lang w:eastAsia="hr-HR"/>
        </w:rPr>
      </w:pPr>
      <w:r w:rsidRPr="00CA723B">
        <w:rPr>
          <w:rFonts w:eastAsia="Times New Roman"/>
          <w:szCs w:val="24"/>
          <w:lang w:eastAsia="hr-HR"/>
        </w:rPr>
        <w:lastRenderedPageBreak/>
        <w:t xml:space="preserve">Grad Đurđevac - Izrada projektne dokumentacije za izgradnju pješačko-biciklističke staze s odbojnicima uz cestu u Ulici Stiska i Ulici Petra Preradovića u Đurđevcu - 7.000 </w:t>
      </w:r>
      <w:r w:rsidR="003379F1" w:rsidRPr="006A7507">
        <w:rPr>
          <w:rFonts w:eastAsia="Times New Roman"/>
          <w:szCs w:val="24"/>
          <w:lang w:eastAsia="hr-HR"/>
        </w:rPr>
        <w:t>EUR</w:t>
      </w:r>
      <w:r w:rsidRPr="006A7507">
        <w:rPr>
          <w:rFonts w:eastAsia="Times New Roman"/>
          <w:szCs w:val="24"/>
          <w:lang w:eastAsia="hr-HR"/>
        </w:rPr>
        <w:t>.</w:t>
      </w:r>
    </w:p>
    <w:p w14:paraId="4F96E455" w14:textId="3BE312CB" w:rsidR="00C018F9" w:rsidRPr="00CA723B" w:rsidRDefault="00C018F9" w:rsidP="00CA723B">
      <w:pPr>
        <w:spacing w:after="0" w:line="276" w:lineRule="auto"/>
        <w:jc w:val="both"/>
        <w:rPr>
          <w:rFonts w:cs="Times New Roman"/>
          <w:iCs/>
          <w:szCs w:val="24"/>
        </w:rPr>
      </w:pPr>
      <w:r w:rsidRPr="00957968">
        <w:rPr>
          <w:rFonts w:eastAsia="Times New Roman"/>
          <w:szCs w:val="24"/>
          <w:lang w:eastAsia="hr-HR"/>
        </w:rPr>
        <w:t>Ministarstvo</w:t>
      </w:r>
      <w:r w:rsidR="003379F1" w:rsidRPr="00957968">
        <w:rPr>
          <w:rFonts w:cs="Times New Roman"/>
          <w:szCs w:val="24"/>
        </w:rPr>
        <w:t xml:space="preserve"> prostornoga uređenja, graditeljstva i državne</w:t>
      </w:r>
      <w:r w:rsidRPr="006A7507">
        <w:rPr>
          <w:rFonts w:eastAsia="Times New Roman"/>
          <w:szCs w:val="24"/>
          <w:lang w:eastAsia="hr-HR"/>
        </w:rPr>
        <w:t xml:space="preserve"> </w:t>
      </w:r>
      <w:r w:rsidR="006A7507" w:rsidRPr="006A7507">
        <w:rPr>
          <w:rFonts w:eastAsia="Times New Roman"/>
          <w:szCs w:val="24"/>
          <w:lang w:eastAsia="hr-HR"/>
        </w:rPr>
        <w:t>im</w:t>
      </w:r>
      <w:r w:rsidR="006A7507" w:rsidRPr="00957968">
        <w:rPr>
          <w:rFonts w:eastAsia="Times New Roman"/>
          <w:szCs w:val="24"/>
          <w:lang w:eastAsia="hr-HR"/>
        </w:rPr>
        <w:t>ovine</w:t>
      </w:r>
      <w:r w:rsidR="006A7507">
        <w:rPr>
          <w:rFonts w:eastAsia="Times New Roman"/>
          <w:szCs w:val="24"/>
          <w:lang w:eastAsia="hr-HR"/>
        </w:rPr>
        <w:t xml:space="preserve"> </w:t>
      </w:r>
      <w:r w:rsidRPr="00CA723B">
        <w:rPr>
          <w:rFonts w:eastAsia="Times New Roman"/>
          <w:szCs w:val="24"/>
          <w:lang w:eastAsia="hr-HR"/>
        </w:rPr>
        <w:t xml:space="preserve">će i u sljedećoj godini nastaviti sa sufinanciranjem izrade prostorno-planske i projektne dokumentacije koja će doprinijeti unaprjeđenju prostornog uređenja područja naseljenih Romima, za što je planirano 79.634,00 </w:t>
      </w:r>
      <w:r w:rsidR="003379F1">
        <w:rPr>
          <w:rFonts w:eastAsia="Times New Roman"/>
          <w:szCs w:val="24"/>
          <w:lang w:eastAsia="hr-HR"/>
        </w:rPr>
        <w:t>EUR</w:t>
      </w:r>
      <w:r w:rsidR="003379F1" w:rsidRPr="00CA723B">
        <w:rPr>
          <w:rFonts w:eastAsia="Times New Roman"/>
          <w:szCs w:val="24"/>
          <w:lang w:eastAsia="hr-HR"/>
        </w:rPr>
        <w:t xml:space="preserve"> </w:t>
      </w:r>
      <w:r w:rsidRPr="00CA723B">
        <w:rPr>
          <w:rFonts w:eastAsia="Times New Roman"/>
          <w:szCs w:val="24"/>
          <w:lang w:eastAsia="hr-HR"/>
        </w:rPr>
        <w:t xml:space="preserve">kao i 2024. </w:t>
      </w:r>
      <w:r w:rsidR="00897A2A">
        <w:rPr>
          <w:rFonts w:eastAsia="Times New Roman"/>
          <w:szCs w:val="24"/>
          <w:lang w:eastAsia="hr-HR"/>
        </w:rPr>
        <w:t>godine.</w:t>
      </w:r>
    </w:p>
    <w:p w14:paraId="372763ED" w14:textId="77777777" w:rsidR="000A4DFE" w:rsidRPr="00CA723B" w:rsidRDefault="000A4DFE" w:rsidP="00CA723B">
      <w:pPr>
        <w:spacing w:after="0" w:line="276" w:lineRule="auto"/>
        <w:jc w:val="both"/>
        <w:rPr>
          <w:rFonts w:cs="Times New Roman"/>
          <w:iCs/>
          <w:szCs w:val="24"/>
        </w:rPr>
      </w:pPr>
    </w:p>
    <w:tbl>
      <w:tblPr>
        <w:tblStyle w:val="TableGrid"/>
        <w:tblW w:w="5000" w:type="pct"/>
        <w:tblLayout w:type="fixed"/>
        <w:tblLook w:val="04A0" w:firstRow="1" w:lastRow="0" w:firstColumn="1" w:lastColumn="0" w:noHBand="0" w:noVBand="1"/>
      </w:tblPr>
      <w:tblGrid>
        <w:gridCol w:w="2690"/>
        <w:gridCol w:w="2267"/>
        <w:gridCol w:w="2126"/>
        <w:gridCol w:w="1979"/>
      </w:tblGrid>
      <w:tr w:rsidR="00CE622A" w:rsidRPr="00CE622A" w14:paraId="56586ED2" w14:textId="77777777" w:rsidTr="00030B65">
        <w:trPr>
          <w:trHeight w:val="606"/>
        </w:trPr>
        <w:tc>
          <w:tcPr>
            <w:tcW w:w="1484" w:type="pct"/>
            <w:shd w:val="clear" w:color="auto" w:fill="F2F2F2" w:themeFill="background1" w:themeFillShade="F2"/>
            <w:vAlign w:val="center"/>
          </w:tcPr>
          <w:p w14:paraId="3871D773" w14:textId="77777777" w:rsidR="009C0849" w:rsidRPr="00FC64BF" w:rsidRDefault="009C0849" w:rsidP="002A04BF">
            <w:pPr>
              <w:rPr>
                <w:rFonts w:cs="Times New Roman"/>
                <w:b/>
                <w:sz w:val="20"/>
                <w:szCs w:val="18"/>
              </w:rPr>
            </w:pPr>
            <w:bookmarkStart w:id="55" w:name="_Hlk164175052"/>
            <w:r w:rsidRPr="00FC64BF">
              <w:rPr>
                <w:rFonts w:cs="Times New Roman"/>
                <w:b/>
                <w:sz w:val="20"/>
                <w:szCs w:val="18"/>
              </w:rPr>
              <w:t>Pokazatelji provedbe i pokazatelji uspješnosti provedbe</w:t>
            </w:r>
          </w:p>
        </w:tc>
        <w:tc>
          <w:tcPr>
            <w:tcW w:w="1251" w:type="pct"/>
            <w:shd w:val="clear" w:color="auto" w:fill="F2F2F2" w:themeFill="background1" w:themeFillShade="F2"/>
            <w:vAlign w:val="center"/>
          </w:tcPr>
          <w:p w14:paraId="02631DAA" w14:textId="3FCB5A04" w:rsidR="009C0849" w:rsidRPr="00FC64BF" w:rsidRDefault="00904353" w:rsidP="006625E4">
            <w:pPr>
              <w:jc w:val="center"/>
              <w:rPr>
                <w:rFonts w:eastAsia="Calibri" w:cs="Times New Roman"/>
                <w:b/>
                <w:strike/>
                <w:sz w:val="20"/>
                <w:szCs w:val="18"/>
              </w:rPr>
            </w:pPr>
            <w:r w:rsidRPr="00FC64BF">
              <w:rPr>
                <w:rFonts w:cs="Times New Roman"/>
                <w:szCs w:val="24"/>
              </w:rPr>
              <w:t>Broj izgrađenih kuća</w:t>
            </w:r>
            <w:r w:rsidRPr="00FC64BF" w:rsidDel="00904353">
              <w:rPr>
                <w:rFonts w:eastAsia="Calibri" w:cs="Times New Roman"/>
                <w:b/>
                <w:sz w:val="20"/>
                <w:szCs w:val="18"/>
              </w:rPr>
              <w:t xml:space="preserve"> </w:t>
            </w:r>
          </w:p>
        </w:tc>
        <w:tc>
          <w:tcPr>
            <w:tcW w:w="1173" w:type="pct"/>
            <w:shd w:val="clear" w:color="auto" w:fill="F2F2F2" w:themeFill="background1" w:themeFillShade="F2"/>
            <w:vAlign w:val="center"/>
          </w:tcPr>
          <w:p w14:paraId="2F75C6CB" w14:textId="4F2F8E98" w:rsidR="009C0849" w:rsidRPr="00FC64BF" w:rsidRDefault="009C0849" w:rsidP="006625E4">
            <w:pPr>
              <w:jc w:val="center"/>
              <w:rPr>
                <w:rFonts w:cs="Times New Roman"/>
                <w:b/>
                <w:sz w:val="20"/>
                <w:szCs w:val="18"/>
              </w:rPr>
            </w:pPr>
          </w:p>
        </w:tc>
        <w:tc>
          <w:tcPr>
            <w:tcW w:w="1092" w:type="pct"/>
            <w:shd w:val="clear" w:color="auto" w:fill="F2F2F2" w:themeFill="background1" w:themeFillShade="F2"/>
            <w:vAlign w:val="center"/>
          </w:tcPr>
          <w:p w14:paraId="545830E4" w14:textId="2A40FBCE" w:rsidR="009C0849" w:rsidRPr="00FC64BF" w:rsidRDefault="009C0849" w:rsidP="006625E4">
            <w:pPr>
              <w:jc w:val="center"/>
              <w:rPr>
                <w:rFonts w:cs="Times New Roman"/>
                <w:b/>
                <w:sz w:val="20"/>
                <w:szCs w:val="18"/>
              </w:rPr>
            </w:pPr>
          </w:p>
        </w:tc>
      </w:tr>
      <w:tr w:rsidR="00CE622A" w:rsidRPr="00CE622A" w14:paraId="6AFF289C" w14:textId="77777777" w:rsidTr="00030B65">
        <w:tc>
          <w:tcPr>
            <w:tcW w:w="1484" w:type="pct"/>
            <w:shd w:val="clear" w:color="auto" w:fill="F2F2F2" w:themeFill="background1" w:themeFillShade="F2"/>
            <w:vAlign w:val="center"/>
          </w:tcPr>
          <w:p w14:paraId="19A05FE2" w14:textId="75E00CD1" w:rsidR="009C0849" w:rsidRPr="00FC64BF" w:rsidRDefault="009C0849" w:rsidP="00F65D28">
            <w:pPr>
              <w:rPr>
                <w:rFonts w:cs="Times New Roman"/>
                <w:sz w:val="20"/>
                <w:szCs w:val="18"/>
              </w:rPr>
            </w:pPr>
            <w:r w:rsidRPr="00FC64BF">
              <w:rPr>
                <w:rFonts w:cs="Times New Roman"/>
                <w:sz w:val="20"/>
                <w:szCs w:val="18"/>
              </w:rPr>
              <w:t>Planirani ishodi za pokazatelje provedbe u 202</w:t>
            </w:r>
            <w:r w:rsidR="00904353" w:rsidRPr="00FC64BF">
              <w:rPr>
                <w:rFonts w:cs="Times New Roman"/>
                <w:sz w:val="20"/>
                <w:szCs w:val="18"/>
              </w:rPr>
              <w:t>4</w:t>
            </w:r>
            <w:r w:rsidRPr="00FC64BF">
              <w:rPr>
                <w:rFonts w:cs="Times New Roman"/>
                <w:sz w:val="20"/>
                <w:szCs w:val="18"/>
              </w:rPr>
              <w:t xml:space="preserve">. </w:t>
            </w:r>
          </w:p>
        </w:tc>
        <w:tc>
          <w:tcPr>
            <w:tcW w:w="1251" w:type="pct"/>
            <w:vAlign w:val="center"/>
          </w:tcPr>
          <w:p w14:paraId="388B22AA" w14:textId="600C07C8" w:rsidR="009C0849" w:rsidRPr="00FC64BF" w:rsidRDefault="00904353" w:rsidP="00904353">
            <w:pPr>
              <w:jc w:val="center"/>
              <w:rPr>
                <w:rFonts w:cs="Times New Roman"/>
                <w:sz w:val="20"/>
                <w:szCs w:val="18"/>
              </w:rPr>
            </w:pPr>
            <w:r w:rsidRPr="00FC64BF">
              <w:rPr>
                <w:rFonts w:cs="Times New Roman"/>
                <w:sz w:val="20"/>
                <w:szCs w:val="18"/>
              </w:rPr>
              <w:t>6</w:t>
            </w:r>
          </w:p>
        </w:tc>
        <w:tc>
          <w:tcPr>
            <w:tcW w:w="1173" w:type="pct"/>
            <w:vAlign w:val="center"/>
          </w:tcPr>
          <w:p w14:paraId="4CBDAB20" w14:textId="4893624A" w:rsidR="009C0849" w:rsidRPr="00FC64BF" w:rsidRDefault="009C0849" w:rsidP="002A04BF">
            <w:pPr>
              <w:jc w:val="center"/>
              <w:rPr>
                <w:rFonts w:cs="Times New Roman"/>
                <w:sz w:val="20"/>
                <w:szCs w:val="18"/>
              </w:rPr>
            </w:pPr>
          </w:p>
        </w:tc>
        <w:tc>
          <w:tcPr>
            <w:tcW w:w="1092" w:type="pct"/>
            <w:vAlign w:val="center"/>
          </w:tcPr>
          <w:p w14:paraId="235ABC86" w14:textId="592E9A88" w:rsidR="009C0849" w:rsidRPr="00FC64BF" w:rsidRDefault="009C0849" w:rsidP="002A04BF">
            <w:pPr>
              <w:jc w:val="center"/>
              <w:rPr>
                <w:rFonts w:cs="Times New Roman"/>
                <w:sz w:val="20"/>
                <w:szCs w:val="18"/>
              </w:rPr>
            </w:pPr>
          </w:p>
        </w:tc>
      </w:tr>
      <w:tr w:rsidR="00CE622A" w:rsidRPr="00CE622A" w14:paraId="51D8A7B2" w14:textId="77777777" w:rsidTr="00030B65">
        <w:tc>
          <w:tcPr>
            <w:tcW w:w="1484" w:type="pct"/>
            <w:shd w:val="clear" w:color="auto" w:fill="F2F2F2" w:themeFill="background1" w:themeFillShade="F2"/>
            <w:vAlign w:val="center"/>
          </w:tcPr>
          <w:p w14:paraId="59C5D0E5" w14:textId="2F58B506" w:rsidR="009C0849" w:rsidRPr="00FC64BF" w:rsidRDefault="009C0849" w:rsidP="00F65D28">
            <w:pPr>
              <w:rPr>
                <w:rFonts w:cs="Times New Roman"/>
                <w:sz w:val="20"/>
                <w:szCs w:val="18"/>
              </w:rPr>
            </w:pPr>
            <w:r w:rsidRPr="00FC64BF">
              <w:rPr>
                <w:rFonts w:cs="Times New Roman"/>
                <w:sz w:val="20"/>
                <w:szCs w:val="18"/>
              </w:rPr>
              <w:t>Ostvareni ishodi za pokazatelje provedbe u 202</w:t>
            </w:r>
            <w:r w:rsidR="00904353" w:rsidRPr="00FC64BF">
              <w:rPr>
                <w:rFonts w:cs="Times New Roman"/>
                <w:sz w:val="20"/>
                <w:szCs w:val="18"/>
              </w:rPr>
              <w:t>4</w:t>
            </w:r>
            <w:r w:rsidRPr="00FC64BF">
              <w:rPr>
                <w:rFonts w:cs="Times New Roman"/>
                <w:sz w:val="20"/>
                <w:szCs w:val="18"/>
              </w:rPr>
              <w:t xml:space="preserve">. </w:t>
            </w:r>
          </w:p>
        </w:tc>
        <w:tc>
          <w:tcPr>
            <w:tcW w:w="1251" w:type="pct"/>
            <w:vAlign w:val="center"/>
          </w:tcPr>
          <w:p w14:paraId="14EBD482" w14:textId="38DA540F" w:rsidR="009C0849" w:rsidRPr="00FC64BF" w:rsidRDefault="00904353" w:rsidP="002A04BF">
            <w:pPr>
              <w:jc w:val="center"/>
              <w:rPr>
                <w:rFonts w:cs="Times New Roman"/>
                <w:sz w:val="20"/>
                <w:szCs w:val="18"/>
              </w:rPr>
            </w:pPr>
            <w:r w:rsidRPr="00FC64BF">
              <w:rPr>
                <w:rFonts w:cs="Times New Roman"/>
                <w:sz w:val="20"/>
                <w:szCs w:val="18"/>
              </w:rPr>
              <w:t>0</w:t>
            </w:r>
          </w:p>
        </w:tc>
        <w:tc>
          <w:tcPr>
            <w:tcW w:w="1173" w:type="pct"/>
            <w:vAlign w:val="center"/>
          </w:tcPr>
          <w:p w14:paraId="3644479C" w14:textId="2AD79400" w:rsidR="009C0849" w:rsidRPr="00FC64BF" w:rsidRDefault="009C0849" w:rsidP="002A04BF">
            <w:pPr>
              <w:jc w:val="center"/>
              <w:rPr>
                <w:rFonts w:cs="Times New Roman"/>
                <w:sz w:val="20"/>
                <w:szCs w:val="18"/>
              </w:rPr>
            </w:pPr>
          </w:p>
        </w:tc>
        <w:tc>
          <w:tcPr>
            <w:tcW w:w="1092" w:type="pct"/>
            <w:vAlign w:val="center"/>
          </w:tcPr>
          <w:p w14:paraId="747BF0FA" w14:textId="0A596389" w:rsidR="009C0849" w:rsidRPr="00FC64BF" w:rsidRDefault="009C0849" w:rsidP="002A04BF">
            <w:pPr>
              <w:jc w:val="center"/>
              <w:rPr>
                <w:rFonts w:eastAsia="Calibri" w:cs="Times New Roman"/>
                <w:sz w:val="20"/>
                <w:szCs w:val="18"/>
              </w:rPr>
            </w:pPr>
          </w:p>
        </w:tc>
      </w:tr>
      <w:tr w:rsidR="00CE622A" w:rsidRPr="00CE622A" w14:paraId="31D02B80" w14:textId="77777777" w:rsidTr="00030B65">
        <w:tc>
          <w:tcPr>
            <w:tcW w:w="1484" w:type="pct"/>
            <w:shd w:val="clear" w:color="auto" w:fill="F2F2F2" w:themeFill="background1" w:themeFillShade="F2"/>
            <w:vAlign w:val="center"/>
          </w:tcPr>
          <w:p w14:paraId="7FA641AF" w14:textId="77777777" w:rsidR="009C0849" w:rsidRPr="00FC64BF" w:rsidRDefault="009C0849" w:rsidP="002A04BF">
            <w:pPr>
              <w:rPr>
                <w:rFonts w:cs="Times New Roman"/>
                <w:b/>
                <w:sz w:val="20"/>
                <w:szCs w:val="18"/>
              </w:rPr>
            </w:pPr>
            <w:r w:rsidRPr="00FC64BF">
              <w:rPr>
                <w:rFonts w:cs="Times New Roman"/>
                <w:b/>
                <w:sz w:val="20"/>
                <w:szCs w:val="18"/>
              </w:rPr>
              <w:t xml:space="preserve">IZVORI FINANCIRANJA </w:t>
            </w:r>
          </w:p>
        </w:tc>
        <w:tc>
          <w:tcPr>
            <w:tcW w:w="1251" w:type="pct"/>
            <w:vAlign w:val="center"/>
          </w:tcPr>
          <w:p w14:paraId="2832D79A" w14:textId="77777777" w:rsidR="009C0849" w:rsidRPr="00FC64BF" w:rsidRDefault="009C0849" w:rsidP="002A04BF">
            <w:pPr>
              <w:jc w:val="center"/>
              <w:rPr>
                <w:rFonts w:cs="Times New Roman"/>
                <w:b/>
                <w:sz w:val="20"/>
                <w:szCs w:val="18"/>
              </w:rPr>
            </w:pPr>
            <w:r w:rsidRPr="00FC64BF">
              <w:rPr>
                <w:rFonts w:cs="Times New Roman"/>
                <w:b/>
                <w:sz w:val="20"/>
                <w:szCs w:val="18"/>
              </w:rPr>
              <w:t>Državni proračun (EUR)</w:t>
            </w:r>
          </w:p>
        </w:tc>
        <w:tc>
          <w:tcPr>
            <w:tcW w:w="1173" w:type="pct"/>
            <w:vAlign w:val="center"/>
          </w:tcPr>
          <w:p w14:paraId="418600B1" w14:textId="77777777" w:rsidR="009C0849" w:rsidRPr="00FC64BF" w:rsidRDefault="009C0849" w:rsidP="002A04BF">
            <w:pPr>
              <w:jc w:val="center"/>
              <w:rPr>
                <w:rFonts w:cs="Times New Roman"/>
                <w:b/>
                <w:sz w:val="20"/>
                <w:szCs w:val="18"/>
              </w:rPr>
            </w:pPr>
            <w:r w:rsidRPr="00FC64BF">
              <w:rPr>
                <w:rFonts w:cs="Times New Roman"/>
                <w:b/>
                <w:sz w:val="20"/>
                <w:szCs w:val="18"/>
              </w:rPr>
              <w:t>EU financiranje (EUR)</w:t>
            </w:r>
          </w:p>
        </w:tc>
        <w:tc>
          <w:tcPr>
            <w:tcW w:w="1092" w:type="pct"/>
            <w:vAlign w:val="center"/>
          </w:tcPr>
          <w:p w14:paraId="4CD566A8" w14:textId="77777777" w:rsidR="009C0849" w:rsidRPr="00FC64BF" w:rsidRDefault="009C0849" w:rsidP="002A04BF">
            <w:pPr>
              <w:jc w:val="center"/>
              <w:rPr>
                <w:rFonts w:cs="Times New Roman"/>
                <w:b/>
                <w:sz w:val="20"/>
                <w:szCs w:val="18"/>
              </w:rPr>
            </w:pPr>
            <w:r w:rsidRPr="00FC64BF">
              <w:rPr>
                <w:rFonts w:cs="Times New Roman"/>
                <w:b/>
                <w:sz w:val="20"/>
                <w:szCs w:val="18"/>
              </w:rPr>
              <w:t>Drugi izvori (EUR)</w:t>
            </w:r>
          </w:p>
        </w:tc>
      </w:tr>
      <w:tr w:rsidR="00CE622A" w:rsidRPr="00CE622A" w14:paraId="0187F947" w14:textId="77777777" w:rsidTr="00030B65">
        <w:tc>
          <w:tcPr>
            <w:tcW w:w="1484" w:type="pct"/>
            <w:shd w:val="clear" w:color="auto" w:fill="F2F2F2" w:themeFill="background1" w:themeFillShade="F2"/>
            <w:vAlign w:val="center"/>
          </w:tcPr>
          <w:p w14:paraId="1A2199A1" w14:textId="79256DD5" w:rsidR="009C0849" w:rsidRPr="00FC64BF" w:rsidRDefault="009C0849" w:rsidP="00F65D28">
            <w:pPr>
              <w:rPr>
                <w:rFonts w:cs="Times New Roman"/>
                <w:sz w:val="20"/>
                <w:szCs w:val="18"/>
              </w:rPr>
            </w:pPr>
            <w:r w:rsidRPr="00FC64BF">
              <w:rPr>
                <w:rFonts w:cs="Times New Roman"/>
                <w:sz w:val="20"/>
                <w:szCs w:val="18"/>
              </w:rPr>
              <w:t>Izvori financiranja u 202</w:t>
            </w:r>
            <w:r w:rsidR="00590F6B">
              <w:rPr>
                <w:rFonts w:cs="Times New Roman"/>
                <w:sz w:val="20"/>
                <w:szCs w:val="18"/>
              </w:rPr>
              <w:t>4</w:t>
            </w:r>
            <w:r w:rsidRPr="00FC64BF">
              <w:rPr>
                <w:rFonts w:cs="Times New Roman"/>
                <w:sz w:val="20"/>
                <w:szCs w:val="18"/>
              </w:rPr>
              <w:t>. (proračunska pozicija i predviđeni iznos sredstava)</w:t>
            </w:r>
          </w:p>
        </w:tc>
        <w:tc>
          <w:tcPr>
            <w:tcW w:w="1251" w:type="pct"/>
            <w:vAlign w:val="center"/>
          </w:tcPr>
          <w:p w14:paraId="71CCCE40" w14:textId="624770BF" w:rsidR="00904353" w:rsidRPr="00FC64BF" w:rsidRDefault="00904353" w:rsidP="00904353">
            <w:pPr>
              <w:jc w:val="center"/>
              <w:rPr>
                <w:rFonts w:cs="Times New Roman"/>
                <w:sz w:val="20"/>
                <w:szCs w:val="20"/>
              </w:rPr>
            </w:pPr>
            <w:r w:rsidRPr="00FC64BF">
              <w:rPr>
                <w:rFonts w:eastAsia="Times New Roman" w:cs="Times New Roman"/>
                <w:iCs/>
                <w:sz w:val="20"/>
                <w:szCs w:val="20"/>
                <w:lang w:bidi="ar"/>
              </w:rPr>
              <w:t>A761075-3822 Poboljšanje uvjeta življenja romske nacionalne manjine, Kapitalne donacije građanima i kućanstvima</w:t>
            </w:r>
            <w:r w:rsidRPr="00FC64BF">
              <w:rPr>
                <w:rFonts w:cs="Times New Roman"/>
                <w:sz w:val="20"/>
                <w:szCs w:val="20"/>
              </w:rPr>
              <w:t xml:space="preserve"> 1.260.867 EUR</w:t>
            </w:r>
          </w:p>
          <w:p w14:paraId="160F7DF2" w14:textId="69BD3FA1" w:rsidR="009C0849" w:rsidRPr="00FC64BF" w:rsidRDefault="009C0849" w:rsidP="00904353">
            <w:pPr>
              <w:jc w:val="center"/>
              <w:rPr>
                <w:rFonts w:cs="Times New Roman"/>
                <w:sz w:val="20"/>
                <w:szCs w:val="20"/>
              </w:rPr>
            </w:pPr>
            <w:r w:rsidRPr="00FC64BF">
              <w:rPr>
                <w:rFonts w:cs="Times New Roman"/>
                <w:sz w:val="20"/>
                <w:szCs w:val="20"/>
              </w:rPr>
              <w:t>0</w:t>
            </w:r>
          </w:p>
        </w:tc>
        <w:tc>
          <w:tcPr>
            <w:tcW w:w="1173" w:type="pct"/>
            <w:vAlign w:val="center"/>
          </w:tcPr>
          <w:p w14:paraId="6B5F7930" w14:textId="62603BCA" w:rsidR="009C0849" w:rsidRPr="00FC64BF" w:rsidRDefault="009C0849" w:rsidP="002A04BF">
            <w:pPr>
              <w:jc w:val="center"/>
              <w:rPr>
                <w:rFonts w:cs="Times New Roman"/>
                <w:sz w:val="20"/>
                <w:szCs w:val="18"/>
              </w:rPr>
            </w:pPr>
            <w:r w:rsidRPr="00FC64BF">
              <w:rPr>
                <w:rFonts w:cs="Times New Roman"/>
                <w:sz w:val="20"/>
                <w:szCs w:val="18"/>
              </w:rPr>
              <w:t>0,00</w:t>
            </w:r>
          </w:p>
        </w:tc>
        <w:tc>
          <w:tcPr>
            <w:tcW w:w="1092" w:type="pct"/>
            <w:vAlign w:val="center"/>
          </w:tcPr>
          <w:p w14:paraId="48B92331" w14:textId="5588C797" w:rsidR="009C0849" w:rsidRPr="00FC64BF" w:rsidRDefault="009C0849" w:rsidP="002A04BF">
            <w:pPr>
              <w:jc w:val="center"/>
              <w:rPr>
                <w:rFonts w:cs="Times New Roman"/>
                <w:sz w:val="20"/>
                <w:szCs w:val="18"/>
              </w:rPr>
            </w:pPr>
            <w:r w:rsidRPr="00FC64BF">
              <w:rPr>
                <w:rFonts w:cs="Times New Roman"/>
                <w:sz w:val="20"/>
                <w:szCs w:val="18"/>
              </w:rPr>
              <w:t>0,00</w:t>
            </w:r>
          </w:p>
        </w:tc>
      </w:tr>
      <w:tr w:rsidR="00CE622A" w:rsidRPr="00CE622A" w14:paraId="0B421356" w14:textId="77777777" w:rsidTr="00030B65">
        <w:tc>
          <w:tcPr>
            <w:tcW w:w="1484" w:type="pct"/>
            <w:vMerge w:val="restart"/>
            <w:shd w:val="clear" w:color="auto" w:fill="F2F2F2" w:themeFill="background1" w:themeFillShade="F2"/>
            <w:vAlign w:val="center"/>
          </w:tcPr>
          <w:p w14:paraId="5872D08A" w14:textId="77777777" w:rsidR="009C0849" w:rsidRPr="00FC64BF" w:rsidRDefault="009C0849" w:rsidP="002A04BF">
            <w:pPr>
              <w:rPr>
                <w:rFonts w:cs="Times New Roman"/>
                <w:b/>
                <w:sz w:val="20"/>
                <w:szCs w:val="18"/>
              </w:rPr>
            </w:pPr>
            <w:r w:rsidRPr="00FC64BF">
              <w:rPr>
                <w:rFonts w:cs="Times New Roman"/>
                <w:b/>
                <w:sz w:val="20"/>
                <w:szCs w:val="18"/>
              </w:rPr>
              <w:t xml:space="preserve">UKUPNO UTROŠENA SREDSTVA PO IZVORU </w:t>
            </w:r>
          </w:p>
        </w:tc>
        <w:tc>
          <w:tcPr>
            <w:tcW w:w="1251" w:type="pct"/>
            <w:vAlign w:val="center"/>
          </w:tcPr>
          <w:p w14:paraId="47B71D5E" w14:textId="77777777" w:rsidR="009C0849" w:rsidRPr="00FC64BF" w:rsidRDefault="009C0849" w:rsidP="002A04BF">
            <w:pPr>
              <w:jc w:val="center"/>
              <w:rPr>
                <w:rFonts w:cs="Times New Roman"/>
                <w:b/>
                <w:sz w:val="20"/>
                <w:szCs w:val="20"/>
              </w:rPr>
            </w:pPr>
            <w:r w:rsidRPr="00FC64BF">
              <w:rPr>
                <w:rFonts w:cs="Times New Roman"/>
                <w:b/>
                <w:sz w:val="20"/>
                <w:szCs w:val="20"/>
              </w:rPr>
              <w:t>Državni proračun (EUR)</w:t>
            </w:r>
          </w:p>
        </w:tc>
        <w:tc>
          <w:tcPr>
            <w:tcW w:w="1173" w:type="pct"/>
            <w:vAlign w:val="center"/>
          </w:tcPr>
          <w:p w14:paraId="56EE7F48" w14:textId="77777777" w:rsidR="009C0849" w:rsidRPr="00FC64BF" w:rsidRDefault="009C0849" w:rsidP="002A04BF">
            <w:pPr>
              <w:jc w:val="center"/>
              <w:rPr>
                <w:rFonts w:cs="Times New Roman"/>
                <w:b/>
                <w:sz w:val="20"/>
                <w:szCs w:val="18"/>
              </w:rPr>
            </w:pPr>
            <w:r w:rsidRPr="00FC64BF">
              <w:rPr>
                <w:rFonts w:cs="Times New Roman"/>
                <w:b/>
                <w:sz w:val="20"/>
                <w:szCs w:val="18"/>
              </w:rPr>
              <w:t>EU financiranje (EUR)</w:t>
            </w:r>
          </w:p>
        </w:tc>
        <w:tc>
          <w:tcPr>
            <w:tcW w:w="1092" w:type="pct"/>
            <w:vAlign w:val="center"/>
          </w:tcPr>
          <w:p w14:paraId="1695C8B9" w14:textId="77777777" w:rsidR="009C0849" w:rsidRPr="00FC64BF" w:rsidRDefault="009C0849" w:rsidP="002A04BF">
            <w:pPr>
              <w:jc w:val="center"/>
              <w:rPr>
                <w:rFonts w:cs="Times New Roman"/>
                <w:b/>
                <w:sz w:val="20"/>
                <w:szCs w:val="18"/>
              </w:rPr>
            </w:pPr>
            <w:r w:rsidRPr="00FC64BF">
              <w:rPr>
                <w:rFonts w:cs="Times New Roman"/>
                <w:b/>
                <w:sz w:val="20"/>
                <w:szCs w:val="18"/>
              </w:rPr>
              <w:t>Drugi izvori (EUR)</w:t>
            </w:r>
          </w:p>
        </w:tc>
      </w:tr>
      <w:tr w:rsidR="00CE622A" w:rsidRPr="00CE622A" w14:paraId="393426DA" w14:textId="77777777" w:rsidTr="00030B65">
        <w:tc>
          <w:tcPr>
            <w:tcW w:w="1484" w:type="pct"/>
            <w:vMerge/>
            <w:shd w:val="clear" w:color="auto" w:fill="F2F2F2" w:themeFill="background1" w:themeFillShade="F2"/>
            <w:vAlign w:val="center"/>
          </w:tcPr>
          <w:p w14:paraId="00EC9194" w14:textId="77777777" w:rsidR="009C0849" w:rsidRPr="00FC64BF" w:rsidRDefault="009C0849" w:rsidP="002A04BF">
            <w:pPr>
              <w:rPr>
                <w:rFonts w:cs="Times New Roman"/>
                <w:b/>
                <w:sz w:val="20"/>
                <w:szCs w:val="18"/>
              </w:rPr>
            </w:pPr>
          </w:p>
        </w:tc>
        <w:tc>
          <w:tcPr>
            <w:tcW w:w="1251" w:type="pct"/>
            <w:vAlign w:val="center"/>
          </w:tcPr>
          <w:p w14:paraId="0E998B3F" w14:textId="1C3EE114" w:rsidR="009C0849" w:rsidRPr="00FC64BF" w:rsidRDefault="00A9734F" w:rsidP="00590F6B">
            <w:pPr>
              <w:jc w:val="center"/>
              <w:rPr>
                <w:rFonts w:eastAsia="Calibri" w:cs="Times New Roman"/>
                <w:b/>
                <w:sz w:val="20"/>
                <w:szCs w:val="20"/>
              </w:rPr>
            </w:pPr>
            <w:r w:rsidRPr="00FC64BF">
              <w:rPr>
                <w:rFonts w:eastAsia="Calibri" w:cs="Times New Roman"/>
                <w:sz w:val="20"/>
                <w:szCs w:val="20"/>
              </w:rPr>
              <w:t>A761075 - Poboljšanje</w:t>
            </w:r>
            <w:r w:rsidR="006625E4" w:rsidRPr="00FC64BF">
              <w:rPr>
                <w:rFonts w:eastAsia="Calibri" w:cs="Times New Roman"/>
                <w:sz w:val="20"/>
                <w:szCs w:val="20"/>
              </w:rPr>
              <w:t xml:space="preserve"> </w:t>
            </w:r>
            <w:r w:rsidRPr="00FC64BF">
              <w:rPr>
                <w:rFonts w:eastAsia="Calibri" w:cs="Times New Roman"/>
                <w:sz w:val="20"/>
                <w:szCs w:val="20"/>
              </w:rPr>
              <w:t>uvjeta življenja romske</w:t>
            </w:r>
            <w:r w:rsidR="006625E4" w:rsidRPr="00FC64BF">
              <w:rPr>
                <w:rFonts w:eastAsia="Calibri" w:cs="Times New Roman"/>
                <w:sz w:val="20"/>
                <w:szCs w:val="20"/>
              </w:rPr>
              <w:t xml:space="preserve"> </w:t>
            </w:r>
            <w:r w:rsidRPr="00FC64BF">
              <w:rPr>
                <w:rFonts w:eastAsia="Calibri" w:cs="Times New Roman"/>
                <w:sz w:val="20"/>
                <w:szCs w:val="20"/>
              </w:rPr>
              <w:t>nacionalne manjine</w:t>
            </w:r>
            <w:r w:rsidRPr="00FC64BF">
              <w:rPr>
                <w:rFonts w:eastAsia="Calibri" w:cs="Times New Roman"/>
                <w:b/>
                <w:sz w:val="20"/>
                <w:szCs w:val="20"/>
              </w:rPr>
              <w:t xml:space="preserve"> </w:t>
            </w:r>
            <w:r w:rsidR="00590F6B" w:rsidRPr="00FC64BF">
              <w:rPr>
                <w:rFonts w:eastAsia="Aptos" w:cs="Times New Roman"/>
                <w:iCs/>
                <w:sz w:val="20"/>
                <w:szCs w:val="20"/>
              </w:rPr>
              <w:t xml:space="preserve">709.606 </w:t>
            </w:r>
          </w:p>
        </w:tc>
        <w:tc>
          <w:tcPr>
            <w:tcW w:w="1173" w:type="pct"/>
            <w:vAlign w:val="center"/>
          </w:tcPr>
          <w:p w14:paraId="337FB75F" w14:textId="77777777" w:rsidR="009C0849" w:rsidRPr="00FC64BF" w:rsidRDefault="009C0849" w:rsidP="002A04BF">
            <w:pPr>
              <w:jc w:val="center"/>
              <w:rPr>
                <w:rFonts w:cs="Times New Roman"/>
                <w:sz w:val="20"/>
                <w:szCs w:val="18"/>
              </w:rPr>
            </w:pPr>
            <w:r w:rsidRPr="00FC64BF">
              <w:rPr>
                <w:rFonts w:cs="Times New Roman"/>
                <w:sz w:val="20"/>
                <w:szCs w:val="18"/>
              </w:rPr>
              <w:t>0,00</w:t>
            </w:r>
          </w:p>
        </w:tc>
        <w:tc>
          <w:tcPr>
            <w:tcW w:w="1092" w:type="pct"/>
            <w:vAlign w:val="center"/>
          </w:tcPr>
          <w:p w14:paraId="45AA816E" w14:textId="77777777" w:rsidR="009C0849" w:rsidRPr="00FC64BF" w:rsidRDefault="009C0849" w:rsidP="002A04BF">
            <w:pPr>
              <w:jc w:val="center"/>
              <w:rPr>
                <w:rFonts w:cs="Times New Roman"/>
                <w:sz w:val="20"/>
                <w:szCs w:val="18"/>
              </w:rPr>
            </w:pPr>
            <w:r w:rsidRPr="00FC64BF">
              <w:rPr>
                <w:rFonts w:cs="Times New Roman"/>
                <w:sz w:val="20"/>
                <w:szCs w:val="18"/>
              </w:rPr>
              <w:t xml:space="preserve">0,00 </w:t>
            </w:r>
          </w:p>
        </w:tc>
      </w:tr>
      <w:tr w:rsidR="00CE622A" w:rsidRPr="00CE622A" w14:paraId="1D522D46" w14:textId="77777777" w:rsidTr="00030B65">
        <w:trPr>
          <w:trHeight w:val="360"/>
        </w:trPr>
        <w:tc>
          <w:tcPr>
            <w:tcW w:w="1484" w:type="pct"/>
            <w:shd w:val="clear" w:color="auto" w:fill="F2F2F2" w:themeFill="background1" w:themeFillShade="F2"/>
            <w:vAlign w:val="center"/>
          </w:tcPr>
          <w:p w14:paraId="31AA3452" w14:textId="616AEC73" w:rsidR="00C62C50" w:rsidRPr="00FC64BF" w:rsidRDefault="009C0849" w:rsidP="002A04BF">
            <w:pPr>
              <w:rPr>
                <w:rFonts w:cs="Times New Roman"/>
                <w:sz w:val="20"/>
                <w:szCs w:val="18"/>
              </w:rPr>
            </w:pPr>
            <w:r w:rsidRPr="00FC64BF">
              <w:rPr>
                <w:rFonts w:cs="Times New Roman"/>
                <w:sz w:val="20"/>
                <w:szCs w:val="18"/>
              </w:rPr>
              <w:t>ROK PROVEDBE</w:t>
            </w:r>
            <w:r w:rsidR="00C62C50" w:rsidRPr="00FC64BF">
              <w:rPr>
                <w:rFonts w:cs="Times New Roman"/>
                <w:sz w:val="20"/>
                <w:szCs w:val="18"/>
              </w:rPr>
              <w:t xml:space="preserve"> </w:t>
            </w:r>
            <w:r w:rsidRPr="00FC64BF">
              <w:rPr>
                <w:rFonts w:cs="Times New Roman"/>
                <w:sz w:val="20"/>
                <w:szCs w:val="18"/>
              </w:rPr>
              <w:t>AKTIVNOSTI</w:t>
            </w:r>
          </w:p>
        </w:tc>
        <w:tc>
          <w:tcPr>
            <w:tcW w:w="3516" w:type="pct"/>
            <w:gridSpan w:val="3"/>
            <w:vAlign w:val="center"/>
          </w:tcPr>
          <w:p w14:paraId="69A5EBC1" w14:textId="77777777" w:rsidR="009C0849" w:rsidRPr="00FC64BF" w:rsidRDefault="009C0849" w:rsidP="002A04BF">
            <w:pPr>
              <w:rPr>
                <w:rFonts w:cs="Times New Roman"/>
                <w:sz w:val="20"/>
                <w:szCs w:val="18"/>
              </w:rPr>
            </w:pPr>
            <w:r w:rsidRPr="00FC64BF">
              <w:rPr>
                <w:rFonts w:cs="Times New Roman"/>
                <w:sz w:val="20"/>
                <w:szCs w:val="18"/>
              </w:rPr>
              <w:t xml:space="preserve">IV. kvartal 2025. </w:t>
            </w:r>
          </w:p>
        </w:tc>
      </w:tr>
      <w:bookmarkEnd w:id="55"/>
    </w:tbl>
    <w:p w14:paraId="21B4F86D" w14:textId="77777777" w:rsidR="0029699C" w:rsidRDefault="0029699C" w:rsidP="004A3B23">
      <w:pPr>
        <w:spacing w:after="0" w:line="276" w:lineRule="auto"/>
        <w:jc w:val="both"/>
        <w:rPr>
          <w:rFonts w:cs="Times New Roman"/>
          <w:szCs w:val="24"/>
        </w:rPr>
      </w:pPr>
    </w:p>
    <w:p w14:paraId="53F1BFF9" w14:textId="77777777" w:rsidR="003379F1" w:rsidRPr="00CA723B" w:rsidRDefault="003379F1" w:rsidP="004A3B23">
      <w:pPr>
        <w:spacing w:after="0" w:line="276" w:lineRule="auto"/>
        <w:jc w:val="both"/>
        <w:rPr>
          <w:rFonts w:cs="Times New Roman"/>
          <w:szCs w:val="24"/>
        </w:rPr>
      </w:pPr>
    </w:p>
    <w:p w14:paraId="241CE25C" w14:textId="4DAC7D7E" w:rsidR="00560B29" w:rsidRPr="00CA723B" w:rsidRDefault="004650B7" w:rsidP="00D36147">
      <w:pPr>
        <w:spacing w:after="0" w:line="276" w:lineRule="auto"/>
        <w:jc w:val="both"/>
        <w:rPr>
          <w:rFonts w:cs="Times New Roman"/>
          <w:i/>
          <w:iCs/>
          <w:szCs w:val="24"/>
        </w:rPr>
      </w:pPr>
      <w:r w:rsidRPr="00CA723B">
        <w:rPr>
          <w:rFonts w:cs="Times New Roman"/>
          <w:i/>
          <w:iCs/>
          <w:szCs w:val="24"/>
        </w:rPr>
        <w:t>Aktivnost</w:t>
      </w:r>
      <w:r w:rsidR="0055595F" w:rsidRPr="00CA723B">
        <w:rPr>
          <w:rFonts w:cs="Times New Roman"/>
          <w:i/>
          <w:iCs/>
          <w:szCs w:val="24"/>
        </w:rPr>
        <w:t xml:space="preserve"> </w:t>
      </w:r>
      <w:r w:rsidRPr="00CA723B">
        <w:rPr>
          <w:rFonts w:cs="Times New Roman"/>
          <w:i/>
          <w:iCs/>
          <w:szCs w:val="24"/>
        </w:rPr>
        <w:t>7.1.2. Financijska pomo</w:t>
      </w:r>
      <w:r w:rsidR="00560B29" w:rsidRPr="00CA723B">
        <w:rPr>
          <w:rFonts w:cs="Times New Roman"/>
          <w:i/>
          <w:iCs/>
          <w:szCs w:val="24"/>
        </w:rPr>
        <w:t>ć za romsku nacionalnu manjinu</w:t>
      </w:r>
    </w:p>
    <w:p w14:paraId="295C24AB" w14:textId="2BF38F99" w:rsidR="004650B7" w:rsidRPr="00CA723B" w:rsidRDefault="00560B29" w:rsidP="00D36147">
      <w:pPr>
        <w:spacing w:after="0" w:line="276" w:lineRule="auto"/>
        <w:jc w:val="both"/>
        <w:rPr>
          <w:rFonts w:cs="Times New Roman"/>
          <w:i/>
          <w:iCs/>
          <w:szCs w:val="24"/>
        </w:rPr>
      </w:pPr>
      <w:r w:rsidRPr="00CA723B">
        <w:rPr>
          <w:rFonts w:cs="Times New Roman"/>
          <w:i/>
          <w:iCs/>
          <w:szCs w:val="24"/>
        </w:rPr>
        <w:t xml:space="preserve">Nositelj provedbe: </w:t>
      </w:r>
      <w:r w:rsidR="004650B7" w:rsidRPr="00CA723B">
        <w:rPr>
          <w:rFonts w:cs="Times New Roman"/>
          <w:i/>
          <w:iCs/>
          <w:szCs w:val="24"/>
        </w:rPr>
        <w:t>Ured</w:t>
      </w:r>
      <w:r w:rsidR="00F65D28" w:rsidRPr="00F65D28">
        <w:rPr>
          <w:rFonts w:cs="Times New Roman"/>
          <w:i/>
          <w:iCs/>
        </w:rPr>
        <w:t xml:space="preserve"> </w:t>
      </w:r>
      <w:r w:rsidR="00F65D28">
        <w:rPr>
          <w:rFonts w:cs="Times New Roman"/>
          <w:i/>
          <w:iCs/>
        </w:rPr>
        <w:t>za ljudska prava  i prava nacionalnih manjina</w:t>
      </w:r>
    </w:p>
    <w:p w14:paraId="38561BC7" w14:textId="77777777" w:rsidR="00524406" w:rsidRPr="00CA723B" w:rsidRDefault="00524406" w:rsidP="00D36147">
      <w:pPr>
        <w:spacing w:after="0" w:line="276" w:lineRule="auto"/>
        <w:jc w:val="both"/>
        <w:rPr>
          <w:rFonts w:cs="Times New Roman"/>
          <w:i/>
          <w:iCs/>
          <w:szCs w:val="24"/>
        </w:rPr>
      </w:pPr>
    </w:p>
    <w:p w14:paraId="18D381BF" w14:textId="29033B50" w:rsidR="00805266" w:rsidRPr="00FC64BF" w:rsidRDefault="00805266" w:rsidP="00D36147">
      <w:pPr>
        <w:spacing w:after="0" w:line="276" w:lineRule="auto"/>
        <w:jc w:val="both"/>
        <w:rPr>
          <w:rFonts w:cs="Times New Roman"/>
        </w:rPr>
      </w:pPr>
      <w:r w:rsidRPr="00CA723B">
        <w:rPr>
          <w:rFonts w:cs="Times New Roman"/>
        </w:rPr>
        <w:t>Povjerenstv</w:t>
      </w:r>
      <w:r w:rsidR="00571520" w:rsidRPr="00CA723B">
        <w:rPr>
          <w:rFonts w:cs="Times New Roman"/>
        </w:rPr>
        <w:t>o</w:t>
      </w:r>
      <w:r w:rsidRPr="00CA723B">
        <w:rPr>
          <w:rFonts w:cs="Times New Roman"/>
        </w:rPr>
        <w:t xml:space="preserve"> </w:t>
      </w:r>
      <w:r w:rsidR="00571520" w:rsidRPr="00FC64BF">
        <w:rPr>
          <w:rFonts w:cs="Times New Roman"/>
        </w:rPr>
        <w:t xml:space="preserve">je tijekom 2024. </w:t>
      </w:r>
      <w:r w:rsidR="00897A2A">
        <w:rPr>
          <w:rFonts w:cs="Times New Roman"/>
        </w:rPr>
        <w:t xml:space="preserve">godine </w:t>
      </w:r>
      <w:r w:rsidRPr="00FC64BF">
        <w:rPr>
          <w:rFonts w:cs="Times New Roman"/>
        </w:rPr>
        <w:t xml:space="preserve">za su/financiranje pripreme i provedbe projekata </w:t>
      </w:r>
      <w:r w:rsidR="00FE7B55">
        <w:rPr>
          <w:rFonts w:cs="Times New Roman"/>
        </w:rPr>
        <w:t>JLP(R)</w:t>
      </w:r>
      <w:proofErr w:type="spellStart"/>
      <w:r w:rsidR="00FE7B55">
        <w:rPr>
          <w:rFonts w:cs="Times New Roman"/>
        </w:rPr>
        <w:t>S</w:t>
      </w:r>
      <w:r w:rsidR="00940F3D">
        <w:rPr>
          <w:rFonts w:cs="Times New Roman"/>
        </w:rPr>
        <w:t>financiralo</w:t>
      </w:r>
      <w:proofErr w:type="spellEnd"/>
      <w:r w:rsidR="00571520" w:rsidRPr="00FC64BF">
        <w:rPr>
          <w:rFonts w:cs="Times New Roman"/>
        </w:rPr>
        <w:t xml:space="preserve"> 4</w:t>
      </w:r>
      <w:r w:rsidRPr="00FC64BF">
        <w:rPr>
          <w:rFonts w:cs="Times New Roman"/>
        </w:rPr>
        <w:t xml:space="preserve"> zamolb</w:t>
      </w:r>
      <w:r w:rsidR="00571520" w:rsidRPr="00FC64BF">
        <w:rPr>
          <w:rFonts w:cs="Times New Roman"/>
        </w:rPr>
        <w:t>e</w:t>
      </w:r>
      <w:r w:rsidRPr="00FC64BF">
        <w:rPr>
          <w:rFonts w:cs="Times New Roman"/>
        </w:rPr>
        <w:t xml:space="preserve"> ukupne vrijednosti 1</w:t>
      </w:r>
      <w:r w:rsidR="0071520E" w:rsidRPr="00FC64BF">
        <w:rPr>
          <w:rFonts w:cs="Times New Roman"/>
        </w:rPr>
        <w:t>28.658,10</w:t>
      </w:r>
      <w:r w:rsidRPr="00FC64BF">
        <w:rPr>
          <w:rFonts w:cs="Times New Roman"/>
        </w:rPr>
        <w:t xml:space="preserve"> EUR</w:t>
      </w:r>
      <w:r w:rsidR="006815DD" w:rsidRPr="00FC64BF">
        <w:rPr>
          <w:rFonts w:cs="Times New Roman"/>
        </w:rPr>
        <w:t>,</w:t>
      </w:r>
      <w:r w:rsidRPr="00FC64BF">
        <w:rPr>
          <w:rFonts w:cs="Times New Roman"/>
        </w:rPr>
        <w:t xml:space="preserve"> kako slijedi:</w:t>
      </w:r>
    </w:p>
    <w:p w14:paraId="2FACDFA0" w14:textId="77777777" w:rsidR="0071520E" w:rsidRPr="001420C7" w:rsidRDefault="0071520E" w:rsidP="0071520E">
      <w:pPr>
        <w:jc w:val="both"/>
        <w:rPr>
          <w:rFonts w:cs="Times New Roman"/>
          <w:szCs w:val="24"/>
        </w:rPr>
      </w:pPr>
    </w:p>
    <w:p w14:paraId="160BCDC0" w14:textId="77777777" w:rsidR="0071520E" w:rsidRPr="001420C7" w:rsidRDefault="0071520E" w:rsidP="0071520E">
      <w:pPr>
        <w:pStyle w:val="ListParagraph"/>
        <w:numPr>
          <w:ilvl w:val="0"/>
          <w:numId w:val="33"/>
        </w:numPr>
        <w:spacing w:after="160" w:line="259" w:lineRule="auto"/>
        <w:jc w:val="both"/>
      </w:pPr>
      <w:r w:rsidRPr="001420C7">
        <w:t>Grad Grubišno Polje, za financiranje opreme za Dom za Rome u Grubišnom Polju u iznosu od 4.367,35 EUR</w:t>
      </w:r>
    </w:p>
    <w:p w14:paraId="5DE1034F" w14:textId="6578D125" w:rsidR="0071520E" w:rsidRPr="001420C7" w:rsidRDefault="0071520E" w:rsidP="0071520E">
      <w:pPr>
        <w:pStyle w:val="ListParagraph"/>
        <w:numPr>
          <w:ilvl w:val="0"/>
          <w:numId w:val="33"/>
        </w:numPr>
        <w:spacing w:after="160" w:line="259" w:lineRule="auto"/>
        <w:jc w:val="both"/>
      </w:pPr>
      <w:r w:rsidRPr="001420C7">
        <w:t>Grad Slavonski Brod, za sufinanciranje prijevoza učenika pripadnika romske nacionalne manjine od naselja Josip Rimac d</w:t>
      </w:r>
      <w:r>
        <w:t>o</w:t>
      </w:r>
      <w:r w:rsidRPr="001420C7">
        <w:t xml:space="preserve"> O</w:t>
      </w:r>
      <w:r w:rsidR="00897A2A">
        <w:t>snovne škole</w:t>
      </w:r>
      <w:r w:rsidRPr="001420C7">
        <w:t xml:space="preserve"> Huga Badalića u iznosu od 50.000,00 EUR</w:t>
      </w:r>
    </w:p>
    <w:p w14:paraId="1C48CF42" w14:textId="4F2E1EC0" w:rsidR="0071520E" w:rsidRPr="001420C7" w:rsidRDefault="0071520E" w:rsidP="0071520E">
      <w:pPr>
        <w:pStyle w:val="ListParagraph"/>
        <w:numPr>
          <w:ilvl w:val="0"/>
          <w:numId w:val="33"/>
        </w:numPr>
        <w:spacing w:after="160" w:line="259" w:lineRule="auto"/>
        <w:jc w:val="both"/>
      </w:pPr>
      <w:r w:rsidRPr="001420C7">
        <w:t>Općina Petrijanec, za</w:t>
      </w:r>
      <w:r w:rsidR="002F7831">
        <w:t xml:space="preserve"> </w:t>
      </w:r>
      <w:r w:rsidRPr="001420C7">
        <w:t xml:space="preserve">sufinanciranje projekta </w:t>
      </w:r>
      <w:r w:rsidR="00897A2A">
        <w:t>„</w:t>
      </w:r>
      <w:r w:rsidRPr="001420C7">
        <w:t>Uređenja sportskog igrališta u Gornjem Vratnu</w:t>
      </w:r>
      <w:r w:rsidR="00897A2A">
        <w:t>“</w:t>
      </w:r>
      <w:r w:rsidRPr="001420C7">
        <w:t xml:space="preserve"> u iznosu od 44.664,25 EUR</w:t>
      </w:r>
    </w:p>
    <w:p w14:paraId="3043DD7C" w14:textId="77777777" w:rsidR="0071520E" w:rsidRPr="003203D0" w:rsidRDefault="0071520E" w:rsidP="0071520E">
      <w:pPr>
        <w:pStyle w:val="ListParagraph"/>
        <w:numPr>
          <w:ilvl w:val="0"/>
          <w:numId w:val="33"/>
        </w:numPr>
        <w:spacing w:after="160" w:line="259" w:lineRule="auto"/>
        <w:jc w:val="both"/>
      </w:pPr>
      <w:r w:rsidRPr="001420C7">
        <w:t xml:space="preserve">Međimurska županija, za financiranje provedbe projekta „M </w:t>
      </w:r>
      <w:proofErr w:type="spellStart"/>
      <w:r w:rsidRPr="001420C7">
        <w:t>žok</w:t>
      </w:r>
      <w:proofErr w:type="spellEnd"/>
      <w:r w:rsidRPr="001420C7">
        <w:t xml:space="preserve"> igra </w:t>
      </w:r>
      <w:proofErr w:type="spellStart"/>
      <w:r w:rsidRPr="001420C7">
        <w:t>ame</w:t>
      </w:r>
      <w:proofErr w:type="spellEnd"/>
      <w:r w:rsidRPr="001420C7">
        <w:t xml:space="preserve">-Dani za nas“ u </w:t>
      </w:r>
      <w:r w:rsidRPr="003203D0">
        <w:t>iznosu od 29.626,50 EUR</w:t>
      </w:r>
    </w:p>
    <w:p w14:paraId="465250F5" w14:textId="77777777" w:rsidR="00442637" w:rsidRPr="004610D8" w:rsidRDefault="00442637" w:rsidP="00D36147">
      <w:pPr>
        <w:pStyle w:val="ListParagraph"/>
        <w:spacing w:line="276" w:lineRule="auto"/>
        <w:jc w:val="both"/>
      </w:pPr>
    </w:p>
    <w:p w14:paraId="06E5B984" w14:textId="3923995D" w:rsidR="00D139D1" w:rsidRDefault="00D139D1" w:rsidP="00D139D1">
      <w:pPr>
        <w:jc w:val="both"/>
        <w:rPr>
          <w:rFonts w:cs="Times New Roman"/>
          <w:szCs w:val="24"/>
        </w:rPr>
      </w:pPr>
      <w:r w:rsidRPr="003203D0">
        <w:rPr>
          <w:rFonts w:eastAsia="Times New Roman" w:cs="Times New Roman"/>
          <w:szCs w:val="24"/>
          <w:lang w:eastAsia="hr-HR"/>
        </w:rPr>
        <w:t>Uz to, Povjerenstvo je u okviru svojih zadaća t</w:t>
      </w:r>
      <w:r w:rsidRPr="004610D8">
        <w:rPr>
          <w:rFonts w:cs="Times New Roman"/>
        </w:rPr>
        <w:t>ijekom 2024.</w:t>
      </w:r>
      <w:r w:rsidR="00897A2A">
        <w:rPr>
          <w:rFonts w:cs="Times New Roman"/>
        </w:rPr>
        <w:t xml:space="preserve"> </w:t>
      </w:r>
      <w:proofErr w:type="spellStart"/>
      <w:r w:rsidR="00897A2A">
        <w:rPr>
          <w:rFonts w:cs="Times New Roman"/>
        </w:rPr>
        <w:t>godine</w:t>
      </w:r>
      <w:r w:rsidR="00940F3D">
        <w:rPr>
          <w:rFonts w:cs="Times New Roman"/>
        </w:rPr>
        <w:t>financiralo</w:t>
      </w:r>
      <w:proofErr w:type="spellEnd"/>
      <w:r w:rsidRPr="004610D8">
        <w:rPr>
          <w:rFonts w:cs="Times New Roman"/>
          <w:b/>
          <w:szCs w:val="24"/>
        </w:rPr>
        <w:t xml:space="preserve"> 15 zamolbi fizičkih o</w:t>
      </w:r>
      <w:r w:rsidRPr="00D139D1">
        <w:rPr>
          <w:rFonts w:cs="Times New Roman"/>
          <w:b/>
          <w:szCs w:val="24"/>
        </w:rPr>
        <w:t xml:space="preserve">soba za </w:t>
      </w:r>
      <w:r w:rsidRPr="00FC64BF">
        <w:rPr>
          <w:rFonts w:eastAsia="Times New Roman" w:cs="Times New Roman"/>
          <w:szCs w:val="24"/>
          <w:lang w:eastAsia="hr-HR"/>
        </w:rPr>
        <w:t>su/financiranje žurnih potreba pripadnika romske nacionalne manjine koji se nalaze u riziku od siromaštva, a dostatnu potporu nisu osigurali kroz druge relevantne institucije,</w:t>
      </w:r>
      <w:r w:rsidRPr="00D139D1">
        <w:rPr>
          <w:rFonts w:cs="Times New Roman"/>
          <w:szCs w:val="24"/>
        </w:rPr>
        <w:t xml:space="preserve"> ukupne vrijednosti 52.133,38 EUR (8 zahtjeva je odobreno pripadnicama romske </w:t>
      </w:r>
      <w:r w:rsidRPr="000E78D0">
        <w:rPr>
          <w:rFonts w:cs="Times New Roman"/>
          <w:szCs w:val="24"/>
        </w:rPr>
        <w:t>nacionalne manjine, u ukupnom iznosu od 24.308,14 EU</w:t>
      </w:r>
      <w:r w:rsidR="003379F1">
        <w:rPr>
          <w:rFonts w:cs="Times New Roman"/>
          <w:szCs w:val="24"/>
        </w:rPr>
        <w:t>R</w:t>
      </w:r>
      <w:r w:rsidRPr="000E78D0">
        <w:rPr>
          <w:rFonts w:cs="Times New Roman"/>
          <w:szCs w:val="24"/>
        </w:rPr>
        <w:t xml:space="preserve">), od čega je 14 zamolbi odobreno radi </w:t>
      </w:r>
      <w:r w:rsidRPr="00FC64BF">
        <w:rPr>
          <w:rFonts w:cs="Times New Roman"/>
          <w:bCs/>
        </w:rPr>
        <w:t>otklanjanje šteta uzrokovanih nenamjernim požarima, poplavama te ostalim nepredvidivim nepogodama i nesrećama na stambenim i drugim objektima</w:t>
      </w:r>
      <w:r w:rsidRPr="000E78D0">
        <w:rPr>
          <w:rFonts w:cs="Times New Roman"/>
          <w:szCs w:val="24"/>
        </w:rPr>
        <w:t xml:space="preserve">, a </w:t>
      </w:r>
      <w:r w:rsidR="00802CE3">
        <w:rPr>
          <w:rFonts w:cs="Times New Roman"/>
          <w:szCs w:val="24"/>
        </w:rPr>
        <w:t>jedna</w:t>
      </w:r>
      <w:r w:rsidRPr="000E78D0">
        <w:rPr>
          <w:rFonts w:cs="Times New Roman"/>
          <w:szCs w:val="24"/>
        </w:rPr>
        <w:t xml:space="preserve"> zamolba za sufinanciranje liječenja, nabave lijekova i medicinskih pomagala. U 2024. </w:t>
      </w:r>
      <w:r w:rsidR="00897A2A">
        <w:rPr>
          <w:rFonts w:cs="Times New Roman"/>
          <w:szCs w:val="24"/>
        </w:rPr>
        <w:t xml:space="preserve">godini </w:t>
      </w:r>
      <w:r w:rsidR="00802CE3">
        <w:rPr>
          <w:rFonts w:cs="Times New Roman"/>
          <w:szCs w:val="24"/>
        </w:rPr>
        <w:t xml:space="preserve">za te svrhe </w:t>
      </w:r>
      <w:r w:rsidRPr="000E78D0">
        <w:rPr>
          <w:rFonts w:cs="Times New Roman"/>
          <w:szCs w:val="24"/>
        </w:rPr>
        <w:t xml:space="preserve">ukupno </w:t>
      </w:r>
      <w:r w:rsidR="00802CE3">
        <w:rPr>
          <w:rFonts w:cs="Times New Roman"/>
          <w:szCs w:val="24"/>
        </w:rPr>
        <w:t>j</w:t>
      </w:r>
      <w:r w:rsidRPr="000E78D0">
        <w:rPr>
          <w:rFonts w:cs="Times New Roman"/>
          <w:szCs w:val="24"/>
        </w:rPr>
        <w:t>e isplaćeno 45.921,50</w:t>
      </w:r>
      <w:r w:rsidR="000E78D0" w:rsidRPr="000E78D0">
        <w:rPr>
          <w:rFonts w:cs="Times New Roman"/>
          <w:szCs w:val="24"/>
        </w:rPr>
        <w:t xml:space="preserve"> EUR</w:t>
      </w:r>
      <w:r w:rsidR="00802CE3">
        <w:rPr>
          <w:rFonts w:cs="Times New Roman"/>
          <w:szCs w:val="24"/>
        </w:rPr>
        <w:t>.</w:t>
      </w:r>
    </w:p>
    <w:p w14:paraId="18F5A74B" w14:textId="2E31F215" w:rsidR="00D139D1" w:rsidRPr="00CA723B" w:rsidRDefault="00D139D1" w:rsidP="00BC4411">
      <w:pPr>
        <w:spacing w:after="0" w:line="276" w:lineRule="auto"/>
        <w:jc w:val="both"/>
        <w:rPr>
          <w:rFonts w:eastAsia="Times New Roman" w:cs="Times New Roman"/>
          <w:szCs w:val="24"/>
          <w:lang w:eastAsia="hr-HR"/>
        </w:rPr>
      </w:pPr>
    </w:p>
    <w:p w14:paraId="50D9F317" w14:textId="77777777" w:rsidR="00BC4411" w:rsidRPr="00CA723B" w:rsidRDefault="00BC4411" w:rsidP="00BC4411">
      <w:pPr>
        <w:spacing w:after="0" w:line="276" w:lineRule="auto"/>
        <w:jc w:val="both"/>
        <w:rPr>
          <w:rFonts w:eastAsia="Times New Roman" w:cs="Times New Roman"/>
          <w:szCs w:val="24"/>
          <w:lang w:eastAsia="hr-HR"/>
        </w:rPr>
      </w:pPr>
    </w:p>
    <w:tbl>
      <w:tblPr>
        <w:tblStyle w:val="TableGrid"/>
        <w:tblW w:w="5003" w:type="pct"/>
        <w:tblLayout w:type="fixed"/>
        <w:tblLook w:val="04A0" w:firstRow="1" w:lastRow="0" w:firstColumn="1" w:lastColumn="0" w:noHBand="0" w:noVBand="1"/>
      </w:tblPr>
      <w:tblGrid>
        <w:gridCol w:w="2831"/>
        <w:gridCol w:w="2267"/>
        <w:gridCol w:w="2127"/>
        <w:gridCol w:w="1842"/>
      </w:tblGrid>
      <w:tr w:rsidR="00CE622A" w:rsidRPr="00CA723B" w14:paraId="44F2E110" w14:textId="77777777" w:rsidTr="00524406">
        <w:trPr>
          <w:trHeight w:val="606"/>
        </w:trPr>
        <w:tc>
          <w:tcPr>
            <w:tcW w:w="1561" w:type="pct"/>
            <w:shd w:val="clear" w:color="auto" w:fill="F2F2F2" w:themeFill="background1" w:themeFillShade="F2"/>
            <w:vAlign w:val="center"/>
          </w:tcPr>
          <w:p w14:paraId="5D917E84" w14:textId="77777777" w:rsidR="009C0849" w:rsidRPr="00CA723B" w:rsidRDefault="009C0849" w:rsidP="004A3B23">
            <w:pPr>
              <w:spacing w:line="276" w:lineRule="auto"/>
              <w:rPr>
                <w:rFonts w:cs="Times New Roman"/>
                <w:b/>
                <w:sz w:val="20"/>
                <w:szCs w:val="18"/>
              </w:rPr>
            </w:pPr>
            <w:r w:rsidRPr="00CA723B">
              <w:rPr>
                <w:rFonts w:cs="Times New Roman"/>
                <w:b/>
                <w:sz w:val="20"/>
                <w:szCs w:val="18"/>
              </w:rPr>
              <w:t>Pokazatelji provedbe i pokazatelji uspješnosti provedbe</w:t>
            </w:r>
          </w:p>
        </w:tc>
        <w:tc>
          <w:tcPr>
            <w:tcW w:w="1250" w:type="pct"/>
            <w:shd w:val="clear" w:color="auto" w:fill="F2F2F2" w:themeFill="background1" w:themeFillShade="F2"/>
            <w:vAlign w:val="center"/>
          </w:tcPr>
          <w:p w14:paraId="3158C67B" w14:textId="60901BC7" w:rsidR="009C0849" w:rsidRPr="00CA723B" w:rsidRDefault="009C0849" w:rsidP="00D36147">
            <w:pPr>
              <w:spacing w:line="276" w:lineRule="auto"/>
              <w:jc w:val="center"/>
              <w:rPr>
                <w:rFonts w:eastAsia="Calibri" w:cs="Times New Roman"/>
                <w:b/>
                <w:strike/>
                <w:sz w:val="20"/>
                <w:szCs w:val="18"/>
              </w:rPr>
            </w:pPr>
            <w:r w:rsidRPr="00CA723B">
              <w:rPr>
                <w:rFonts w:eastAsia="Calibri" w:cs="Times New Roman"/>
                <w:b/>
                <w:sz w:val="20"/>
                <w:szCs w:val="18"/>
              </w:rPr>
              <w:t>Broj odobrenih zahtjeva</w:t>
            </w:r>
          </w:p>
        </w:tc>
        <w:tc>
          <w:tcPr>
            <w:tcW w:w="1173" w:type="pct"/>
            <w:shd w:val="clear" w:color="auto" w:fill="F2F2F2" w:themeFill="background1" w:themeFillShade="F2"/>
            <w:vAlign w:val="center"/>
          </w:tcPr>
          <w:p w14:paraId="197A8D9C" w14:textId="11CD1B05" w:rsidR="009C0849" w:rsidRPr="00CA723B" w:rsidRDefault="009C0849" w:rsidP="006625E4">
            <w:pPr>
              <w:spacing w:line="276" w:lineRule="auto"/>
              <w:jc w:val="center"/>
              <w:rPr>
                <w:rFonts w:cs="Times New Roman"/>
                <w:b/>
                <w:sz w:val="20"/>
                <w:szCs w:val="18"/>
              </w:rPr>
            </w:pPr>
            <w:r w:rsidRPr="00CA723B">
              <w:rPr>
                <w:rFonts w:cs="Times New Roman"/>
                <w:b/>
                <w:sz w:val="20"/>
                <w:szCs w:val="18"/>
              </w:rPr>
              <w:t>Iznos odobrenih</w:t>
            </w:r>
            <w:r w:rsidR="006625E4" w:rsidRPr="00CA723B">
              <w:rPr>
                <w:rFonts w:cs="Times New Roman"/>
                <w:b/>
                <w:sz w:val="20"/>
                <w:szCs w:val="18"/>
              </w:rPr>
              <w:t xml:space="preserve"> </w:t>
            </w:r>
            <w:r w:rsidRPr="00CA723B">
              <w:rPr>
                <w:rFonts w:cs="Times New Roman"/>
                <w:b/>
                <w:sz w:val="20"/>
                <w:szCs w:val="18"/>
              </w:rPr>
              <w:t>sredstava</w:t>
            </w:r>
            <w:r w:rsidR="00CA723B">
              <w:rPr>
                <w:rFonts w:cs="Times New Roman"/>
                <w:b/>
                <w:sz w:val="20"/>
                <w:szCs w:val="18"/>
              </w:rPr>
              <w:t xml:space="preserve"> (EUR)</w:t>
            </w:r>
          </w:p>
        </w:tc>
        <w:tc>
          <w:tcPr>
            <w:tcW w:w="1016" w:type="pct"/>
            <w:shd w:val="clear" w:color="auto" w:fill="F2F2F2" w:themeFill="background1" w:themeFillShade="F2"/>
            <w:vAlign w:val="center"/>
          </w:tcPr>
          <w:p w14:paraId="5CC677E8" w14:textId="7B3EE5CB" w:rsidR="009C0849" w:rsidRPr="00CA723B" w:rsidRDefault="009C0849" w:rsidP="00D36147">
            <w:pPr>
              <w:spacing w:line="276" w:lineRule="auto"/>
              <w:jc w:val="center"/>
              <w:rPr>
                <w:rFonts w:cs="Times New Roman"/>
                <w:b/>
                <w:sz w:val="20"/>
                <w:szCs w:val="18"/>
              </w:rPr>
            </w:pPr>
          </w:p>
        </w:tc>
      </w:tr>
      <w:tr w:rsidR="00CE622A" w:rsidRPr="00CA723B" w14:paraId="760B6EC9" w14:textId="77777777" w:rsidTr="00524406">
        <w:tc>
          <w:tcPr>
            <w:tcW w:w="1561" w:type="pct"/>
            <w:shd w:val="clear" w:color="auto" w:fill="F2F2F2" w:themeFill="background1" w:themeFillShade="F2"/>
            <w:vAlign w:val="center"/>
          </w:tcPr>
          <w:p w14:paraId="34B0FE3A" w14:textId="268FCAFE" w:rsidR="009C0849" w:rsidRPr="00CA723B" w:rsidRDefault="009C0849" w:rsidP="00F65D28">
            <w:pPr>
              <w:spacing w:line="276" w:lineRule="auto"/>
              <w:rPr>
                <w:rFonts w:cs="Times New Roman"/>
                <w:sz w:val="20"/>
                <w:szCs w:val="18"/>
              </w:rPr>
            </w:pPr>
            <w:r w:rsidRPr="00CA723B">
              <w:rPr>
                <w:rFonts w:cs="Times New Roman"/>
                <w:sz w:val="20"/>
                <w:szCs w:val="18"/>
              </w:rPr>
              <w:t>Planirani ishodi za pokazatelje provedbe u 202</w:t>
            </w:r>
            <w:r w:rsidR="00D139D1" w:rsidRPr="00CA723B">
              <w:rPr>
                <w:rFonts w:cs="Times New Roman"/>
                <w:sz w:val="20"/>
                <w:szCs w:val="18"/>
              </w:rPr>
              <w:t>4</w:t>
            </w:r>
            <w:r w:rsidRPr="00CA723B">
              <w:rPr>
                <w:rFonts w:cs="Times New Roman"/>
                <w:sz w:val="20"/>
                <w:szCs w:val="18"/>
              </w:rPr>
              <w:t xml:space="preserve">. </w:t>
            </w:r>
          </w:p>
        </w:tc>
        <w:tc>
          <w:tcPr>
            <w:tcW w:w="1250" w:type="pct"/>
            <w:vAlign w:val="center"/>
          </w:tcPr>
          <w:p w14:paraId="0515C1A1" w14:textId="26561E0A" w:rsidR="009C0849" w:rsidRPr="00CA723B" w:rsidRDefault="009C0849" w:rsidP="00D36147">
            <w:pPr>
              <w:spacing w:line="276" w:lineRule="auto"/>
              <w:jc w:val="center"/>
              <w:rPr>
                <w:rFonts w:cs="Times New Roman"/>
                <w:sz w:val="20"/>
                <w:szCs w:val="18"/>
              </w:rPr>
            </w:pPr>
            <w:r w:rsidRPr="00CA723B">
              <w:rPr>
                <w:rFonts w:cs="Times New Roman"/>
                <w:sz w:val="20"/>
                <w:szCs w:val="18"/>
              </w:rPr>
              <w:t>10-15</w:t>
            </w:r>
          </w:p>
        </w:tc>
        <w:tc>
          <w:tcPr>
            <w:tcW w:w="1173" w:type="pct"/>
            <w:vAlign w:val="center"/>
          </w:tcPr>
          <w:p w14:paraId="2EB1E6B3" w14:textId="1A5F78BD" w:rsidR="009C0849" w:rsidRPr="00CA723B" w:rsidRDefault="00CA723B" w:rsidP="00CA723B">
            <w:pPr>
              <w:spacing w:line="276" w:lineRule="auto"/>
              <w:jc w:val="center"/>
              <w:rPr>
                <w:rFonts w:cs="Times New Roman"/>
                <w:sz w:val="20"/>
                <w:szCs w:val="18"/>
              </w:rPr>
            </w:pPr>
            <w:r w:rsidRPr="00CA723B">
              <w:rPr>
                <w:rFonts w:cs="Times New Roman"/>
                <w:sz w:val="20"/>
                <w:szCs w:val="18"/>
              </w:rPr>
              <w:t>387.720,00</w:t>
            </w:r>
          </w:p>
        </w:tc>
        <w:tc>
          <w:tcPr>
            <w:tcW w:w="1016" w:type="pct"/>
            <w:vAlign w:val="center"/>
          </w:tcPr>
          <w:p w14:paraId="79EC371E" w14:textId="39A553A3" w:rsidR="009C0849" w:rsidRPr="00CA723B" w:rsidRDefault="009C0849" w:rsidP="00D36147">
            <w:pPr>
              <w:spacing w:line="276" w:lineRule="auto"/>
              <w:jc w:val="center"/>
              <w:rPr>
                <w:rFonts w:cs="Times New Roman"/>
                <w:sz w:val="20"/>
                <w:szCs w:val="18"/>
              </w:rPr>
            </w:pPr>
          </w:p>
        </w:tc>
      </w:tr>
      <w:tr w:rsidR="00CE622A" w:rsidRPr="00CA723B" w14:paraId="7A4DF067" w14:textId="77777777" w:rsidTr="00524406">
        <w:tc>
          <w:tcPr>
            <w:tcW w:w="1561" w:type="pct"/>
            <w:shd w:val="clear" w:color="auto" w:fill="F2F2F2" w:themeFill="background1" w:themeFillShade="F2"/>
            <w:vAlign w:val="center"/>
          </w:tcPr>
          <w:p w14:paraId="2FA5FCA6" w14:textId="756B38EE" w:rsidR="009C0849" w:rsidRPr="00CA723B" w:rsidRDefault="009C0849" w:rsidP="00F65D28">
            <w:pPr>
              <w:spacing w:line="276" w:lineRule="auto"/>
              <w:rPr>
                <w:rFonts w:cs="Times New Roman"/>
                <w:sz w:val="20"/>
                <w:szCs w:val="18"/>
              </w:rPr>
            </w:pPr>
            <w:r w:rsidRPr="00CA723B">
              <w:rPr>
                <w:rFonts w:cs="Times New Roman"/>
                <w:sz w:val="20"/>
                <w:szCs w:val="18"/>
              </w:rPr>
              <w:t>Ostvareni ishodi za pokazatelje provedbe u 202</w:t>
            </w:r>
            <w:r w:rsidR="00D139D1" w:rsidRPr="00CA723B">
              <w:rPr>
                <w:rFonts w:cs="Times New Roman"/>
                <w:sz w:val="20"/>
                <w:szCs w:val="18"/>
              </w:rPr>
              <w:t>4</w:t>
            </w:r>
            <w:r w:rsidRPr="00CA723B">
              <w:rPr>
                <w:rFonts w:cs="Times New Roman"/>
                <w:sz w:val="20"/>
                <w:szCs w:val="18"/>
              </w:rPr>
              <w:t xml:space="preserve">. </w:t>
            </w:r>
          </w:p>
        </w:tc>
        <w:tc>
          <w:tcPr>
            <w:tcW w:w="1250" w:type="pct"/>
            <w:vAlign w:val="center"/>
          </w:tcPr>
          <w:p w14:paraId="0DDA27E0" w14:textId="4638DD93" w:rsidR="009C0849" w:rsidRPr="00CA723B" w:rsidRDefault="00CA723B" w:rsidP="00D36147">
            <w:pPr>
              <w:spacing w:line="276" w:lineRule="auto"/>
              <w:jc w:val="center"/>
              <w:rPr>
                <w:rFonts w:cs="Times New Roman"/>
                <w:sz w:val="20"/>
                <w:szCs w:val="18"/>
              </w:rPr>
            </w:pPr>
            <w:r w:rsidRPr="00CA723B">
              <w:rPr>
                <w:rFonts w:cs="Times New Roman"/>
                <w:sz w:val="20"/>
                <w:szCs w:val="18"/>
              </w:rPr>
              <w:t>19</w:t>
            </w:r>
          </w:p>
        </w:tc>
        <w:tc>
          <w:tcPr>
            <w:tcW w:w="1173" w:type="pct"/>
            <w:vAlign w:val="center"/>
          </w:tcPr>
          <w:p w14:paraId="05387F5D" w14:textId="78F31189" w:rsidR="009C0849" w:rsidRPr="00CA723B" w:rsidRDefault="00CA723B" w:rsidP="00D36147">
            <w:pPr>
              <w:spacing w:line="276" w:lineRule="auto"/>
              <w:jc w:val="center"/>
              <w:rPr>
                <w:rFonts w:cs="Times New Roman"/>
                <w:sz w:val="20"/>
                <w:szCs w:val="18"/>
              </w:rPr>
            </w:pPr>
            <w:r w:rsidRPr="00CA723B">
              <w:rPr>
                <w:rFonts w:cs="Times New Roman"/>
                <w:sz w:val="20"/>
                <w:szCs w:val="18"/>
              </w:rPr>
              <w:t>174.579,6</w:t>
            </w:r>
          </w:p>
        </w:tc>
        <w:tc>
          <w:tcPr>
            <w:tcW w:w="1016" w:type="pct"/>
            <w:vAlign w:val="center"/>
          </w:tcPr>
          <w:p w14:paraId="637AD518" w14:textId="77777777" w:rsidR="009C0849" w:rsidRPr="00CA723B" w:rsidRDefault="009C0849" w:rsidP="00D36147">
            <w:pPr>
              <w:spacing w:line="276" w:lineRule="auto"/>
              <w:jc w:val="center"/>
              <w:rPr>
                <w:rFonts w:eastAsia="Calibri" w:cs="Times New Roman"/>
                <w:sz w:val="20"/>
                <w:szCs w:val="18"/>
              </w:rPr>
            </w:pPr>
          </w:p>
        </w:tc>
      </w:tr>
      <w:tr w:rsidR="00CE622A" w:rsidRPr="00CA723B" w14:paraId="3E0EC393" w14:textId="77777777" w:rsidTr="00524406">
        <w:tc>
          <w:tcPr>
            <w:tcW w:w="1561" w:type="pct"/>
            <w:shd w:val="clear" w:color="auto" w:fill="F2F2F2" w:themeFill="background1" w:themeFillShade="F2"/>
            <w:vAlign w:val="center"/>
          </w:tcPr>
          <w:p w14:paraId="1B0C94D5" w14:textId="77777777" w:rsidR="009C0849" w:rsidRPr="00CA723B" w:rsidRDefault="009C0849" w:rsidP="004A3B23">
            <w:pPr>
              <w:spacing w:line="276" w:lineRule="auto"/>
              <w:rPr>
                <w:rFonts w:cs="Times New Roman"/>
                <w:b/>
                <w:sz w:val="20"/>
                <w:szCs w:val="18"/>
              </w:rPr>
            </w:pPr>
            <w:r w:rsidRPr="00CA723B">
              <w:rPr>
                <w:rFonts w:cs="Times New Roman"/>
                <w:b/>
                <w:sz w:val="20"/>
                <w:szCs w:val="18"/>
              </w:rPr>
              <w:t xml:space="preserve">IZVORI FINANCIRANJA </w:t>
            </w:r>
          </w:p>
        </w:tc>
        <w:tc>
          <w:tcPr>
            <w:tcW w:w="1250" w:type="pct"/>
            <w:vAlign w:val="center"/>
          </w:tcPr>
          <w:p w14:paraId="4CB67B22" w14:textId="77777777" w:rsidR="009C0849" w:rsidRPr="00CA723B" w:rsidRDefault="009C0849" w:rsidP="00D36147">
            <w:pPr>
              <w:spacing w:line="276" w:lineRule="auto"/>
              <w:jc w:val="center"/>
              <w:rPr>
                <w:rFonts w:cs="Times New Roman"/>
                <w:b/>
                <w:sz w:val="20"/>
                <w:szCs w:val="18"/>
              </w:rPr>
            </w:pPr>
            <w:r w:rsidRPr="00CA723B">
              <w:rPr>
                <w:rFonts w:cs="Times New Roman"/>
                <w:b/>
                <w:sz w:val="20"/>
                <w:szCs w:val="18"/>
              </w:rPr>
              <w:t>Državni proračun (EUR)</w:t>
            </w:r>
          </w:p>
        </w:tc>
        <w:tc>
          <w:tcPr>
            <w:tcW w:w="1173" w:type="pct"/>
            <w:vAlign w:val="center"/>
          </w:tcPr>
          <w:p w14:paraId="0F9E9355" w14:textId="77777777" w:rsidR="009C0849" w:rsidRPr="00CA723B" w:rsidRDefault="009C0849" w:rsidP="00D36147">
            <w:pPr>
              <w:spacing w:line="276" w:lineRule="auto"/>
              <w:jc w:val="center"/>
              <w:rPr>
                <w:rFonts w:cs="Times New Roman"/>
                <w:b/>
                <w:sz w:val="20"/>
                <w:szCs w:val="18"/>
              </w:rPr>
            </w:pPr>
            <w:r w:rsidRPr="00CA723B">
              <w:rPr>
                <w:rFonts w:cs="Times New Roman"/>
                <w:b/>
                <w:sz w:val="20"/>
                <w:szCs w:val="18"/>
              </w:rPr>
              <w:t>EU financiranje (EUR)</w:t>
            </w:r>
          </w:p>
        </w:tc>
        <w:tc>
          <w:tcPr>
            <w:tcW w:w="1016" w:type="pct"/>
            <w:vAlign w:val="center"/>
          </w:tcPr>
          <w:p w14:paraId="5186DE66" w14:textId="77777777" w:rsidR="009C0849" w:rsidRPr="00CA723B" w:rsidRDefault="009C0849" w:rsidP="00D36147">
            <w:pPr>
              <w:spacing w:line="276" w:lineRule="auto"/>
              <w:jc w:val="center"/>
              <w:rPr>
                <w:rFonts w:cs="Times New Roman"/>
                <w:b/>
                <w:sz w:val="20"/>
                <w:szCs w:val="18"/>
              </w:rPr>
            </w:pPr>
            <w:r w:rsidRPr="00CA723B">
              <w:rPr>
                <w:rFonts w:cs="Times New Roman"/>
                <w:b/>
                <w:sz w:val="20"/>
                <w:szCs w:val="18"/>
              </w:rPr>
              <w:t>Drugi izvori (EUR)</w:t>
            </w:r>
          </w:p>
        </w:tc>
      </w:tr>
      <w:tr w:rsidR="00CE622A" w:rsidRPr="00CA723B" w14:paraId="2DF802D7" w14:textId="77777777" w:rsidTr="00524406">
        <w:tc>
          <w:tcPr>
            <w:tcW w:w="1561" w:type="pct"/>
            <w:shd w:val="clear" w:color="auto" w:fill="F2F2F2" w:themeFill="background1" w:themeFillShade="F2"/>
            <w:vAlign w:val="center"/>
          </w:tcPr>
          <w:p w14:paraId="5771B40B" w14:textId="2D73E751" w:rsidR="009C0849" w:rsidRPr="00CA723B" w:rsidRDefault="009C0849" w:rsidP="00F65D28">
            <w:pPr>
              <w:spacing w:line="276" w:lineRule="auto"/>
              <w:rPr>
                <w:rFonts w:cs="Times New Roman"/>
                <w:sz w:val="20"/>
                <w:szCs w:val="18"/>
              </w:rPr>
            </w:pPr>
            <w:r w:rsidRPr="00CA723B">
              <w:rPr>
                <w:rFonts w:cs="Times New Roman"/>
                <w:sz w:val="20"/>
                <w:szCs w:val="18"/>
              </w:rPr>
              <w:t>Izvori financiranja u 202</w:t>
            </w:r>
            <w:r w:rsidR="00D139D1" w:rsidRPr="00CA723B">
              <w:rPr>
                <w:rFonts w:cs="Times New Roman"/>
                <w:sz w:val="20"/>
                <w:szCs w:val="18"/>
              </w:rPr>
              <w:t>4</w:t>
            </w:r>
            <w:r w:rsidRPr="00CA723B">
              <w:rPr>
                <w:rFonts w:cs="Times New Roman"/>
                <w:sz w:val="20"/>
                <w:szCs w:val="18"/>
              </w:rPr>
              <w:t>. (proračunska pozicija i predviđeni iznos sredstava)</w:t>
            </w:r>
          </w:p>
        </w:tc>
        <w:tc>
          <w:tcPr>
            <w:tcW w:w="1250" w:type="pct"/>
            <w:vAlign w:val="center"/>
          </w:tcPr>
          <w:p w14:paraId="48DD8EA7" w14:textId="5862247B" w:rsidR="009C0849" w:rsidRPr="00CA723B" w:rsidRDefault="005612A7" w:rsidP="002A04BF">
            <w:pPr>
              <w:spacing w:line="276" w:lineRule="auto"/>
              <w:jc w:val="center"/>
              <w:rPr>
                <w:rFonts w:cs="Times New Roman"/>
                <w:sz w:val="20"/>
                <w:szCs w:val="18"/>
              </w:rPr>
            </w:pPr>
            <w:r w:rsidRPr="00CA723B">
              <w:rPr>
                <w:rFonts w:cs="Times New Roman"/>
                <w:sz w:val="20"/>
                <w:szCs w:val="18"/>
              </w:rPr>
              <w:t>A513041 - NPUR</w:t>
            </w:r>
            <w:r w:rsidR="00D65BF2" w:rsidRPr="00CA723B">
              <w:rPr>
                <w:rFonts w:cs="Times New Roman"/>
                <w:sz w:val="20"/>
                <w:szCs w:val="18"/>
              </w:rPr>
              <w:t xml:space="preserve"> 200.000,00 </w:t>
            </w:r>
          </w:p>
        </w:tc>
        <w:tc>
          <w:tcPr>
            <w:tcW w:w="1173" w:type="pct"/>
            <w:vAlign w:val="center"/>
          </w:tcPr>
          <w:p w14:paraId="76B66BB7" w14:textId="77777777" w:rsidR="009C0849" w:rsidRPr="00CA723B" w:rsidRDefault="009C0849" w:rsidP="00D36147">
            <w:pPr>
              <w:spacing w:line="276" w:lineRule="auto"/>
              <w:jc w:val="center"/>
              <w:rPr>
                <w:rFonts w:cs="Times New Roman"/>
                <w:sz w:val="20"/>
                <w:szCs w:val="18"/>
              </w:rPr>
            </w:pPr>
            <w:r w:rsidRPr="00CA723B">
              <w:rPr>
                <w:rFonts w:cs="Times New Roman"/>
                <w:sz w:val="20"/>
                <w:szCs w:val="18"/>
              </w:rPr>
              <w:t>0,00</w:t>
            </w:r>
          </w:p>
        </w:tc>
        <w:tc>
          <w:tcPr>
            <w:tcW w:w="1016" w:type="pct"/>
            <w:vAlign w:val="center"/>
          </w:tcPr>
          <w:p w14:paraId="4F4F3D85" w14:textId="77777777" w:rsidR="009C0849" w:rsidRPr="00CA723B" w:rsidRDefault="009C0849" w:rsidP="00D36147">
            <w:pPr>
              <w:spacing w:line="276" w:lineRule="auto"/>
              <w:jc w:val="center"/>
              <w:rPr>
                <w:rFonts w:cs="Times New Roman"/>
                <w:sz w:val="20"/>
                <w:szCs w:val="18"/>
              </w:rPr>
            </w:pPr>
            <w:r w:rsidRPr="00CA723B">
              <w:rPr>
                <w:rFonts w:cs="Times New Roman"/>
                <w:sz w:val="20"/>
                <w:szCs w:val="18"/>
              </w:rPr>
              <w:t>0,00</w:t>
            </w:r>
          </w:p>
        </w:tc>
      </w:tr>
      <w:tr w:rsidR="00CE622A" w:rsidRPr="00CA723B" w14:paraId="507544F5" w14:textId="77777777" w:rsidTr="00524406">
        <w:tc>
          <w:tcPr>
            <w:tcW w:w="1561" w:type="pct"/>
            <w:vMerge w:val="restart"/>
            <w:shd w:val="clear" w:color="auto" w:fill="F2F2F2" w:themeFill="background1" w:themeFillShade="F2"/>
            <w:vAlign w:val="center"/>
          </w:tcPr>
          <w:p w14:paraId="1E91BEAF" w14:textId="77777777" w:rsidR="009C0849" w:rsidRPr="00CA723B" w:rsidRDefault="009C0849" w:rsidP="004A3B23">
            <w:pPr>
              <w:spacing w:line="276" w:lineRule="auto"/>
              <w:rPr>
                <w:rFonts w:cs="Times New Roman"/>
                <w:b/>
                <w:sz w:val="20"/>
                <w:szCs w:val="18"/>
              </w:rPr>
            </w:pPr>
            <w:r w:rsidRPr="00CA723B">
              <w:rPr>
                <w:rFonts w:cs="Times New Roman"/>
                <w:b/>
                <w:sz w:val="20"/>
                <w:szCs w:val="18"/>
              </w:rPr>
              <w:t xml:space="preserve">UKUPNO UTROŠENA SREDSTVA PO IZVORU </w:t>
            </w:r>
          </w:p>
        </w:tc>
        <w:tc>
          <w:tcPr>
            <w:tcW w:w="1250" w:type="pct"/>
            <w:vAlign w:val="center"/>
          </w:tcPr>
          <w:p w14:paraId="584D0B7A" w14:textId="77777777" w:rsidR="009C0849" w:rsidRPr="00CA723B" w:rsidRDefault="009C0849" w:rsidP="00D36147">
            <w:pPr>
              <w:spacing w:line="276" w:lineRule="auto"/>
              <w:jc w:val="center"/>
              <w:rPr>
                <w:rFonts w:cs="Times New Roman"/>
                <w:b/>
                <w:sz w:val="20"/>
                <w:szCs w:val="18"/>
              </w:rPr>
            </w:pPr>
            <w:r w:rsidRPr="00CA723B">
              <w:rPr>
                <w:rFonts w:cs="Times New Roman"/>
                <w:b/>
                <w:sz w:val="20"/>
                <w:szCs w:val="18"/>
              </w:rPr>
              <w:t>Državni proračun (EUR)</w:t>
            </w:r>
          </w:p>
        </w:tc>
        <w:tc>
          <w:tcPr>
            <w:tcW w:w="1173" w:type="pct"/>
            <w:vAlign w:val="center"/>
          </w:tcPr>
          <w:p w14:paraId="1EBE213D" w14:textId="77777777" w:rsidR="009C0849" w:rsidRPr="00CA723B" w:rsidRDefault="009C0849" w:rsidP="00D36147">
            <w:pPr>
              <w:spacing w:line="276" w:lineRule="auto"/>
              <w:jc w:val="center"/>
              <w:rPr>
                <w:rFonts w:cs="Times New Roman"/>
                <w:b/>
                <w:sz w:val="20"/>
                <w:szCs w:val="18"/>
              </w:rPr>
            </w:pPr>
            <w:r w:rsidRPr="00CA723B">
              <w:rPr>
                <w:rFonts w:cs="Times New Roman"/>
                <w:b/>
                <w:sz w:val="20"/>
                <w:szCs w:val="18"/>
              </w:rPr>
              <w:t>EU financiranje (EUR)</w:t>
            </w:r>
          </w:p>
        </w:tc>
        <w:tc>
          <w:tcPr>
            <w:tcW w:w="1016" w:type="pct"/>
            <w:vAlign w:val="center"/>
          </w:tcPr>
          <w:p w14:paraId="7F0DD36F" w14:textId="77777777" w:rsidR="009C0849" w:rsidRPr="00CA723B" w:rsidRDefault="009C0849" w:rsidP="00D36147">
            <w:pPr>
              <w:spacing w:line="276" w:lineRule="auto"/>
              <w:jc w:val="center"/>
              <w:rPr>
                <w:rFonts w:cs="Times New Roman"/>
                <w:b/>
                <w:sz w:val="20"/>
                <w:szCs w:val="18"/>
              </w:rPr>
            </w:pPr>
            <w:r w:rsidRPr="00CA723B">
              <w:rPr>
                <w:rFonts w:cs="Times New Roman"/>
                <w:b/>
                <w:sz w:val="20"/>
                <w:szCs w:val="18"/>
              </w:rPr>
              <w:t>Drugi izvori (EUR)</w:t>
            </w:r>
          </w:p>
        </w:tc>
      </w:tr>
      <w:tr w:rsidR="00CE622A" w:rsidRPr="00CA723B" w14:paraId="0995E86F" w14:textId="77777777" w:rsidTr="00524406">
        <w:tc>
          <w:tcPr>
            <w:tcW w:w="1561" w:type="pct"/>
            <w:vMerge/>
            <w:shd w:val="clear" w:color="auto" w:fill="F2F2F2" w:themeFill="background1" w:themeFillShade="F2"/>
            <w:vAlign w:val="center"/>
          </w:tcPr>
          <w:p w14:paraId="3DE339C1" w14:textId="77777777" w:rsidR="009C0849" w:rsidRPr="00CA723B" w:rsidRDefault="009C0849" w:rsidP="00D36147">
            <w:pPr>
              <w:spacing w:line="276" w:lineRule="auto"/>
              <w:rPr>
                <w:rFonts w:cs="Times New Roman"/>
                <w:b/>
                <w:sz w:val="20"/>
                <w:szCs w:val="18"/>
              </w:rPr>
            </w:pPr>
          </w:p>
        </w:tc>
        <w:tc>
          <w:tcPr>
            <w:tcW w:w="1250" w:type="pct"/>
            <w:vAlign w:val="center"/>
          </w:tcPr>
          <w:p w14:paraId="3CD3DAA3" w14:textId="7BFCBBEB" w:rsidR="006831BD" w:rsidRPr="00CA723B" w:rsidRDefault="009C0849" w:rsidP="00D36147">
            <w:pPr>
              <w:spacing w:line="276" w:lineRule="auto"/>
              <w:jc w:val="center"/>
              <w:rPr>
                <w:rFonts w:eastAsia="Calibri" w:cs="Times New Roman"/>
                <w:sz w:val="20"/>
              </w:rPr>
            </w:pPr>
            <w:r w:rsidRPr="00CA723B">
              <w:rPr>
                <w:rFonts w:eastAsia="Calibri" w:cs="Times New Roman"/>
                <w:b/>
                <w:sz w:val="20"/>
              </w:rPr>
              <w:t xml:space="preserve"> </w:t>
            </w:r>
            <w:r w:rsidR="005612A7" w:rsidRPr="00CA723B">
              <w:rPr>
                <w:rFonts w:eastAsia="Calibri" w:cs="Times New Roman"/>
                <w:sz w:val="20"/>
              </w:rPr>
              <w:t>A513041 - NPUR</w:t>
            </w:r>
          </w:p>
          <w:p w14:paraId="512B7748" w14:textId="7FF5C2F6" w:rsidR="009C0849" w:rsidRPr="004610D8" w:rsidRDefault="00CA723B" w:rsidP="00D36147">
            <w:pPr>
              <w:spacing w:line="276" w:lineRule="auto"/>
              <w:jc w:val="center"/>
              <w:rPr>
                <w:rFonts w:eastAsia="Calibri" w:cs="Times New Roman"/>
                <w:b/>
                <w:sz w:val="20"/>
              </w:rPr>
            </w:pPr>
            <w:r w:rsidRPr="004610D8">
              <w:rPr>
                <w:rFonts w:eastAsia="Calibri" w:cs="Times New Roman"/>
                <w:b/>
                <w:sz w:val="20"/>
              </w:rPr>
              <w:t>174.579,6</w:t>
            </w:r>
          </w:p>
        </w:tc>
        <w:tc>
          <w:tcPr>
            <w:tcW w:w="1173" w:type="pct"/>
            <w:vAlign w:val="center"/>
          </w:tcPr>
          <w:p w14:paraId="0B8BDAA7" w14:textId="77777777" w:rsidR="009C0849" w:rsidRPr="00CA723B" w:rsidRDefault="009C0849" w:rsidP="00D36147">
            <w:pPr>
              <w:spacing w:line="276" w:lineRule="auto"/>
              <w:jc w:val="center"/>
              <w:rPr>
                <w:rFonts w:cs="Times New Roman"/>
                <w:sz w:val="20"/>
                <w:szCs w:val="18"/>
              </w:rPr>
            </w:pPr>
            <w:r w:rsidRPr="00CA723B">
              <w:rPr>
                <w:rFonts w:cs="Times New Roman"/>
                <w:sz w:val="20"/>
                <w:szCs w:val="18"/>
              </w:rPr>
              <w:t>0,00</w:t>
            </w:r>
          </w:p>
        </w:tc>
        <w:tc>
          <w:tcPr>
            <w:tcW w:w="1016" w:type="pct"/>
            <w:vAlign w:val="center"/>
          </w:tcPr>
          <w:p w14:paraId="0F4FF5D0" w14:textId="77777777" w:rsidR="009C0849" w:rsidRPr="00CA723B" w:rsidRDefault="009C0849" w:rsidP="00D36147">
            <w:pPr>
              <w:spacing w:line="276" w:lineRule="auto"/>
              <w:jc w:val="center"/>
              <w:rPr>
                <w:rFonts w:cs="Times New Roman"/>
                <w:sz w:val="20"/>
                <w:szCs w:val="18"/>
              </w:rPr>
            </w:pPr>
            <w:r w:rsidRPr="00CA723B">
              <w:rPr>
                <w:rFonts w:cs="Times New Roman"/>
                <w:sz w:val="20"/>
                <w:szCs w:val="18"/>
              </w:rPr>
              <w:t xml:space="preserve">0,00 </w:t>
            </w:r>
          </w:p>
        </w:tc>
      </w:tr>
      <w:tr w:rsidR="00CE622A" w:rsidRPr="00CA723B" w14:paraId="4B2CFBC9" w14:textId="77777777" w:rsidTr="002A04BF">
        <w:trPr>
          <w:trHeight w:val="347"/>
        </w:trPr>
        <w:tc>
          <w:tcPr>
            <w:tcW w:w="1561" w:type="pct"/>
            <w:shd w:val="clear" w:color="auto" w:fill="F2F2F2" w:themeFill="background1" w:themeFillShade="F2"/>
            <w:vAlign w:val="center"/>
          </w:tcPr>
          <w:p w14:paraId="2EC38282" w14:textId="39C30F65" w:rsidR="009C0849" w:rsidRPr="00CA723B" w:rsidRDefault="009C0849" w:rsidP="004A3B23">
            <w:pPr>
              <w:spacing w:line="276" w:lineRule="auto"/>
              <w:rPr>
                <w:rFonts w:cs="Times New Roman"/>
                <w:sz w:val="20"/>
                <w:szCs w:val="18"/>
              </w:rPr>
            </w:pPr>
            <w:r w:rsidRPr="00CA723B">
              <w:rPr>
                <w:rFonts w:cs="Times New Roman"/>
                <w:sz w:val="20"/>
                <w:szCs w:val="18"/>
              </w:rPr>
              <w:t>ROK PROVEDBE</w:t>
            </w:r>
            <w:r w:rsidR="00C62C50" w:rsidRPr="00CA723B">
              <w:rPr>
                <w:rFonts w:cs="Times New Roman"/>
                <w:sz w:val="20"/>
                <w:szCs w:val="18"/>
              </w:rPr>
              <w:t xml:space="preserve"> </w:t>
            </w:r>
            <w:r w:rsidRPr="00CA723B">
              <w:rPr>
                <w:rFonts w:cs="Times New Roman"/>
                <w:sz w:val="20"/>
                <w:szCs w:val="18"/>
              </w:rPr>
              <w:t>AKTIVNOSTI</w:t>
            </w:r>
          </w:p>
        </w:tc>
        <w:tc>
          <w:tcPr>
            <w:tcW w:w="3439" w:type="pct"/>
            <w:gridSpan w:val="3"/>
            <w:vAlign w:val="center"/>
          </w:tcPr>
          <w:p w14:paraId="1D727631" w14:textId="77777777" w:rsidR="009C0849" w:rsidRPr="00CA723B" w:rsidRDefault="009C0849" w:rsidP="00D36147">
            <w:pPr>
              <w:spacing w:line="276" w:lineRule="auto"/>
              <w:rPr>
                <w:rFonts w:cs="Times New Roman"/>
                <w:sz w:val="20"/>
                <w:szCs w:val="18"/>
              </w:rPr>
            </w:pPr>
            <w:r w:rsidRPr="00CA723B">
              <w:rPr>
                <w:rFonts w:cs="Times New Roman"/>
                <w:sz w:val="20"/>
                <w:szCs w:val="18"/>
              </w:rPr>
              <w:t xml:space="preserve">IV. kvartal 2025. </w:t>
            </w:r>
          </w:p>
        </w:tc>
      </w:tr>
    </w:tbl>
    <w:p w14:paraId="6311DC2E" w14:textId="77777777" w:rsidR="00C4479F" w:rsidRDefault="00C4479F" w:rsidP="004A3B23">
      <w:pPr>
        <w:spacing w:after="0" w:line="276" w:lineRule="auto"/>
        <w:jc w:val="both"/>
        <w:rPr>
          <w:rFonts w:cs="Times New Roman"/>
          <w:b/>
          <w:bCs/>
          <w:szCs w:val="24"/>
        </w:rPr>
      </w:pPr>
    </w:p>
    <w:p w14:paraId="1D9F7CFA" w14:textId="77777777" w:rsidR="003379F1" w:rsidRPr="00CA723B" w:rsidRDefault="003379F1" w:rsidP="004A3B23">
      <w:pPr>
        <w:spacing w:after="0" w:line="276" w:lineRule="auto"/>
        <w:jc w:val="both"/>
        <w:rPr>
          <w:rFonts w:cs="Times New Roman"/>
          <w:b/>
          <w:bCs/>
          <w:szCs w:val="24"/>
        </w:rPr>
      </w:pPr>
    </w:p>
    <w:p w14:paraId="11CA0B81" w14:textId="77777777" w:rsidR="005F22DB" w:rsidRPr="00CA723B" w:rsidRDefault="005F22DB" w:rsidP="00D36147">
      <w:pPr>
        <w:pStyle w:val="Heading2"/>
        <w:spacing w:line="276" w:lineRule="auto"/>
        <w:rPr>
          <w:rFonts w:cs="Times New Roman"/>
        </w:rPr>
      </w:pPr>
      <w:r w:rsidRPr="00CA723B">
        <w:rPr>
          <w:rFonts w:cs="Times New Roman"/>
        </w:rPr>
        <w:t>Mjera 7.2. Smanjivanje jaza u prenapučenosti Roma i opće populacije</w:t>
      </w:r>
    </w:p>
    <w:p w14:paraId="433C575A" w14:textId="77777777" w:rsidR="00754E0C" w:rsidRPr="00CA723B" w:rsidRDefault="00754E0C" w:rsidP="00D36147">
      <w:pPr>
        <w:spacing w:after="0" w:line="276" w:lineRule="auto"/>
        <w:rPr>
          <w:rFonts w:cs="Times New Roman"/>
        </w:rPr>
      </w:pPr>
    </w:p>
    <w:p w14:paraId="0A467FBB" w14:textId="54279FD1" w:rsidR="00190175" w:rsidRPr="00CA723B" w:rsidRDefault="005F22DB" w:rsidP="004A3B23">
      <w:pPr>
        <w:spacing w:after="0" w:line="276" w:lineRule="auto"/>
        <w:jc w:val="both"/>
        <w:rPr>
          <w:rFonts w:cs="Times New Roman"/>
          <w:bCs/>
          <w:szCs w:val="24"/>
        </w:rPr>
      </w:pPr>
      <w:r w:rsidRPr="00CA723B">
        <w:rPr>
          <w:rFonts w:cs="Times New Roman"/>
          <w:bCs/>
          <w:szCs w:val="24"/>
        </w:rPr>
        <w:t>Nema planiranih ak</w:t>
      </w:r>
      <w:r w:rsidR="00FD37F7" w:rsidRPr="00CA723B">
        <w:rPr>
          <w:rFonts w:cs="Times New Roman"/>
          <w:bCs/>
          <w:szCs w:val="24"/>
        </w:rPr>
        <w:t>tivnosti u ovom Akcijskom planu</w:t>
      </w:r>
      <w:r w:rsidR="001D5C13" w:rsidRPr="00CA723B">
        <w:rPr>
          <w:rFonts w:cs="Times New Roman"/>
          <w:bCs/>
          <w:szCs w:val="24"/>
        </w:rPr>
        <w:t>.</w:t>
      </w:r>
    </w:p>
    <w:p w14:paraId="5538281A" w14:textId="77777777" w:rsidR="00754E0C" w:rsidRPr="00CA723B" w:rsidRDefault="00754E0C" w:rsidP="00D36147">
      <w:pPr>
        <w:spacing w:after="0" w:line="276" w:lineRule="auto"/>
        <w:jc w:val="both"/>
        <w:rPr>
          <w:rFonts w:cs="Times New Roman"/>
          <w:bCs/>
          <w:szCs w:val="24"/>
        </w:rPr>
      </w:pPr>
    </w:p>
    <w:p w14:paraId="076D32B4" w14:textId="77777777" w:rsidR="00754E0C" w:rsidRPr="00FC64BF" w:rsidRDefault="004650B7" w:rsidP="00897A2A">
      <w:pPr>
        <w:pStyle w:val="Heading2"/>
        <w:spacing w:before="0" w:line="276" w:lineRule="auto"/>
        <w:jc w:val="both"/>
        <w:rPr>
          <w:rFonts w:cs="Times New Roman"/>
        </w:rPr>
      </w:pPr>
      <w:bookmarkStart w:id="56" w:name="_Hlk164167386"/>
      <w:r w:rsidRPr="00CA723B">
        <w:rPr>
          <w:rFonts w:cs="Times New Roman"/>
        </w:rPr>
        <w:t xml:space="preserve">Mjera 7.3. Smanjivanje okolišnih i infrastrukturnih nejednakosti u romskim zajednicama </w:t>
      </w:r>
      <w:r w:rsidRPr="00FC64BF">
        <w:rPr>
          <w:rFonts w:cs="Times New Roman"/>
        </w:rPr>
        <w:t>(lokalitetima) u odnosu na zajednice u kojima živi većinsko stanovništvo</w:t>
      </w:r>
    </w:p>
    <w:p w14:paraId="18FD0E3A" w14:textId="72559E2B" w:rsidR="001D7217" w:rsidRPr="00FC64BF" w:rsidRDefault="004650B7" w:rsidP="00D36147">
      <w:pPr>
        <w:spacing w:after="0" w:line="276" w:lineRule="auto"/>
        <w:rPr>
          <w:rFonts w:cs="Times New Roman"/>
          <w:i/>
          <w:iCs/>
          <w:szCs w:val="24"/>
        </w:rPr>
      </w:pPr>
      <w:r w:rsidRPr="00FC64BF">
        <w:rPr>
          <w:rFonts w:cs="Times New Roman"/>
          <w:szCs w:val="24"/>
        </w:rPr>
        <w:t xml:space="preserve"> </w:t>
      </w:r>
    </w:p>
    <w:p w14:paraId="589CA1DC" w14:textId="5914A90D" w:rsidR="00602F27" w:rsidRPr="00FC64BF" w:rsidRDefault="00DE7DF2" w:rsidP="00897A2A">
      <w:pPr>
        <w:spacing w:after="0" w:line="276" w:lineRule="auto"/>
        <w:jc w:val="both"/>
        <w:rPr>
          <w:rFonts w:cs="Times New Roman"/>
          <w:i/>
          <w:iCs/>
          <w:szCs w:val="24"/>
        </w:rPr>
      </w:pPr>
      <w:r w:rsidRPr="00FC64BF">
        <w:rPr>
          <w:rFonts w:cs="Times New Roman"/>
          <w:i/>
          <w:iCs/>
          <w:szCs w:val="24"/>
        </w:rPr>
        <w:t xml:space="preserve">Aktivnost 7.3.1. </w:t>
      </w:r>
      <w:r w:rsidR="0068052A" w:rsidRPr="00FC64BF">
        <w:rPr>
          <w:rFonts w:cs="Times New Roman"/>
          <w:i/>
          <w:iCs/>
          <w:szCs w:val="24"/>
        </w:rPr>
        <w:t xml:space="preserve">Program za unaprjeđenje infrastrukture na područjima naseljenim pripadnicima romske nacionalne manjine </w:t>
      </w:r>
    </w:p>
    <w:p w14:paraId="7FD37372" w14:textId="1A30AE55" w:rsidR="00772A84" w:rsidRPr="00FC64BF" w:rsidRDefault="00560B29" w:rsidP="004A3B23">
      <w:pPr>
        <w:spacing w:after="0" w:line="276" w:lineRule="auto"/>
        <w:jc w:val="both"/>
        <w:rPr>
          <w:rFonts w:cs="Times New Roman"/>
          <w:i/>
          <w:iCs/>
          <w:szCs w:val="24"/>
        </w:rPr>
      </w:pPr>
      <w:r w:rsidRPr="00FC64BF">
        <w:rPr>
          <w:rFonts w:cs="Times New Roman"/>
          <w:i/>
          <w:iCs/>
          <w:szCs w:val="24"/>
        </w:rPr>
        <w:t xml:space="preserve">Nositelj provedbe: </w:t>
      </w:r>
      <w:r w:rsidR="00DE7DF2" w:rsidRPr="00FC64BF">
        <w:rPr>
          <w:rFonts w:cs="Times New Roman"/>
          <w:i/>
          <w:iCs/>
          <w:szCs w:val="24"/>
        </w:rPr>
        <w:t>Ministarstvo regionalnoga razvoja i fondova Europske unije</w:t>
      </w:r>
    </w:p>
    <w:p w14:paraId="628254AA" w14:textId="77777777" w:rsidR="008005E4" w:rsidRPr="00CE622A" w:rsidRDefault="008005E4" w:rsidP="00D36147">
      <w:pPr>
        <w:spacing w:after="0" w:line="276" w:lineRule="auto"/>
        <w:jc w:val="both"/>
        <w:rPr>
          <w:rFonts w:cs="Times New Roman"/>
          <w:i/>
          <w:iCs/>
          <w:color w:val="FF0000"/>
          <w:szCs w:val="24"/>
        </w:rPr>
      </w:pPr>
    </w:p>
    <w:p w14:paraId="4E4D6CD5" w14:textId="66FC5EF1" w:rsidR="007969AF" w:rsidRPr="007969AF" w:rsidRDefault="007969AF" w:rsidP="007969AF">
      <w:pPr>
        <w:spacing w:after="0" w:line="276" w:lineRule="auto"/>
        <w:jc w:val="both"/>
      </w:pPr>
      <w:r w:rsidRPr="007969AF">
        <w:t xml:space="preserve">Cilj Programa za unaprjeđenje infrastrukture na područjima naseljenim pripadnicima romske nacionalne manjine (u daljnjem tekstu: Program) je smanjivanje okolišnih i infrastrukturnih nejednakosti u romskim zajednicama u odnosu na zajednice u kojima živi većinsko </w:t>
      </w:r>
      <w:r w:rsidRPr="007969AF">
        <w:lastRenderedPageBreak/>
        <w:t xml:space="preserve">stanovništvo. Program je predstavljao podršku u unapređenju društvene, javne, komunalne, socijalne i okolišne infrastrukture u romskim zajednicama te se njime zagovara pristup promicanja ravnopravnosti, nediskriminacije i održivog razvoja te participativnog pristupa dionika šire lokalne zajednice. Sredstva za provedbu Programa bila su osigurana u Državnom proračunu Republike Hrvatske za 2024. godinu i projekcijama za 2025. i 2026. godinu („Narodne novine“, </w:t>
      </w:r>
      <w:r w:rsidR="003379F1">
        <w:t>br</w:t>
      </w:r>
      <w:r w:rsidR="00BA18B2">
        <w:t>oj</w:t>
      </w:r>
      <w:r w:rsidR="003379F1" w:rsidRPr="007969AF">
        <w:t xml:space="preserve"> </w:t>
      </w:r>
      <w:r w:rsidRPr="007969AF">
        <w:t>149/23</w:t>
      </w:r>
      <w:r w:rsidR="003379F1">
        <w:t>.</w:t>
      </w:r>
      <w:r w:rsidRPr="007969AF">
        <w:t>) u razdjelu 061, glava 05 Ministarstva regionalnoga razvoja i fondova Europske unije, program 2902 – Razvoj potpomognutih područja i područja s razvojnim posebnostima na aktivnosti K680054 – Program za unaprjeđenje infrastrukture na područjima naseljenim pripadnicima romske nacionalne manjine u iznosu od 1.350.000,00 EUR što je povećanje za 85</w:t>
      </w:r>
      <w:r w:rsidR="00BA18B2">
        <w:t xml:space="preserve"> </w:t>
      </w:r>
      <w:r w:rsidRPr="007969AF">
        <w:t>% u odnosu na proračunska sredstva iz 2023.</w:t>
      </w:r>
      <w:r w:rsidR="00BA18B2">
        <w:t xml:space="preserve"> godine.</w:t>
      </w:r>
      <w:r w:rsidRPr="007969AF">
        <w:t xml:space="preserve"> Korisnici Programa u širem smislu bili su stanovnici lokalne zajednice pripadnici romske nacionalne manjine koji imaju korist od provedbenih aktivnosti Programa. </w:t>
      </w:r>
      <w:r w:rsidR="00F77EEB" w:rsidRPr="00F77EEB">
        <w:t>Planom izvršenja proračuna te preraspodjelom sredstava iznos je smanjen na 1.282.501,00 EUR.</w:t>
      </w:r>
      <w:r w:rsidR="00F77EEB">
        <w:t xml:space="preserve"> </w:t>
      </w:r>
      <w:r w:rsidRPr="007969AF">
        <w:t>U užem smislu korisnici Programa bile su jedinice lokalne samouprave s udjelom višim od 1</w:t>
      </w:r>
      <w:r w:rsidR="00BA18B2">
        <w:t xml:space="preserve"> </w:t>
      </w:r>
      <w:r w:rsidRPr="007969AF">
        <w:t xml:space="preserve">% pripadnika romske nacionalne manjine u stanovništvu prema Popisu stanovništva iz 2021. pri čemu taj postotak čini najmanje 30 stanovnika pripadnika romske nacionalne manjine koji žive u toj jedinici lokalne samouprave (gradovi: Sisak, Kutina, Đurđevac, Slavonski Brod, Beli Manastir, Belišće, Vodnjan, Čakovec, Mursko Središće, Grubišno Polje, Ludbreg te općine: Popovača, Cestica, Petrijanec, Peteranec, Hlebine, Rasinja, Darda, Petlovac, Jagodnjak, Kneževi Vinogradi, Mala Subotica, Nedelišće, Orehovica, Kotoriba, Podturen, Pribislavec, Domašinec, Donji Vidovec, Mali Bukovec, Legrad, Velika Ludina, Koprivnički Bregi, Sveti Đurđ, Donji Kraljevec, Virje, Viljevo, Podgorač). </w:t>
      </w:r>
      <w:r w:rsidRPr="007969AF">
        <w:rPr>
          <w:lang w:val="pt-BR"/>
        </w:rPr>
        <w:t>Prihvatljiva područja za provedbu Programa bila su administrativno-teritorijalna područja korisnika Programa, jedinica lokalne samouprave. Prihvatljive su bile građevine javne namjene, iz područja društvene, javne, komunalne, socijalne, okolišne i gospodarske infrastrukture, koje su bile na raspolaganju široj lokalnoj zajednici, a u okviru kojih je provedba pridonijela povećanju standarda društvene, javne, komunalne, socijalne i okolišne infrastrukture u romskim zajednicama. Tijekom 2024.</w:t>
      </w:r>
      <w:r w:rsidR="00BA18B2">
        <w:rPr>
          <w:lang w:val="pt-BR"/>
        </w:rPr>
        <w:t xml:space="preserve"> godine</w:t>
      </w:r>
      <w:r w:rsidRPr="007969AF">
        <w:rPr>
          <w:lang w:val="pt-BR"/>
        </w:rPr>
        <w:t xml:space="preserve"> putem Programa je realiziran 21 projekt, a ukupno je utrošen iznos od </w:t>
      </w:r>
      <w:r w:rsidR="00E12FA3" w:rsidRPr="00E12FA3">
        <w:rPr>
          <w:lang w:val="pt-BR"/>
        </w:rPr>
        <w:t>1.076.220,07 EUR što predstavlja povećanje od 57</w:t>
      </w:r>
      <w:r w:rsidR="00BA18B2">
        <w:rPr>
          <w:lang w:val="pt-BR"/>
        </w:rPr>
        <w:t xml:space="preserve"> </w:t>
      </w:r>
      <w:r w:rsidR="00E12FA3" w:rsidRPr="00E12FA3">
        <w:rPr>
          <w:lang w:val="pt-BR"/>
        </w:rPr>
        <w:t xml:space="preserve">% </w:t>
      </w:r>
      <w:r w:rsidRPr="007969AF">
        <w:rPr>
          <w:lang w:val="pt-BR"/>
        </w:rPr>
        <w:t xml:space="preserve"> utrošenih sredstava u odnosu na 2023</w:t>
      </w:r>
      <w:r w:rsidR="00E12FA3">
        <w:rPr>
          <w:lang w:val="pt-BR"/>
        </w:rPr>
        <w:t>.</w:t>
      </w:r>
      <w:r w:rsidR="00BA18B2">
        <w:rPr>
          <w:lang w:val="pt-BR"/>
        </w:rPr>
        <w:t xml:space="preserve"> godinu.</w:t>
      </w:r>
    </w:p>
    <w:p w14:paraId="23B989DA" w14:textId="1C359EB2" w:rsidR="007969AF" w:rsidRPr="00FC64BF" w:rsidRDefault="007969AF" w:rsidP="00D36147">
      <w:pPr>
        <w:spacing w:after="0" w:line="276" w:lineRule="auto"/>
        <w:jc w:val="both"/>
        <w:rPr>
          <w:rFonts w:cs="Times New Roman"/>
        </w:rPr>
      </w:pPr>
    </w:p>
    <w:p w14:paraId="7BAA091A" w14:textId="77777777" w:rsidR="0019105E" w:rsidRPr="00FC64BF" w:rsidRDefault="0019105E" w:rsidP="00D36147">
      <w:pPr>
        <w:spacing w:after="0" w:line="276" w:lineRule="auto"/>
        <w:jc w:val="both"/>
        <w:rPr>
          <w:rFonts w:cs="Times New Roman"/>
          <w:iCs/>
          <w:szCs w:val="24"/>
        </w:rPr>
      </w:pPr>
    </w:p>
    <w:tbl>
      <w:tblPr>
        <w:tblStyle w:val="TableGrid"/>
        <w:tblW w:w="9209" w:type="dxa"/>
        <w:tblLayout w:type="fixed"/>
        <w:tblLook w:val="04A0" w:firstRow="1" w:lastRow="0" w:firstColumn="1" w:lastColumn="0" w:noHBand="0" w:noVBand="1"/>
      </w:tblPr>
      <w:tblGrid>
        <w:gridCol w:w="2830"/>
        <w:gridCol w:w="3261"/>
        <w:gridCol w:w="1701"/>
        <w:gridCol w:w="1417"/>
      </w:tblGrid>
      <w:tr w:rsidR="00CE622A" w:rsidRPr="0071520E" w14:paraId="5E768219" w14:textId="77777777" w:rsidTr="00D353AE">
        <w:trPr>
          <w:trHeight w:val="606"/>
        </w:trPr>
        <w:tc>
          <w:tcPr>
            <w:tcW w:w="2830" w:type="dxa"/>
            <w:shd w:val="clear" w:color="auto" w:fill="F2F2F2" w:themeFill="background1" w:themeFillShade="F2"/>
            <w:vAlign w:val="center"/>
          </w:tcPr>
          <w:p w14:paraId="193EAE0F" w14:textId="77777777" w:rsidR="00BA7423" w:rsidRPr="00FC64BF" w:rsidRDefault="00BA7423" w:rsidP="002A04BF">
            <w:pPr>
              <w:rPr>
                <w:rFonts w:cs="Times New Roman"/>
                <w:b/>
                <w:sz w:val="20"/>
                <w:szCs w:val="18"/>
              </w:rPr>
            </w:pPr>
            <w:bookmarkStart w:id="57" w:name="_Hlk164167565"/>
            <w:bookmarkEnd w:id="56"/>
            <w:r w:rsidRPr="00FC64BF">
              <w:rPr>
                <w:rFonts w:cs="Times New Roman"/>
                <w:b/>
                <w:sz w:val="20"/>
                <w:szCs w:val="18"/>
              </w:rPr>
              <w:t>Pokazatelji provedbe i pokazatelji uspješnosti provedbe</w:t>
            </w:r>
          </w:p>
        </w:tc>
        <w:tc>
          <w:tcPr>
            <w:tcW w:w="3261" w:type="dxa"/>
            <w:shd w:val="clear" w:color="auto" w:fill="F2F2F2" w:themeFill="background1" w:themeFillShade="F2"/>
            <w:vAlign w:val="center"/>
          </w:tcPr>
          <w:p w14:paraId="14A83FDB" w14:textId="49D64AB6" w:rsidR="00BA7423" w:rsidRPr="00FC64BF" w:rsidRDefault="004A57B1" w:rsidP="002A04BF">
            <w:pPr>
              <w:jc w:val="center"/>
              <w:rPr>
                <w:rFonts w:eastAsia="Calibri" w:cs="Times New Roman"/>
                <w:b/>
                <w:strike/>
                <w:sz w:val="20"/>
                <w:szCs w:val="18"/>
              </w:rPr>
            </w:pPr>
            <w:r w:rsidRPr="00FC64BF">
              <w:rPr>
                <w:rFonts w:eastAsia="Calibri" w:cs="Times New Roman"/>
                <w:b/>
                <w:sz w:val="20"/>
                <w:szCs w:val="18"/>
              </w:rPr>
              <w:t>Broj provedenih</w:t>
            </w:r>
            <w:r w:rsidR="00A9087D" w:rsidRPr="00FC64BF">
              <w:rPr>
                <w:rFonts w:eastAsia="Calibri" w:cs="Times New Roman"/>
                <w:b/>
                <w:sz w:val="20"/>
                <w:szCs w:val="18"/>
              </w:rPr>
              <w:t xml:space="preserve"> </w:t>
            </w:r>
            <w:r w:rsidRPr="00FC64BF">
              <w:rPr>
                <w:rFonts w:eastAsia="Calibri" w:cs="Times New Roman"/>
                <w:b/>
                <w:sz w:val="20"/>
                <w:szCs w:val="18"/>
              </w:rPr>
              <w:t>projekata vezanih za</w:t>
            </w:r>
            <w:r w:rsidR="00A9087D" w:rsidRPr="00FC64BF">
              <w:rPr>
                <w:rFonts w:eastAsia="Calibri" w:cs="Times New Roman"/>
                <w:b/>
                <w:sz w:val="20"/>
                <w:szCs w:val="18"/>
              </w:rPr>
              <w:t xml:space="preserve"> </w:t>
            </w:r>
            <w:r w:rsidRPr="00FC64BF">
              <w:rPr>
                <w:rFonts w:eastAsia="Calibri" w:cs="Times New Roman"/>
                <w:b/>
                <w:sz w:val="20"/>
                <w:szCs w:val="18"/>
              </w:rPr>
              <w:t>ulaganja u objekte</w:t>
            </w:r>
            <w:r w:rsidR="00A9087D" w:rsidRPr="00FC64BF">
              <w:rPr>
                <w:rFonts w:eastAsia="Calibri" w:cs="Times New Roman"/>
                <w:b/>
                <w:sz w:val="20"/>
                <w:szCs w:val="18"/>
              </w:rPr>
              <w:t xml:space="preserve"> </w:t>
            </w:r>
            <w:r w:rsidRPr="00FC64BF">
              <w:rPr>
                <w:rFonts w:eastAsia="Calibri" w:cs="Times New Roman"/>
                <w:b/>
                <w:sz w:val="20"/>
                <w:szCs w:val="18"/>
              </w:rPr>
              <w:t>socijalne, komunalne i</w:t>
            </w:r>
            <w:r w:rsidR="00A9087D" w:rsidRPr="00FC64BF">
              <w:rPr>
                <w:rFonts w:eastAsia="Calibri" w:cs="Times New Roman"/>
                <w:b/>
                <w:sz w:val="20"/>
                <w:szCs w:val="18"/>
              </w:rPr>
              <w:t xml:space="preserve"> </w:t>
            </w:r>
            <w:r w:rsidRPr="00FC64BF">
              <w:rPr>
                <w:rFonts w:eastAsia="Calibri" w:cs="Times New Roman"/>
                <w:b/>
                <w:sz w:val="20"/>
                <w:szCs w:val="18"/>
              </w:rPr>
              <w:t>gospodarske</w:t>
            </w:r>
            <w:r w:rsidR="00A9087D" w:rsidRPr="00FC64BF">
              <w:rPr>
                <w:rFonts w:eastAsia="Calibri" w:cs="Times New Roman"/>
                <w:b/>
                <w:sz w:val="20"/>
                <w:szCs w:val="18"/>
              </w:rPr>
              <w:t xml:space="preserve"> </w:t>
            </w:r>
            <w:r w:rsidRPr="00FC64BF">
              <w:rPr>
                <w:rFonts w:eastAsia="Calibri" w:cs="Times New Roman"/>
                <w:b/>
                <w:sz w:val="20"/>
                <w:szCs w:val="18"/>
              </w:rPr>
              <w:t>infrastrukture</w:t>
            </w:r>
          </w:p>
        </w:tc>
        <w:tc>
          <w:tcPr>
            <w:tcW w:w="1701" w:type="dxa"/>
            <w:shd w:val="clear" w:color="auto" w:fill="F2F2F2" w:themeFill="background1" w:themeFillShade="F2"/>
            <w:vAlign w:val="center"/>
          </w:tcPr>
          <w:p w14:paraId="2E113A80" w14:textId="4F2F6B04" w:rsidR="00BA7423" w:rsidRPr="00FC64BF" w:rsidRDefault="00BA7423" w:rsidP="002A04BF">
            <w:pPr>
              <w:jc w:val="center"/>
              <w:rPr>
                <w:rFonts w:cs="Times New Roman"/>
                <w:b/>
                <w:sz w:val="20"/>
                <w:szCs w:val="18"/>
              </w:rPr>
            </w:pPr>
          </w:p>
        </w:tc>
        <w:tc>
          <w:tcPr>
            <w:tcW w:w="1417" w:type="dxa"/>
            <w:shd w:val="clear" w:color="auto" w:fill="F2F2F2" w:themeFill="background1" w:themeFillShade="F2"/>
            <w:vAlign w:val="center"/>
          </w:tcPr>
          <w:p w14:paraId="65FE0E46" w14:textId="77777777" w:rsidR="00BA7423" w:rsidRPr="00FC64BF" w:rsidRDefault="00BA7423" w:rsidP="002A04BF">
            <w:pPr>
              <w:jc w:val="center"/>
              <w:rPr>
                <w:rFonts w:cs="Times New Roman"/>
                <w:b/>
                <w:sz w:val="20"/>
                <w:szCs w:val="18"/>
              </w:rPr>
            </w:pPr>
          </w:p>
        </w:tc>
      </w:tr>
      <w:tr w:rsidR="00CE622A" w:rsidRPr="0071520E" w14:paraId="323071E0" w14:textId="77777777" w:rsidTr="00D353AE">
        <w:tc>
          <w:tcPr>
            <w:tcW w:w="2830" w:type="dxa"/>
            <w:shd w:val="clear" w:color="auto" w:fill="F2F2F2" w:themeFill="background1" w:themeFillShade="F2"/>
            <w:vAlign w:val="center"/>
          </w:tcPr>
          <w:p w14:paraId="0369DDCA" w14:textId="70B78E46" w:rsidR="00BA7423" w:rsidRPr="00FC64BF" w:rsidRDefault="00BA7423" w:rsidP="00F65D28">
            <w:pPr>
              <w:rPr>
                <w:rFonts w:cs="Times New Roman"/>
                <w:sz w:val="20"/>
                <w:szCs w:val="18"/>
              </w:rPr>
            </w:pPr>
            <w:r w:rsidRPr="00FC64BF">
              <w:rPr>
                <w:rFonts w:cs="Times New Roman"/>
                <w:sz w:val="20"/>
                <w:szCs w:val="18"/>
              </w:rPr>
              <w:t>Planirani ishodi za pokazatelje provedbe u 202</w:t>
            </w:r>
            <w:r w:rsidR="007969AF" w:rsidRPr="00FC64BF">
              <w:rPr>
                <w:rFonts w:cs="Times New Roman"/>
                <w:sz w:val="20"/>
                <w:szCs w:val="18"/>
              </w:rPr>
              <w:t>4</w:t>
            </w:r>
            <w:r w:rsidRPr="00FC64BF">
              <w:rPr>
                <w:rFonts w:cs="Times New Roman"/>
                <w:sz w:val="20"/>
                <w:szCs w:val="18"/>
              </w:rPr>
              <w:t xml:space="preserve">. </w:t>
            </w:r>
          </w:p>
        </w:tc>
        <w:tc>
          <w:tcPr>
            <w:tcW w:w="3261" w:type="dxa"/>
            <w:vAlign w:val="center"/>
          </w:tcPr>
          <w:p w14:paraId="0F6E46A8" w14:textId="240EE0E5" w:rsidR="00BA7423" w:rsidRPr="00FC64BF" w:rsidRDefault="007969AF" w:rsidP="007969AF">
            <w:pPr>
              <w:jc w:val="center"/>
              <w:rPr>
                <w:rFonts w:cs="Times New Roman"/>
                <w:sz w:val="20"/>
                <w:szCs w:val="18"/>
              </w:rPr>
            </w:pPr>
            <w:r w:rsidRPr="00FC64BF">
              <w:rPr>
                <w:rFonts w:cs="Times New Roman"/>
                <w:sz w:val="20"/>
                <w:szCs w:val="18"/>
              </w:rPr>
              <w:t>20</w:t>
            </w:r>
          </w:p>
        </w:tc>
        <w:tc>
          <w:tcPr>
            <w:tcW w:w="1701" w:type="dxa"/>
            <w:vAlign w:val="center"/>
          </w:tcPr>
          <w:p w14:paraId="14995E52" w14:textId="7B24D5EA" w:rsidR="00BA7423" w:rsidRPr="00FC64BF" w:rsidRDefault="00BA7423" w:rsidP="002A04BF">
            <w:pPr>
              <w:jc w:val="center"/>
              <w:rPr>
                <w:rFonts w:cs="Times New Roman"/>
                <w:sz w:val="20"/>
                <w:szCs w:val="18"/>
              </w:rPr>
            </w:pPr>
          </w:p>
        </w:tc>
        <w:tc>
          <w:tcPr>
            <w:tcW w:w="1417" w:type="dxa"/>
            <w:vAlign w:val="center"/>
          </w:tcPr>
          <w:p w14:paraId="5AC4279C" w14:textId="77777777" w:rsidR="00BA7423" w:rsidRPr="00FC64BF" w:rsidRDefault="00BA7423" w:rsidP="002A04BF">
            <w:pPr>
              <w:jc w:val="center"/>
              <w:rPr>
                <w:rFonts w:cs="Times New Roman"/>
                <w:sz w:val="20"/>
                <w:szCs w:val="18"/>
              </w:rPr>
            </w:pPr>
          </w:p>
        </w:tc>
      </w:tr>
      <w:tr w:rsidR="00CE622A" w:rsidRPr="0071520E" w14:paraId="4AA942D8" w14:textId="77777777" w:rsidTr="00D353AE">
        <w:tc>
          <w:tcPr>
            <w:tcW w:w="2830" w:type="dxa"/>
            <w:shd w:val="clear" w:color="auto" w:fill="F2F2F2" w:themeFill="background1" w:themeFillShade="F2"/>
            <w:vAlign w:val="center"/>
          </w:tcPr>
          <w:p w14:paraId="078D6EED" w14:textId="4CD9F848" w:rsidR="00BA7423" w:rsidRPr="00FC64BF" w:rsidRDefault="00BA7423" w:rsidP="00F65D28">
            <w:pPr>
              <w:rPr>
                <w:rFonts w:cs="Times New Roman"/>
                <w:sz w:val="20"/>
                <w:szCs w:val="18"/>
              </w:rPr>
            </w:pPr>
            <w:r w:rsidRPr="00FC64BF">
              <w:rPr>
                <w:rFonts w:cs="Times New Roman"/>
                <w:sz w:val="20"/>
                <w:szCs w:val="18"/>
              </w:rPr>
              <w:t>Ostvareni ishodi za pokazatelje provedbe u 202</w:t>
            </w:r>
            <w:r w:rsidR="007969AF" w:rsidRPr="00FC64BF">
              <w:rPr>
                <w:rFonts w:cs="Times New Roman"/>
                <w:sz w:val="20"/>
                <w:szCs w:val="18"/>
              </w:rPr>
              <w:t>4</w:t>
            </w:r>
            <w:r w:rsidRPr="00FC64BF">
              <w:rPr>
                <w:rFonts w:cs="Times New Roman"/>
                <w:sz w:val="20"/>
                <w:szCs w:val="18"/>
              </w:rPr>
              <w:t>.</w:t>
            </w:r>
          </w:p>
        </w:tc>
        <w:tc>
          <w:tcPr>
            <w:tcW w:w="3261" w:type="dxa"/>
            <w:vAlign w:val="center"/>
          </w:tcPr>
          <w:p w14:paraId="57E537B0" w14:textId="651F54E8" w:rsidR="00BA7423" w:rsidRPr="00FC64BF" w:rsidRDefault="007969AF" w:rsidP="002A04BF">
            <w:pPr>
              <w:jc w:val="center"/>
              <w:rPr>
                <w:rFonts w:cs="Times New Roman"/>
                <w:sz w:val="20"/>
                <w:szCs w:val="18"/>
                <w:highlight w:val="yellow"/>
              </w:rPr>
            </w:pPr>
            <w:r w:rsidRPr="00FC64BF">
              <w:rPr>
                <w:rFonts w:cs="Times New Roman"/>
                <w:sz w:val="20"/>
                <w:szCs w:val="18"/>
              </w:rPr>
              <w:t>21</w:t>
            </w:r>
          </w:p>
        </w:tc>
        <w:tc>
          <w:tcPr>
            <w:tcW w:w="1701" w:type="dxa"/>
            <w:vAlign w:val="center"/>
          </w:tcPr>
          <w:p w14:paraId="0F96409E" w14:textId="69295FC7" w:rsidR="00BA7423" w:rsidRPr="00FC64BF" w:rsidRDefault="00BA7423" w:rsidP="002A04BF">
            <w:pPr>
              <w:jc w:val="center"/>
              <w:rPr>
                <w:rFonts w:cs="Times New Roman"/>
                <w:sz w:val="20"/>
                <w:szCs w:val="18"/>
                <w:highlight w:val="yellow"/>
              </w:rPr>
            </w:pPr>
          </w:p>
        </w:tc>
        <w:tc>
          <w:tcPr>
            <w:tcW w:w="1417" w:type="dxa"/>
            <w:vAlign w:val="center"/>
          </w:tcPr>
          <w:p w14:paraId="1239B389" w14:textId="77777777" w:rsidR="00BA7423" w:rsidRPr="00FC64BF" w:rsidRDefault="00BA7423" w:rsidP="002A04BF">
            <w:pPr>
              <w:jc w:val="center"/>
              <w:rPr>
                <w:rFonts w:eastAsia="Calibri" w:cs="Times New Roman"/>
                <w:sz w:val="20"/>
                <w:szCs w:val="18"/>
              </w:rPr>
            </w:pPr>
          </w:p>
        </w:tc>
      </w:tr>
      <w:tr w:rsidR="00CE622A" w:rsidRPr="0071520E" w14:paraId="11B8A495" w14:textId="77777777" w:rsidTr="00D353AE">
        <w:tc>
          <w:tcPr>
            <w:tcW w:w="2830" w:type="dxa"/>
            <w:shd w:val="clear" w:color="auto" w:fill="F2F2F2" w:themeFill="background1" w:themeFillShade="F2"/>
            <w:vAlign w:val="center"/>
          </w:tcPr>
          <w:p w14:paraId="5A763B86" w14:textId="77777777" w:rsidR="00BA7423" w:rsidRPr="00FC64BF" w:rsidRDefault="00BA7423" w:rsidP="002A04BF">
            <w:pPr>
              <w:rPr>
                <w:rFonts w:cs="Times New Roman"/>
                <w:b/>
                <w:sz w:val="20"/>
                <w:szCs w:val="18"/>
              </w:rPr>
            </w:pPr>
            <w:r w:rsidRPr="00FC64BF">
              <w:rPr>
                <w:rFonts w:cs="Times New Roman"/>
                <w:b/>
                <w:sz w:val="20"/>
                <w:szCs w:val="18"/>
              </w:rPr>
              <w:t xml:space="preserve">IZVORI FINANCIRANJA </w:t>
            </w:r>
          </w:p>
        </w:tc>
        <w:tc>
          <w:tcPr>
            <w:tcW w:w="3261" w:type="dxa"/>
            <w:vAlign w:val="center"/>
          </w:tcPr>
          <w:p w14:paraId="04D66278" w14:textId="77777777" w:rsidR="00BA7423" w:rsidRPr="00FC64BF" w:rsidRDefault="00BA7423" w:rsidP="002A04BF">
            <w:pPr>
              <w:jc w:val="center"/>
              <w:rPr>
                <w:rFonts w:cs="Times New Roman"/>
                <w:b/>
                <w:sz w:val="20"/>
                <w:szCs w:val="18"/>
              </w:rPr>
            </w:pPr>
            <w:r w:rsidRPr="00FC64BF">
              <w:rPr>
                <w:rFonts w:cs="Times New Roman"/>
                <w:b/>
                <w:sz w:val="20"/>
                <w:szCs w:val="18"/>
              </w:rPr>
              <w:t>Državni proračun (EUR)</w:t>
            </w:r>
          </w:p>
        </w:tc>
        <w:tc>
          <w:tcPr>
            <w:tcW w:w="1701" w:type="dxa"/>
            <w:vAlign w:val="center"/>
          </w:tcPr>
          <w:p w14:paraId="2F8C4074" w14:textId="77777777" w:rsidR="00BA7423" w:rsidRPr="00FC64BF" w:rsidRDefault="00BA7423" w:rsidP="002A04BF">
            <w:pPr>
              <w:jc w:val="center"/>
              <w:rPr>
                <w:rFonts w:cs="Times New Roman"/>
                <w:b/>
                <w:sz w:val="20"/>
                <w:szCs w:val="18"/>
              </w:rPr>
            </w:pPr>
            <w:r w:rsidRPr="00FC64BF">
              <w:rPr>
                <w:rFonts w:cs="Times New Roman"/>
                <w:b/>
                <w:sz w:val="20"/>
                <w:szCs w:val="18"/>
              </w:rPr>
              <w:t>EU financiranje (EUR)</w:t>
            </w:r>
          </w:p>
        </w:tc>
        <w:tc>
          <w:tcPr>
            <w:tcW w:w="1417" w:type="dxa"/>
            <w:vAlign w:val="center"/>
          </w:tcPr>
          <w:p w14:paraId="32917816" w14:textId="77777777" w:rsidR="00BA7423" w:rsidRPr="00FC64BF" w:rsidRDefault="00BA7423" w:rsidP="002A04BF">
            <w:pPr>
              <w:jc w:val="center"/>
              <w:rPr>
                <w:rFonts w:cs="Times New Roman"/>
                <w:b/>
                <w:sz w:val="20"/>
                <w:szCs w:val="18"/>
              </w:rPr>
            </w:pPr>
            <w:r w:rsidRPr="00FC64BF">
              <w:rPr>
                <w:rFonts w:cs="Times New Roman"/>
                <w:b/>
                <w:sz w:val="20"/>
                <w:szCs w:val="18"/>
              </w:rPr>
              <w:t>Drugi izvori (EUR)</w:t>
            </w:r>
          </w:p>
        </w:tc>
      </w:tr>
      <w:tr w:rsidR="00CE622A" w:rsidRPr="0071520E" w14:paraId="5672ADFE" w14:textId="77777777" w:rsidTr="00D353AE">
        <w:tc>
          <w:tcPr>
            <w:tcW w:w="2830" w:type="dxa"/>
            <w:shd w:val="clear" w:color="auto" w:fill="F2F2F2" w:themeFill="background1" w:themeFillShade="F2"/>
            <w:vAlign w:val="center"/>
          </w:tcPr>
          <w:p w14:paraId="738EB1A1" w14:textId="6116CEE0" w:rsidR="00BA7423" w:rsidRPr="00FC64BF" w:rsidRDefault="00BA7423" w:rsidP="00F65D28">
            <w:pPr>
              <w:rPr>
                <w:rFonts w:cs="Times New Roman"/>
                <w:sz w:val="20"/>
                <w:szCs w:val="18"/>
              </w:rPr>
            </w:pPr>
            <w:r w:rsidRPr="00FC64BF">
              <w:rPr>
                <w:rFonts w:cs="Times New Roman"/>
                <w:sz w:val="20"/>
                <w:szCs w:val="18"/>
              </w:rPr>
              <w:t>Izvori financiranja u 202</w:t>
            </w:r>
            <w:r w:rsidR="007969AF" w:rsidRPr="00FC64BF">
              <w:rPr>
                <w:rFonts w:cs="Times New Roman"/>
                <w:sz w:val="20"/>
                <w:szCs w:val="18"/>
              </w:rPr>
              <w:t>4</w:t>
            </w:r>
            <w:r w:rsidRPr="00FC64BF">
              <w:rPr>
                <w:rFonts w:cs="Times New Roman"/>
                <w:sz w:val="20"/>
                <w:szCs w:val="18"/>
              </w:rPr>
              <w:t>. (proračunska pozicija i predviđeni iznos sredstava)</w:t>
            </w:r>
          </w:p>
        </w:tc>
        <w:tc>
          <w:tcPr>
            <w:tcW w:w="3261" w:type="dxa"/>
            <w:vAlign w:val="center"/>
          </w:tcPr>
          <w:p w14:paraId="04C806EC" w14:textId="6431814E" w:rsidR="001B2437" w:rsidRPr="00FC64BF" w:rsidRDefault="005612A7" w:rsidP="002A04BF">
            <w:pPr>
              <w:jc w:val="center"/>
              <w:rPr>
                <w:rFonts w:cs="Times New Roman"/>
                <w:sz w:val="20"/>
                <w:szCs w:val="20"/>
              </w:rPr>
            </w:pPr>
            <w:r w:rsidRPr="00FC64BF">
              <w:rPr>
                <w:rFonts w:cs="Times New Roman"/>
                <w:sz w:val="20"/>
                <w:szCs w:val="20"/>
              </w:rPr>
              <w:t xml:space="preserve">K680054 - </w:t>
            </w:r>
            <w:r w:rsidR="004A57B1" w:rsidRPr="00FC64BF">
              <w:rPr>
                <w:rFonts w:cs="Times New Roman"/>
                <w:sz w:val="20"/>
                <w:szCs w:val="20"/>
              </w:rPr>
              <w:t>Program za</w:t>
            </w:r>
            <w:r w:rsidR="00A9087D" w:rsidRPr="00FC64BF">
              <w:rPr>
                <w:rFonts w:cs="Times New Roman"/>
                <w:sz w:val="20"/>
                <w:szCs w:val="20"/>
              </w:rPr>
              <w:t xml:space="preserve"> </w:t>
            </w:r>
            <w:r w:rsidR="004A57B1" w:rsidRPr="00FC64BF">
              <w:rPr>
                <w:rFonts w:cs="Times New Roman"/>
                <w:sz w:val="20"/>
                <w:szCs w:val="20"/>
              </w:rPr>
              <w:t>unapređenje</w:t>
            </w:r>
            <w:r w:rsidR="00A9087D" w:rsidRPr="00FC64BF">
              <w:rPr>
                <w:rFonts w:cs="Times New Roman"/>
                <w:sz w:val="20"/>
                <w:szCs w:val="20"/>
              </w:rPr>
              <w:t xml:space="preserve"> </w:t>
            </w:r>
            <w:r w:rsidR="004A57B1" w:rsidRPr="00FC64BF">
              <w:rPr>
                <w:rFonts w:cs="Times New Roman"/>
                <w:sz w:val="20"/>
                <w:szCs w:val="20"/>
              </w:rPr>
              <w:t>infrastrukture na</w:t>
            </w:r>
            <w:r w:rsidR="00A9087D" w:rsidRPr="00FC64BF">
              <w:rPr>
                <w:rFonts w:cs="Times New Roman"/>
                <w:sz w:val="20"/>
                <w:szCs w:val="20"/>
              </w:rPr>
              <w:t xml:space="preserve"> </w:t>
            </w:r>
            <w:r w:rsidR="004A57B1" w:rsidRPr="00FC64BF">
              <w:rPr>
                <w:rFonts w:cs="Times New Roman"/>
                <w:sz w:val="20"/>
                <w:szCs w:val="20"/>
              </w:rPr>
              <w:t>područjima naseljenim</w:t>
            </w:r>
            <w:r w:rsidR="00A9087D" w:rsidRPr="00FC64BF">
              <w:rPr>
                <w:rFonts w:cs="Times New Roman"/>
                <w:sz w:val="20"/>
                <w:szCs w:val="20"/>
              </w:rPr>
              <w:t xml:space="preserve"> </w:t>
            </w:r>
            <w:r w:rsidR="004A57B1" w:rsidRPr="00FC64BF">
              <w:rPr>
                <w:rFonts w:cs="Times New Roman"/>
                <w:sz w:val="20"/>
                <w:szCs w:val="20"/>
              </w:rPr>
              <w:t>pripadnicima romske</w:t>
            </w:r>
            <w:r w:rsidR="00A9087D" w:rsidRPr="00FC64BF">
              <w:rPr>
                <w:rFonts w:cs="Times New Roman"/>
                <w:sz w:val="20"/>
                <w:szCs w:val="20"/>
              </w:rPr>
              <w:t xml:space="preserve"> </w:t>
            </w:r>
            <w:r w:rsidR="004A57B1" w:rsidRPr="00FC64BF">
              <w:rPr>
                <w:rFonts w:cs="Times New Roman"/>
                <w:sz w:val="20"/>
                <w:szCs w:val="20"/>
              </w:rPr>
              <w:t>nacionalne manjine</w:t>
            </w:r>
          </w:p>
          <w:p w14:paraId="1E30C46E" w14:textId="6026B2BB" w:rsidR="00BA7423" w:rsidRPr="00FC64BF" w:rsidRDefault="007969AF" w:rsidP="00F77EEB">
            <w:pPr>
              <w:jc w:val="center"/>
              <w:rPr>
                <w:rFonts w:cs="Times New Roman"/>
                <w:sz w:val="20"/>
                <w:szCs w:val="20"/>
              </w:rPr>
            </w:pPr>
            <w:r w:rsidRPr="00FC64BF">
              <w:rPr>
                <w:sz w:val="20"/>
                <w:szCs w:val="20"/>
                <w:lang w:val="pt-BR"/>
              </w:rPr>
              <w:t>1.</w:t>
            </w:r>
            <w:r w:rsidR="00F77EEB">
              <w:rPr>
                <w:sz w:val="20"/>
                <w:szCs w:val="20"/>
                <w:lang w:val="pt-BR"/>
              </w:rPr>
              <w:t>282.051</w:t>
            </w:r>
            <w:r w:rsidRPr="00FC64BF">
              <w:rPr>
                <w:sz w:val="20"/>
                <w:szCs w:val="20"/>
                <w:lang w:val="pt-BR"/>
              </w:rPr>
              <w:t xml:space="preserve">,00 </w:t>
            </w:r>
          </w:p>
        </w:tc>
        <w:tc>
          <w:tcPr>
            <w:tcW w:w="1701" w:type="dxa"/>
            <w:vAlign w:val="center"/>
          </w:tcPr>
          <w:p w14:paraId="4FEC793D" w14:textId="77777777" w:rsidR="00BA7423" w:rsidRPr="00FC64BF" w:rsidRDefault="00BA7423" w:rsidP="002A04BF">
            <w:pPr>
              <w:jc w:val="center"/>
              <w:rPr>
                <w:rFonts w:cs="Times New Roman"/>
                <w:sz w:val="20"/>
                <w:szCs w:val="18"/>
              </w:rPr>
            </w:pPr>
            <w:r w:rsidRPr="00FC64BF">
              <w:rPr>
                <w:rFonts w:cs="Times New Roman"/>
                <w:sz w:val="20"/>
                <w:szCs w:val="18"/>
              </w:rPr>
              <w:t>0,00</w:t>
            </w:r>
          </w:p>
        </w:tc>
        <w:tc>
          <w:tcPr>
            <w:tcW w:w="1417" w:type="dxa"/>
            <w:vAlign w:val="center"/>
          </w:tcPr>
          <w:p w14:paraId="3DF40BBA" w14:textId="77777777" w:rsidR="00BA7423" w:rsidRPr="00FC64BF" w:rsidRDefault="00BA7423" w:rsidP="002A04BF">
            <w:pPr>
              <w:jc w:val="center"/>
              <w:rPr>
                <w:rFonts w:cs="Times New Roman"/>
                <w:sz w:val="20"/>
                <w:szCs w:val="18"/>
              </w:rPr>
            </w:pPr>
            <w:r w:rsidRPr="00FC64BF">
              <w:rPr>
                <w:rFonts w:cs="Times New Roman"/>
                <w:sz w:val="20"/>
                <w:szCs w:val="18"/>
              </w:rPr>
              <w:t>0,00</w:t>
            </w:r>
          </w:p>
        </w:tc>
      </w:tr>
      <w:tr w:rsidR="00CE622A" w:rsidRPr="0071520E" w14:paraId="55D57637" w14:textId="77777777" w:rsidTr="00D353AE">
        <w:trPr>
          <w:trHeight w:val="172"/>
        </w:trPr>
        <w:tc>
          <w:tcPr>
            <w:tcW w:w="2830" w:type="dxa"/>
            <w:vMerge w:val="restart"/>
            <w:shd w:val="clear" w:color="auto" w:fill="F2F2F2" w:themeFill="background1" w:themeFillShade="F2"/>
            <w:vAlign w:val="center"/>
          </w:tcPr>
          <w:p w14:paraId="0889D7CC" w14:textId="77777777" w:rsidR="00BA7423" w:rsidRPr="00FC64BF" w:rsidRDefault="00BA7423" w:rsidP="002A04BF">
            <w:pPr>
              <w:rPr>
                <w:rFonts w:cs="Times New Roman"/>
                <w:b/>
                <w:sz w:val="20"/>
                <w:szCs w:val="18"/>
              </w:rPr>
            </w:pPr>
            <w:r w:rsidRPr="00FC64BF">
              <w:rPr>
                <w:rFonts w:cs="Times New Roman"/>
                <w:b/>
                <w:sz w:val="20"/>
                <w:szCs w:val="18"/>
              </w:rPr>
              <w:t xml:space="preserve">UKUPNO UTROŠENA SREDSTVA PO IZVORU </w:t>
            </w:r>
          </w:p>
        </w:tc>
        <w:tc>
          <w:tcPr>
            <w:tcW w:w="3261" w:type="dxa"/>
            <w:vAlign w:val="center"/>
          </w:tcPr>
          <w:p w14:paraId="2B285D84" w14:textId="77777777" w:rsidR="00BA7423" w:rsidRPr="00FC64BF" w:rsidRDefault="00BA7423" w:rsidP="002A04BF">
            <w:pPr>
              <w:jc w:val="center"/>
              <w:rPr>
                <w:rFonts w:cs="Times New Roman"/>
                <w:b/>
                <w:sz w:val="20"/>
                <w:szCs w:val="20"/>
              </w:rPr>
            </w:pPr>
            <w:r w:rsidRPr="00FC64BF">
              <w:rPr>
                <w:rFonts w:cs="Times New Roman"/>
                <w:b/>
                <w:sz w:val="20"/>
                <w:szCs w:val="20"/>
              </w:rPr>
              <w:t>Državni proračun (EUR)</w:t>
            </w:r>
          </w:p>
        </w:tc>
        <w:tc>
          <w:tcPr>
            <w:tcW w:w="1701" w:type="dxa"/>
            <w:vAlign w:val="center"/>
          </w:tcPr>
          <w:p w14:paraId="46985177" w14:textId="77777777" w:rsidR="00BA7423" w:rsidRPr="00FC64BF" w:rsidRDefault="00BA7423" w:rsidP="002A04BF">
            <w:pPr>
              <w:jc w:val="center"/>
              <w:rPr>
                <w:rFonts w:cs="Times New Roman"/>
                <w:b/>
                <w:sz w:val="20"/>
                <w:szCs w:val="18"/>
              </w:rPr>
            </w:pPr>
            <w:r w:rsidRPr="00FC64BF">
              <w:rPr>
                <w:rFonts w:cs="Times New Roman"/>
                <w:b/>
                <w:sz w:val="20"/>
                <w:szCs w:val="18"/>
              </w:rPr>
              <w:t>EU financiranje (EUR)</w:t>
            </w:r>
          </w:p>
        </w:tc>
        <w:tc>
          <w:tcPr>
            <w:tcW w:w="1417" w:type="dxa"/>
            <w:vAlign w:val="center"/>
          </w:tcPr>
          <w:p w14:paraId="5C7A2B21" w14:textId="77777777" w:rsidR="00BA7423" w:rsidRPr="00FC64BF" w:rsidRDefault="00BA7423" w:rsidP="002A04BF">
            <w:pPr>
              <w:jc w:val="center"/>
              <w:rPr>
                <w:rFonts w:cs="Times New Roman"/>
                <w:b/>
                <w:sz w:val="20"/>
                <w:szCs w:val="18"/>
              </w:rPr>
            </w:pPr>
            <w:r w:rsidRPr="00FC64BF">
              <w:rPr>
                <w:rFonts w:cs="Times New Roman"/>
                <w:b/>
                <w:sz w:val="20"/>
                <w:szCs w:val="18"/>
              </w:rPr>
              <w:t>Drugi izvori (EUR)</w:t>
            </w:r>
          </w:p>
        </w:tc>
      </w:tr>
      <w:tr w:rsidR="00CE622A" w:rsidRPr="0071520E" w14:paraId="7C391EA0" w14:textId="77777777" w:rsidTr="00D353AE">
        <w:tc>
          <w:tcPr>
            <w:tcW w:w="2830" w:type="dxa"/>
            <w:vMerge/>
            <w:shd w:val="clear" w:color="auto" w:fill="F2F2F2" w:themeFill="background1" w:themeFillShade="F2"/>
            <w:vAlign w:val="center"/>
          </w:tcPr>
          <w:p w14:paraId="79250507" w14:textId="77777777" w:rsidR="00BA7423" w:rsidRPr="00FC64BF" w:rsidRDefault="00BA7423" w:rsidP="002A04BF">
            <w:pPr>
              <w:rPr>
                <w:rFonts w:cs="Times New Roman"/>
                <w:b/>
                <w:sz w:val="20"/>
                <w:szCs w:val="18"/>
              </w:rPr>
            </w:pPr>
          </w:p>
        </w:tc>
        <w:tc>
          <w:tcPr>
            <w:tcW w:w="3261" w:type="dxa"/>
            <w:vAlign w:val="center"/>
          </w:tcPr>
          <w:p w14:paraId="5CF308EC" w14:textId="6F8DA7D9" w:rsidR="00A9087D" w:rsidRPr="00FC64BF" w:rsidRDefault="005612A7" w:rsidP="002A04BF">
            <w:pPr>
              <w:jc w:val="center"/>
              <w:rPr>
                <w:rFonts w:eastAsia="Calibri" w:cs="Times New Roman"/>
                <w:sz w:val="20"/>
                <w:szCs w:val="20"/>
              </w:rPr>
            </w:pPr>
            <w:r w:rsidRPr="00FC64BF">
              <w:rPr>
                <w:rFonts w:eastAsia="Calibri" w:cs="Times New Roman"/>
                <w:sz w:val="20"/>
                <w:szCs w:val="20"/>
              </w:rPr>
              <w:t>K680054 -</w:t>
            </w:r>
            <w:r w:rsidR="004A57B1" w:rsidRPr="00FC64BF">
              <w:rPr>
                <w:rFonts w:eastAsia="Calibri" w:cs="Times New Roman"/>
                <w:sz w:val="20"/>
                <w:szCs w:val="20"/>
              </w:rPr>
              <w:t xml:space="preserve"> Program za</w:t>
            </w:r>
            <w:r w:rsidR="00A9087D" w:rsidRPr="00FC64BF">
              <w:rPr>
                <w:rFonts w:eastAsia="Calibri" w:cs="Times New Roman"/>
                <w:sz w:val="20"/>
                <w:szCs w:val="20"/>
              </w:rPr>
              <w:t xml:space="preserve"> </w:t>
            </w:r>
            <w:r w:rsidR="004A57B1" w:rsidRPr="00FC64BF">
              <w:rPr>
                <w:rFonts w:eastAsia="Calibri" w:cs="Times New Roman"/>
                <w:sz w:val="20"/>
                <w:szCs w:val="20"/>
              </w:rPr>
              <w:t>unapređenje</w:t>
            </w:r>
            <w:r w:rsidR="00A9087D" w:rsidRPr="00FC64BF">
              <w:rPr>
                <w:rFonts w:eastAsia="Calibri" w:cs="Times New Roman"/>
                <w:sz w:val="20"/>
                <w:szCs w:val="20"/>
              </w:rPr>
              <w:t xml:space="preserve"> </w:t>
            </w:r>
            <w:r w:rsidR="004A57B1" w:rsidRPr="00FC64BF">
              <w:rPr>
                <w:rFonts w:eastAsia="Calibri" w:cs="Times New Roman"/>
                <w:sz w:val="20"/>
                <w:szCs w:val="20"/>
              </w:rPr>
              <w:t>infrastrukture na</w:t>
            </w:r>
            <w:r w:rsidR="00A9087D" w:rsidRPr="00FC64BF">
              <w:rPr>
                <w:rFonts w:eastAsia="Calibri" w:cs="Times New Roman"/>
                <w:sz w:val="20"/>
                <w:szCs w:val="20"/>
              </w:rPr>
              <w:t xml:space="preserve"> p</w:t>
            </w:r>
            <w:r w:rsidR="004A57B1" w:rsidRPr="00FC64BF">
              <w:rPr>
                <w:rFonts w:eastAsia="Calibri" w:cs="Times New Roman"/>
                <w:sz w:val="20"/>
                <w:szCs w:val="20"/>
              </w:rPr>
              <w:t>odručjima naseljenim</w:t>
            </w:r>
            <w:r w:rsidR="00A9087D" w:rsidRPr="00FC64BF">
              <w:rPr>
                <w:rFonts w:eastAsia="Calibri" w:cs="Times New Roman"/>
                <w:sz w:val="20"/>
                <w:szCs w:val="20"/>
              </w:rPr>
              <w:t xml:space="preserve"> </w:t>
            </w:r>
            <w:r w:rsidR="004A57B1" w:rsidRPr="00FC64BF">
              <w:rPr>
                <w:rFonts w:eastAsia="Calibri" w:cs="Times New Roman"/>
                <w:sz w:val="20"/>
                <w:szCs w:val="20"/>
              </w:rPr>
              <w:t>pripadnicima romske</w:t>
            </w:r>
            <w:r w:rsidR="00A9087D" w:rsidRPr="00FC64BF">
              <w:rPr>
                <w:rFonts w:eastAsia="Calibri" w:cs="Times New Roman"/>
                <w:sz w:val="20"/>
                <w:szCs w:val="20"/>
              </w:rPr>
              <w:t xml:space="preserve"> </w:t>
            </w:r>
            <w:r w:rsidR="004A57B1" w:rsidRPr="00FC64BF">
              <w:rPr>
                <w:rFonts w:eastAsia="Calibri" w:cs="Times New Roman"/>
                <w:sz w:val="20"/>
                <w:szCs w:val="20"/>
              </w:rPr>
              <w:t>nacionalne manjine</w:t>
            </w:r>
          </w:p>
          <w:p w14:paraId="30D990A3" w14:textId="47A3A0DA" w:rsidR="00BA7423" w:rsidRPr="003203D0" w:rsidRDefault="00BA7423" w:rsidP="00F77EEB">
            <w:pPr>
              <w:jc w:val="center"/>
              <w:rPr>
                <w:rFonts w:eastAsia="Calibri" w:cs="Times New Roman"/>
                <w:b/>
                <w:sz w:val="20"/>
                <w:szCs w:val="20"/>
              </w:rPr>
            </w:pPr>
            <w:r w:rsidRPr="003203D0">
              <w:rPr>
                <w:rFonts w:eastAsia="Calibri" w:cs="Times New Roman"/>
                <w:b/>
                <w:sz w:val="20"/>
                <w:szCs w:val="20"/>
              </w:rPr>
              <w:t xml:space="preserve"> </w:t>
            </w:r>
            <w:r w:rsidR="00F77EEB" w:rsidRPr="00F77EEB">
              <w:rPr>
                <w:rFonts w:eastAsia="Calibri" w:cs="Times New Roman"/>
                <w:b/>
                <w:sz w:val="20"/>
                <w:szCs w:val="20"/>
                <w:lang w:val="pt-BR"/>
              </w:rPr>
              <w:t>1.076.220,07</w:t>
            </w:r>
          </w:p>
        </w:tc>
        <w:tc>
          <w:tcPr>
            <w:tcW w:w="1701" w:type="dxa"/>
            <w:vAlign w:val="center"/>
          </w:tcPr>
          <w:p w14:paraId="258E91BC" w14:textId="77777777" w:rsidR="00BA7423" w:rsidRPr="00FC64BF" w:rsidRDefault="00BA7423" w:rsidP="002A04BF">
            <w:pPr>
              <w:jc w:val="center"/>
              <w:rPr>
                <w:rFonts w:cs="Times New Roman"/>
                <w:sz w:val="20"/>
                <w:szCs w:val="18"/>
              </w:rPr>
            </w:pPr>
            <w:r w:rsidRPr="00FC64BF">
              <w:rPr>
                <w:rFonts w:cs="Times New Roman"/>
                <w:sz w:val="20"/>
                <w:szCs w:val="18"/>
              </w:rPr>
              <w:t>0,00</w:t>
            </w:r>
          </w:p>
        </w:tc>
        <w:tc>
          <w:tcPr>
            <w:tcW w:w="1417" w:type="dxa"/>
            <w:vAlign w:val="center"/>
          </w:tcPr>
          <w:p w14:paraId="6979AEF0" w14:textId="77777777" w:rsidR="00BA7423" w:rsidRPr="00FC64BF" w:rsidRDefault="00BA7423" w:rsidP="002A04BF">
            <w:pPr>
              <w:jc w:val="center"/>
              <w:rPr>
                <w:rFonts w:cs="Times New Roman"/>
                <w:sz w:val="20"/>
                <w:szCs w:val="18"/>
              </w:rPr>
            </w:pPr>
            <w:r w:rsidRPr="00FC64BF">
              <w:rPr>
                <w:rFonts w:cs="Times New Roman"/>
                <w:sz w:val="20"/>
                <w:szCs w:val="18"/>
              </w:rPr>
              <w:t xml:space="preserve">0,00 </w:t>
            </w:r>
          </w:p>
        </w:tc>
      </w:tr>
      <w:tr w:rsidR="00CE622A" w:rsidRPr="0071520E" w14:paraId="66333E4A" w14:textId="77777777" w:rsidTr="00B66CD2">
        <w:trPr>
          <w:trHeight w:val="328"/>
        </w:trPr>
        <w:tc>
          <w:tcPr>
            <w:tcW w:w="2830" w:type="dxa"/>
            <w:shd w:val="clear" w:color="auto" w:fill="F2F2F2" w:themeFill="background1" w:themeFillShade="F2"/>
            <w:vAlign w:val="center"/>
          </w:tcPr>
          <w:p w14:paraId="7E76667A" w14:textId="6FFBD541" w:rsidR="00BA7423" w:rsidRPr="00FC64BF" w:rsidRDefault="00BA7423" w:rsidP="002A04BF">
            <w:pPr>
              <w:rPr>
                <w:rFonts w:cs="Times New Roman"/>
                <w:sz w:val="20"/>
                <w:szCs w:val="18"/>
              </w:rPr>
            </w:pPr>
            <w:r w:rsidRPr="00FC64BF">
              <w:rPr>
                <w:rFonts w:cs="Times New Roman"/>
                <w:sz w:val="20"/>
                <w:szCs w:val="18"/>
              </w:rPr>
              <w:t>ROK PROVEDBE</w:t>
            </w:r>
            <w:r w:rsidR="00C62C50" w:rsidRPr="00FC64BF">
              <w:rPr>
                <w:rFonts w:cs="Times New Roman"/>
                <w:sz w:val="20"/>
                <w:szCs w:val="18"/>
              </w:rPr>
              <w:t xml:space="preserve"> </w:t>
            </w:r>
            <w:r w:rsidRPr="00FC64BF">
              <w:rPr>
                <w:rFonts w:cs="Times New Roman"/>
                <w:sz w:val="20"/>
                <w:szCs w:val="18"/>
              </w:rPr>
              <w:t>AKTIVNOSTI</w:t>
            </w:r>
          </w:p>
        </w:tc>
        <w:tc>
          <w:tcPr>
            <w:tcW w:w="6379" w:type="dxa"/>
            <w:gridSpan w:val="3"/>
            <w:vAlign w:val="center"/>
          </w:tcPr>
          <w:p w14:paraId="1F46478A" w14:textId="77777777" w:rsidR="00BA7423" w:rsidRPr="00FC64BF" w:rsidRDefault="00BA7423" w:rsidP="002A04BF">
            <w:pPr>
              <w:rPr>
                <w:rFonts w:cs="Times New Roman"/>
                <w:sz w:val="20"/>
                <w:szCs w:val="18"/>
              </w:rPr>
            </w:pPr>
            <w:r w:rsidRPr="00FC64BF">
              <w:rPr>
                <w:rFonts w:cs="Times New Roman"/>
                <w:sz w:val="20"/>
                <w:szCs w:val="18"/>
              </w:rPr>
              <w:t xml:space="preserve">IV. kvartal 2025. </w:t>
            </w:r>
          </w:p>
        </w:tc>
      </w:tr>
      <w:bookmarkEnd w:id="57"/>
    </w:tbl>
    <w:p w14:paraId="275B87CB" w14:textId="77777777" w:rsidR="004E56FD" w:rsidRDefault="004E56FD" w:rsidP="004A3B23">
      <w:pPr>
        <w:spacing w:after="0" w:line="276" w:lineRule="auto"/>
        <w:jc w:val="both"/>
        <w:rPr>
          <w:rFonts w:cs="Times New Roman"/>
          <w:szCs w:val="24"/>
        </w:rPr>
      </w:pPr>
    </w:p>
    <w:p w14:paraId="0834D5A4" w14:textId="77777777" w:rsidR="003379F1" w:rsidRPr="00FC64BF" w:rsidRDefault="003379F1" w:rsidP="004A3B23">
      <w:pPr>
        <w:spacing w:after="0" w:line="276" w:lineRule="auto"/>
        <w:jc w:val="both"/>
        <w:rPr>
          <w:rFonts w:cs="Times New Roman"/>
          <w:szCs w:val="24"/>
        </w:rPr>
      </w:pPr>
    </w:p>
    <w:p w14:paraId="63CA3B79" w14:textId="59A1D0A1" w:rsidR="00754E0C" w:rsidRPr="00FC64BF" w:rsidRDefault="0012364D" w:rsidP="00D36147">
      <w:pPr>
        <w:pStyle w:val="Heading2"/>
        <w:spacing w:before="0" w:line="276" w:lineRule="auto"/>
        <w:rPr>
          <w:rFonts w:cs="Times New Roman"/>
          <w:bCs/>
          <w:szCs w:val="24"/>
        </w:rPr>
      </w:pPr>
      <w:r w:rsidRPr="00FC64BF">
        <w:rPr>
          <w:rFonts w:cs="Times New Roman"/>
        </w:rPr>
        <w:t>Mjera 7.4. Osiguravanje pristupa vodi namijenjenoj za ljudsku potrošnju u kućanstvu</w:t>
      </w:r>
    </w:p>
    <w:p w14:paraId="768E1E05" w14:textId="77777777" w:rsidR="0019105E" w:rsidRPr="00FC64BF" w:rsidRDefault="0019105E" w:rsidP="004A3B23">
      <w:pPr>
        <w:spacing w:after="0" w:line="276" w:lineRule="auto"/>
        <w:jc w:val="both"/>
        <w:rPr>
          <w:rFonts w:cs="Times New Roman"/>
          <w:bCs/>
          <w:szCs w:val="24"/>
        </w:rPr>
      </w:pPr>
    </w:p>
    <w:p w14:paraId="275D94BE" w14:textId="5B1A782A" w:rsidR="005C1C25" w:rsidRPr="00CE622A" w:rsidRDefault="0012364D" w:rsidP="004D43A3">
      <w:pPr>
        <w:spacing w:after="0" w:line="276" w:lineRule="auto"/>
        <w:jc w:val="both"/>
        <w:rPr>
          <w:rFonts w:cs="Times New Roman"/>
          <w:b/>
          <w:bCs/>
          <w:color w:val="FF0000"/>
          <w:szCs w:val="24"/>
        </w:rPr>
      </w:pPr>
      <w:r w:rsidRPr="00FC64BF">
        <w:rPr>
          <w:rFonts w:cs="Times New Roman"/>
          <w:bCs/>
          <w:szCs w:val="24"/>
        </w:rPr>
        <w:t>Nema planiranih aktivnosti u ovom Akcijskom planu.</w:t>
      </w:r>
      <w:r w:rsidR="004D43A3" w:rsidRPr="00FC64BF">
        <w:rPr>
          <w:rFonts w:cs="Times New Roman"/>
          <w:bCs/>
          <w:szCs w:val="24"/>
        </w:rPr>
        <w:t xml:space="preserve"> </w:t>
      </w:r>
      <w:bookmarkStart w:id="58" w:name="_Toc132988322"/>
      <w:r w:rsidR="005C1C25" w:rsidRPr="00CE622A">
        <w:rPr>
          <w:rFonts w:cs="Times New Roman"/>
          <w:b/>
          <w:bCs/>
          <w:color w:val="FF0000"/>
          <w:szCs w:val="24"/>
        </w:rPr>
        <w:br w:type="page"/>
      </w:r>
    </w:p>
    <w:p w14:paraId="2C1B91D5" w14:textId="46E702A7" w:rsidR="001B6626" w:rsidRPr="008E12B0" w:rsidRDefault="006C3C00" w:rsidP="00D36147">
      <w:pPr>
        <w:spacing w:after="0" w:line="276" w:lineRule="auto"/>
        <w:jc w:val="both"/>
        <w:rPr>
          <w:rFonts w:cs="Times New Roman"/>
          <w:b/>
          <w:bCs/>
          <w:szCs w:val="24"/>
        </w:rPr>
      </w:pPr>
      <w:r w:rsidRPr="008E12B0">
        <w:rPr>
          <w:rFonts w:cs="Times New Roman"/>
          <w:b/>
          <w:bCs/>
          <w:szCs w:val="24"/>
        </w:rPr>
        <w:lastRenderedPageBreak/>
        <w:t>ZAKLJUČAK</w:t>
      </w:r>
    </w:p>
    <w:p w14:paraId="2162E673" w14:textId="77777777" w:rsidR="008E12B0" w:rsidRPr="00DA235D" w:rsidRDefault="008E12B0" w:rsidP="00D36147">
      <w:pPr>
        <w:spacing w:after="0" w:line="276" w:lineRule="auto"/>
        <w:jc w:val="both"/>
        <w:rPr>
          <w:rFonts w:cs="Times New Roman"/>
          <w:szCs w:val="24"/>
        </w:rPr>
      </w:pPr>
    </w:p>
    <w:p w14:paraId="2E1A43DF" w14:textId="3EFE24A8" w:rsidR="001B6626" w:rsidRPr="008E12B0" w:rsidRDefault="008E12B0" w:rsidP="004A3B23">
      <w:pPr>
        <w:spacing w:after="0" w:line="276" w:lineRule="auto"/>
        <w:jc w:val="both"/>
        <w:rPr>
          <w:rFonts w:cs="Times New Roman"/>
          <w:szCs w:val="24"/>
        </w:rPr>
      </w:pPr>
      <w:r w:rsidRPr="00DA235D">
        <w:rPr>
          <w:rFonts w:cs="Times New Roman"/>
          <w:szCs w:val="24"/>
        </w:rPr>
        <w:t>S</w:t>
      </w:r>
      <w:r w:rsidR="001B6626" w:rsidRPr="00DA235D">
        <w:rPr>
          <w:rFonts w:cs="Times New Roman"/>
          <w:szCs w:val="24"/>
        </w:rPr>
        <w:t xml:space="preserve">trateškim </w:t>
      </w:r>
      <w:r w:rsidR="001B6626" w:rsidRPr="008E12B0">
        <w:rPr>
          <w:rFonts w:cs="Times New Roman"/>
          <w:szCs w:val="24"/>
        </w:rPr>
        <w:t>okvirom za uključivanje Roma u Republici Hrvatskoj – Nacionalnim planom, koji je u potpunosti usklađen sa Strateškim okvirom Europske unije za ravnopravnost, uključivanje i sudjelovanje Roma do 2030.</w:t>
      </w:r>
      <w:r w:rsidR="00617EFC">
        <w:rPr>
          <w:rFonts w:cs="Times New Roman"/>
          <w:szCs w:val="24"/>
        </w:rPr>
        <w:t xml:space="preserve"> godine</w:t>
      </w:r>
      <w:r w:rsidR="001B6626" w:rsidRPr="008E12B0">
        <w:rPr>
          <w:rFonts w:cs="Times New Roman"/>
          <w:szCs w:val="24"/>
        </w:rPr>
        <w:t>, definirani su horizontalni i sektorski ciljevi za provedbu javne politike uključivanja Roma do 2027.</w:t>
      </w:r>
      <w:r w:rsidR="00617EFC">
        <w:rPr>
          <w:rFonts w:cs="Times New Roman"/>
          <w:szCs w:val="24"/>
        </w:rPr>
        <w:t xml:space="preserve"> godine.</w:t>
      </w:r>
      <w:r w:rsidR="001B6626" w:rsidRPr="008E12B0">
        <w:rPr>
          <w:rFonts w:cs="Times New Roman"/>
          <w:szCs w:val="24"/>
        </w:rPr>
        <w:t xml:space="preserve"> Dio politika je usmjeren na ključna sektorska područja – obrazovanje, zapošljavanje, zdravstvo i stanovanje, dok je u horizontalnim ciljevima fokus stavljen na borbu protiv antiromskog rasizma, smanjivanje siromaštva Roma i poticanje participacije Roma u svim segmentima javnog i društvenog života. </w:t>
      </w:r>
    </w:p>
    <w:p w14:paraId="40AA9662" w14:textId="77777777" w:rsidR="001B6626" w:rsidRPr="008E12B0" w:rsidRDefault="001B6626" w:rsidP="00D36147">
      <w:pPr>
        <w:spacing w:after="0" w:line="276" w:lineRule="auto"/>
        <w:jc w:val="both"/>
        <w:rPr>
          <w:rFonts w:cs="Times New Roman"/>
          <w:szCs w:val="24"/>
        </w:rPr>
      </w:pPr>
    </w:p>
    <w:p w14:paraId="6B57F54E" w14:textId="198A8F6C" w:rsidR="001B6626" w:rsidRPr="00BC7217" w:rsidRDefault="001B6626" w:rsidP="00D36147">
      <w:pPr>
        <w:spacing w:after="0" w:line="276" w:lineRule="auto"/>
        <w:jc w:val="both"/>
        <w:rPr>
          <w:rFonts w:cs="Times New Roman"/>
          <w:szCs w:val="24"/>
        </w:rPr>
      </w:pPr>
      <w:r w:rsidRPr="00BC7217">
        <w:rPr>
          <w:rFonts w:cs="Times New Roman"/>
          <w:szCs w:val="24"/>
        </w:rPr>
        <w:t>Akcijski plan prati strukturu Nacionalnog plana te se sastoji od 2</w:t>
      </w:r>
      <w:r w:rsidR="002F1CCB">
        <w:rPr>
          <w:rFonts w:cs="Times New Roman"/>
          <w:szCs w:val="24"/>
        </w:rPr>
        <w:t>0 mjera</w:t>
      </w:r>
      <w:r w:rsidRPr="00BC7217">
        <w:rPr>
          <w:rFonts w:cs="Times New Roman"/>
          <w:szCs w:val="24"/>
        </w:rPr>
        <w:t xml:space="preserve"> i 58 aktivnosti koje služe za ostvarenje sedam posebnih ciljeva. Od 24 mjere </w:t>
      </w:r>
      <w:r w:rsidR="002F1CCB">
        <w:rPr>
          <w:rFonts w:cs="Times New Roman"/>
          <w:szCs w:val="24"/>
        </w:rPr>
        <w:t>Nacionalnog plana,</w:t>
      </w:r>
      <w:r w:rsidRPr="00BC7217">
        <w:rPr>
          <w:rFonts w:cs="Times New Roman"/>
          <w:szCs w:val="24"/>
        </w:rPr>
        <w:t xml:space="preserve"> u ovom izvještajnom razdoblju 4 mjere nisu provođene (1 mjera u horizontalnom cilju smanjivanje siromaštva i socijalne isključenosti Roma kako bi se smanjio društveno – ekonomski jaz između Roma i opće populacije</w:t>
      </w:r>
      <w:r w:rsidR="00B330EB" w:rsidRPr="00BC7217">
        <w:rPr>
          <w:rFonts w:cs="Times New Roman"/>
          <w:szCs w:val="24"/>
        </w:rPr>
        <w:t xml:space="preserve">, 1 mjera na </w:t>
      </w:r>
      <w:r w:rsidRPr="00BC7217">
        <w:rPr>
          <w:rFonts w:cs="Times New Roman"/>
          <w:szCs w:val="24"/>
        </w:rPr>
        <w:t>područj</w:t>
      </w:r>
      <w:r w:rsidR="00B330EB" w:rsidRPr="00BC7217">
        <w:rPr>
          <w:rFonts w:cs="Times New Roman"/>
          <w:szCs w:val="24"/>
        </w:rPr>
        <w:t>u</w:t>
      </w:r>
      <w:r w:rsidRPr="00BC7217">
        <w:rPr>
          <w:rFonts w:cs="Times New Roman"/>
          <w:szCs w:val="24"/>
        </w:rPr>
        <w:t xml:space="preserve"> zapošljavanja i </w:t>
      </w:r>
      <w:r w:rsidR="00B330EB" w:rsidRPr="00BC7217">
        <w:rPr>
          <w:rFonts w:cs="Times New Roman"/>
          <w:szCs w:val="24"/>
        </w:rPr>
        <w:t xml:space="preserve">2 mjere na području </w:t>
      </w:r>
      <w:r w:rsidRPr="00BC7217">
        <w:rPr>
          <w:rFonts w:cs="Times New Roman"/>
          <w:szCs w:val="24"/>
        </w:rPr>
        <w:t xml:space="preserve">stanovanja. </w:t>
      </w:r>
      <w:r w:rsidR="002F1CCB" w:rsidRPr="002F1CCB">
        <w:rPr>
          <w:rFonts w:cs="Times New Roman"/>
          <w:szCs w:val="24"/>
        </w:rPr>
        <w:t xml:space="preserve">Za 20 mjera Akcijskog plana s planiranim aktivnostima, u ovom izvještajnom razdoblju, provedene su </w:t>
      </w:r>
      <w:r w:rsidR="002F1CCB">
        <w:rPr>
          <w:rFonts w:cs="Times New Roman"/>
          <w:szCs w:val="24"/>
        </w:rPr>
        <w:t>42</w:t>
      </w:r>
      <w:r w:rsidR="002F1CCB" w:rsidRPr="002F1CCB">
        <w:rPr>
          <w:rFonts w:cs="Times New Roman"/>
          <w:szCs w:val="24"/>
        </w:rPr>
        <w:t xml:space="preserve"> od 5</w:t>
      </w:r>
      <w:r w:rsidR="002F1CCB">
        <w:rPr>
          <w:rFonts w:cs="Times New Roman"/>
          <w:szCs w:val="24"/>
        </w:rPr>
        <w:t>8</w:t>
      </w:r>
      <w:r w:rsidR="002F1CCB" w:rsidRPr="002F1CCB">
        <w:rPr>
          <w:rFonts w:cs="Times New Roman"/>
          <w:szCs w:val="24"/>
        </w:rPr>
        <w:t xml:space="preserve"> planiranih aktivnosti, a 16 aktivnosti će se provoditi u 2025. godini</w:t>
      </w:r>
      <w:r w:rsidRPr="00BC7217">
        <w:rPr>
          <w:rFonts w:cs="Times New Roman"/>
          <w:szCs w:val="24"/>
        </w:rPr>
        <w:t>.</w:t>
      </w:r>
    </w:p>
    <w:p w14:paraId="286AAB05" w14:textId="77777777" w:rsidR="001B6626" w:rsidRPr="00CE5E92" w:rsidRDefault="001B6626" w:rsidP="00D36147">
      <w:pPr>
        <w:spacing w:after="0" w:line="276" w:lineRule="auto"/>
        <w:jc w:val="both"/>
        <w:rPr>
          <w:rFonts w:cs="Times New Roman"/>
        </w:rPr>
      </w:pPr>
    </w:p>
    <w:p w14:paraId="1F2FB80F" w14:textId="6EE0ACA0" w:rsidR="001B6626" w:rsidRPr="00CE5E92" w:rsidRDefault="001B6626" w:rsidP="00D36147">
      <w:pPr>
        <w:autoSpaceDE w:val="0"/>
        <w:autoSpaceDN w:val="0"/>
        <w:adjustRightInd w:val="0"/>
        <w:spacing w:after="0" w:line="276" w:lineRule="auto"/>
        <w:jc w:val="both"/>
        <w:rPr>
          <w:rFonts w:cs="Times New Roman"/>
          <w:spacing w:val="-1"/>
          <w:szCs w:val="24"/>
          <w:highlight w:val="yellow"/>
        </w:rPr>
      </w:pPr>
      <w:r w:rsidRPr="00CE5E92">
        <w:rPr>
          <w:rFonts w:cs="Times New Roman"/>
          <w:spacing w:val="-1"/>
          <w:szCs w:val="24"/>
        </w:rPr>
        <w:t xml:space="preserve">Izvješće navodi </w:t>
      </w:r>
      <w:r w:rsidR="008E12B0" w:rsidRPr="00CE5E92">
        <w:rPr>
          <w:rFonts w:cs="Times New Roman"/>
          <w:spacing w:val="-1"/>
          <w:szCs w:val="24"/>
        </w:rPr>
        <w:t>nastavak znatnih</w:t>
      </w:r>
      <w:r w:rsidRPr="00CE5E92">
        <w:rPr>
          <w:rFonts w:cs="Times New Roman"/>
          <w:spacing w:val="-1"/>
          <w:szCs w:val="24"/>
        </w:rPr>
        <w:t xml:space="preserve"> uspjeh</w:t>
      </w:r>
      <w:r w:rsidR="008E12B0" w:rsidRPr="00CE5E92">
        <w:rPr>
          <w:rFonts w:cs="Times New Roman"/>
          <w:spacing w:val="-1"/>
          <w:szCs w:val="24"/>
        </w:rPr>
        <w:t>a</w:t>
      </w:r>
      <w:r w:rsidRPr="00CE5E92">
        <w:rPr>
          <w:rFonts w:cs="Times New Roman"/>
          <w:spacing w:val="-1"/>
          <w:szCs w:val="24"/>
        </w:rPr>
        <w:t xml:space="preserve"> u područjima obrazovanja (primjerice, značajno povećanje broja </w:t>
      </w:r>
      <w:r w:rsidR="00CE5E92">
        <w:rPr>
          <w:rFonts w:cs="Times New Roman"/>
          <w:spacing w:val="-1"/>
          <w:szCs w:val="24"/>
        </w:rPr>
        <w:t xml:space="preserve">djece u vrtićima, </w:t>
      </w:r>
      <w:r w:rsidRPr="00CE5E92">
        <w:rPr>
          <w:rFonts w:cs="Times New Roman"/>
          <w:spacing w:val="-1"/>
          <w:szCs w:val="24"/>
        </w:rPr>
        <w:t xml:space="preserve">učenika koji pohađaju </w:t>
      </w:r>
      <w:r w:rsidR="00CE5E92">
        <w:rPr>
          <w:rFonts w:cs="Times New Roman"/>
          <w:spacing w:val="-1"/>
          <w:szCs w:val="24"/>
        </w:rPr>
        <w:t>produženi</w:t>
      </w:r>
      <w:r w:rsidRPr="00CE5E92">
        <w:rPr>
          <w:rFonts w:cs="Times New Roman"/>
          <w:spacing w:val="-1"/>
          <w:szCs w:val="24"/>
        </w:rPr>
        <w:t xml:space="preserve"> boravak i broja studenata pripadnika romske nacionalne manjine na što je svakako utjecalo i povećanje iznosa studentskih stipendija), unaprjeđenja uvjeta stanovanja </w:t>
      </w:r>
      <w:r w:rsidR="00CE5E92" w:rsidRPr="00CE5E92">
        <w:rPr>
          <w:rFonts w:cs="Times New Roman"/>
          <w:spacing w:val="-1"/>
          <w:szCs w:val="24"/>
        </w:rPr>
        <w:t xml:space="preserve">i infrastrukture </w:t>
      </w:r>
      <w:r w:rsidRPr="00CE5E92">
        <w:rPr>
          <w:rFonts w:cs="Times New Roman"/>
          <w:spacing w:val="-1"/>
          <w:szCs w:val="24"/>
        </w:rPr>
        <w:t xml:space="preserve">(nastavak Programa za unaprjeđenje infrastrukture na područjima naseljenim pripadnicima romske nacionalne manjine i nastavak provedbe godišnjih programa za poboljšanje uvjeta življenja pripadnika romske nacionalne manjine), </w:t>
      </w:r>
      <w:r w:rsidR="00CE5E92">
        <w:rPr>
          <w:rFonts w:cs="Times New Roman"/>
          <w:spacing w:val="-1"/>
          <w:szCs w:val="24"/>
        </w:rPr>
        <w:t>uvećana dostupna sredstva za pružanje primarne pravne pomoći, održivog zapošljavanja (</w:t>
      </w:r>
      <w:r w:rsidRPr="00CE5E92">
        <w:rPr>
          <w:rFonts w:cs="Times New Roman"/>
          <w:spacing w:val="-1"/>
          <w:szCs w:val="24"/>
        </w:rPr>
        <w:t xml:space="preserve">mjere Hrvatskog zavoda za zapošljavanje prilagođene potrebama tržišta rada) te brojne aktivnosti vezane uz očuvanje povijesnog sjećanja, romske tradicije i kulture, kao i </w:t>
      </w:r>
      <w:r w:rsidR="00CE5E92">
        <w:rPr>
          <w:rFonts w:cs="Times New Roman"/>
          <w:spacing w:val="-1"/>
          <w:szCs w:val="24"/>
        </w:rPr>
        <w:t xml:space="preserve">nadalje </w:t>
      </w:r>
      <w:r w:rsidRPr="00CE5E92">
        <w:rPr>
          <w:rFonts w:cs="Times New Roman"/>
          <w:spacing w:val="-1"/>
          <w:szCs w:val="24"/>
        </w:rPr>
        <w:t xml:space="preserve">znatno uvećanog financiranja romskih organizacija civilnog društva. </w:t>
      </w:r>
      <w:r w:rsidR="008E12B0" w:rsidRPr="00CE5E92">
        <w:rPr>
          <w:rFonts w:cs="Times New Roman"/>
          <w:spacing w:val="-1"/>
          <w:szCs w:val="24"/>
        </w:rPr>
        <w:t xml:space="preserve">Posebno je istaknuta važnost početka rada </w:t>
      </w:r>
      <w:r w:rsidR="00A85607" w:rsidRPr="0022301C">
        <w:rPr>
          <w:rFonts w:cs="Times New Roman"/>
        </w:rPr>
        <w:t>C</w:t>
      </w:r>
      <w:r w:rsidR="00A85607">
        <w:rPr>
          <w:rFonts w:cs="Times New Roman"/>
        </w:rPr>
        <w:t>PUZ</w:t>
      </w:r>
      <w:r w:rsidR="00A85607" w:rsidRPr="0022301C">
        <w:rPr>
          <w:rFonts w:cs="Times New Roman"/>
        </w:rPr>
        <w:t xml:space="preserve"> </w:t>
      </w:r>
      <w:r w:rsidR="008E12B0" w:rsidRPr="00CE5E92">
        <w:rPr>
          <w:rFonts w:cs="Times New Roman"/>
          <w:spacing w:val="-1"/>
          <w:szCs w:val="24"/>
        </w:rPr>
        <w:t xml:space="preserve"> Međimurje, novoosnovane državne ustanove socijalne skrbi koji je počeo s pružanjem socijalnih usluga za djecu bez odgovarajuće roditeljske skrbi, djecu s problemima u ponašanju i obiteljima u riziku.</w:t>
      </w:r>
    </w:p>
    <w:p w14:paraId="04B4D7BE" w14:textId="77777777" w:rsidR="001B6626" w:rsidRPr="00CE5E92" w:rsidRDefault="001B6626" w:rsidP="00D36147">
      <w:pPr>
        <w:spacing w:after="0" w:line="276" w:lineRule="auto"/>
        <w:jc w:val="both"/>
        <w:rPr>
          <w:rFonts w:cs="Times New Roman"/>
          <w:szCs w:val="24"/>
          <w:highlight w:val="yellow"/>
        </w:rPr>
      </w:pPr>
    </w:p>
    <w:p w14:paraId="747387D4" w14:textId="61D70823" w:rsidR="00CE5E92" w:rsidRDefault="001B6626" w:rsidP="00D36147">
      <w:pPr>
        <w:spacing w:after="0" w:line="276" w:lineRule="auto"/>
        <w:jc w:val="both"/>
        <w:rPr>
          <w:rFonts w:cs="Times New Roman"/>
          <w:szCs w:val="24"/>
        </w:rPr>
      </w:pPr>
      <w:r w:rsidRPr="00CE5E92">
        <w:rPr>
          <w:rFonts w:cs="Times New Roman"/>
          <w:szCs w:val="24"/>
        </w:rPr>
        <w:t xml:space="preserve">Također, potrebno je istaknuti </w:t>
      </w:r>
      <w:r w:rsidRPr="00CE5E92">
        <w:rPr>
          <w:rFonts w:cs="Times New Roman"/>
          <w:bCs/>
          <w:szCs w:val="24"/>
        </w:rPr>
        <w:t xml:space="preserve">i </w:t>
      </w:r>
      <w:r w:rsidR="008E12B0" w:rsidRPr="00CE5E92">
        <w:rPr>
          <w:rFonts w:cs="Times New Roman"/>
          <w:bCs/>
          <w:szCs w:val="24"/>
        </w:rPr>
        <w:t xml:space="preserve">rad </w:t>
      </w:r>
      <w:r w:rsidRPr="00CE5E92">
        <w:rPr>
          <w:rFonts w:cs="Times New Roman"/>
          <w:szCs w:val="24"/>
        </w:rPr>
        <w:t>Povjerenstva</w:t>
      </w:r>
      <w:r w:rsidR="008E12B0" w:rsidRPr="00CE5E92">
        <w:rPr>
          <w:rFonts w:cs="Times New Roman"/>
          <w:szCs w:val="24"/>
        </w:rPr>
        <w:t xml:space="preserve"> koje </w:t>
      </w:r>
      <w:r w:rsidR="00617EFC">
        <w:rPr>
          <w:rFonts w:cs="Times New Roman"/>
          <w:szCs w:val="24"/>
        </w:rPr>
        <w:t xml:space="preserve">je </w:t>
      </w:r>
      <w:r w:rsidR="008E12B0" w:rsidRPr="00CE5E92">
        <w:rPr>
          <w:rFonts w:cs="Times New Roman"/>
          <w:szCs w:val="24"/>
        </w:rPr>
        <w:t xml:space="preserve">održalo dvije sjednice, a Radna skupina </w:t>
      </w:r>
      <w:r w:rsidR="008E12B0" w:rsidRPr="008E12B0">
        <w:rPr>
          <w:rFonts w:cs="Times New Roman"/>
          <w:szCs w:val="24"/>
        </w:rPr>
        <w:t>Povjerenstva pet sastanaka</w:t>
      </w:r>
      <w:r w:rsidRPr="008E12B0">
        <w:rPr>
          <w:rFonts w:cs="Times New Roman"/>
          <w:szCs w:val="24"/>
        </w:rPr>
        <w:t xml:space="preserve">. Povjerenstvo </w:t>
      </w:r>
      <w:r w:rsidR="008E12B0" w:rsidRPr="008E12B0">
        <w:rPr>
          <w:rFonts w:cs="Times New Roman"/>
          <w:szCs w:val="24"/>
        </w:rPr>
        <w:t xml:space="preserve">je nastavilo </w:t>
      </w:r>
      <w:r w:rsidRPr="008E12B0">
        <w:rPr>
          <w:rFonts w:cs="Times New Roman"/>
          <w:szCs w:val="24"/>
        </w:rPr>
        <w:t>sufinancira</w:t>
      </w:r>
      <w:r w:rsidR="008E12B0">
        <w:rPr>
          <w:rFonts w:cs="Times New Roman"/>
          <w:szCs w:val="24"/>
        </w:rPr>
        <w:t xml:space="preserve">ti potrebe </w:t>
      </w:r>
      <w:r w:rsidR="00FE7B55">
        <w:rPr>
          <w:rFonts w:cs="Times New Roman"/>
          <w:szCs w:val="24"/>
        </w:rPr>
        <w:t>JLP(R)S</w:t>
      </w:r>
      <w:r w:rsidRPr="008E12B0">
        <w:rPr>
          <w:rFonts w:cs="Times New Roman"/>
          <w:szCs w:val="24"/>
        </w:rPr>
        <w:t xml:space="preserve"> usmjerene poboljšanju infrastrukturnih uvjeta, poticalo obrazovanje odraslih, kao i projekte organizacija civilnog društva</w:t>
      </w:r>
      <w:r w:rsidR="00CE5E92">
        <w:rPr>
          <w:rFonts w:cs="Times New Roman"/>
          <w:szCs w:val="24"/>
        </w:rPr>
        <w:t>. S</w:t>
      </w:r>
      <w:r w:rsidR="00CE5E92" w:rsidRPr="00CE5E92">
        <w:rPr>
          <w:rFonts w:cs="Times New Roman"/>
          <w:szCs w:val="24"/>
        </w:rPr>
        <w:t xml:space="preserve"> ciljem jačanja javnosti i transparentnosti rada Povjerenstva, </w:t>
      </w:r>
      <w:r w:rsidR="00CE5E92">
        <w:rPr>
          <w:rFonts w:cs="Times New Roman"/>
          <w:szCs w:val="24"/>
        </w:rPr>
        <w:t xml:space="preserve">Ured je </w:t>
      </w:r>
      <w:r w:rsidR="00CE5E92" w:rsidRPr="00CE5E92">
        <w:rPr>
          <w:rFonts w:cs="Times New Roman"/>
          <w:szCs w:val="24"/>
        </w:rPr>
        <w:t xml:space="preserve">priredio i objavio Javni poziv za su/financiranje pripreme i provedbe projekata/pojedinačnih aktivnosti udruga povezanih s ostvarivanjem ciljeva Nacionalnog plana </w:t>
      </w:r>
      <w:r w:rsidR="00CE5E92">
        <w:rPr>
          <w:rFonts w:cs="Times New Roman"/>
          <w:szCs w:val="24"/>
        </w:rPr>
        <w:t>temeljem kojega je potpisano šest ugovora.</w:t>
      </w:r>
    </w:p>
    <w:p w14:paraId="32749543" w14:textId="77777777" w:rsidR="001B6626" w:rsidRPr="00CE5E92" w:rsidRDefault="001B6626" w:rsidP="00D36147">
      <w:pPr>
        <w:spacing w:after="0" w:line="276" w:lineRule="auto"/>
        <w:jc w:val="both"/>
        <w:rPr>
          <w:rFonts w:cs="Times New Roman"/>
          <w:szCs w:val="24"/>
        </w:rPr>
      </w:pPr>
    </w:p>
    <w:p w14:paraId="16398B92" w14:textId="1160195C" w:rsidR="0019105E" w:rsidRPr="00CE5E92" w:rsidRDefault="001B6626" w:rsidP="00D36147">
      <w:pPr>
        <w:spacing w:after="0" w:line="276" w:lineRule="auto"/>
        <w:jc w:val="both"/>
        <w:rPr>
          <w:rFonts w:cs="Times New Roman"/>
          <w:szCs w:val="24"/>
        </w:rPr>
      </w:pPr>
      <w:r w:rsidRPr="00CE5E92">
        <w:rPr>
          <w:rFonts w:cs="Times New Roman"/>
          <w:szCs w:val="24"/>
        </w:rPr>
        <w:t>Nadalje, s obzirom na to da je Republika Hrvatska, sukladno Preporukama Vijeća EU i</w:t>
      </w:r>
      <w:r w:rsidR="0016441C" w:rsidRPr="00CE5E92">
        <w:rPr>
          <w:rFonts w:cs="Times New Roman"/>
          <w:szCs w:val="24"/>
        </w:rPr>
        <w:t xml:space="preserve"> Strateškom</w:t>
      </w:r>
      <w:r w:rsidRPr="00CE5E92">
        <w:rPr>
          <w:rFonts w:cs="Times New Roman"/>
          <w:szCs w:val="24"/>
        </w:rPr>
        <w:t xml:space="preserve"> </w:t>
      </w:r>
      <w:r w:rsidR="0016441C" w:rsidRPr="00CE5E92">
        <w:rPr>
          <w:rFonts w:cs="Times New Roman"/>
          <w:szCs w:val="24"/>
        </w:rPr>
        <w:t xml:space="preserve">okviru </w:t>
      </w:r>
      <w:r w:rsidRPr="00CE5E92">
        <w:rPr>
          <w:rFonts w:cs="Times New Roman"/>
          <w:szCs w:val="24"/>
        </w:rPr>
        <w:t>EU za jednakost, uključivanje i participaciju</w:t>
      </w:r>
      <w:r w:rsidR="0016441C" w:rsidRPr="00CE5E92">
        <w:rPr>
          <w:rFonts w:cs="Times New Roman"/>
          <w:szCs w:val="24"/>
        </w:rPr>
        <w:t xml:space="preserve"> Roma</w:t>
      </w:r>
      <w:r w:rsidRPr="00CE5E92">
        <w:rPr>
          <w:rFonts w:cs="Times New Roman"/>
          <w:szCs w:val="24"/>
        </w:rPr>
        <w:t>, dužna detaljno izvještavati Europsku komisiju o svim relevantnim aktivnostima poduzetim za ispunjavanje Preporuka, Ured je i za 202</w:t>
      </w:r>
      <w:r w:rsidR="00CE5E92" w:rsidRPr="00CE5E92">
        <w:rPr>
          <w:rFonts w:cs="Times New Roman"/>
          <w:szCs w:val="24"/>
        </w:rPr>
        <w:t>4</w:t>
      </w:r>
      <w:r w:rsidRPr="00CE5E92">
        <w:rPr>
          <w:rFonts w:cs="Times New Roman"/>
          <w:szCs w:val="24"/>
        </w:rPr>
        <w:t xml:space="preserve">. </w:t>
      </w:r>
      <w:r w:rsidR="00A85607">
        <w:rPr>
          <w:rFonts w:cs="Times New Roman"/>
          <w:szCs w:val="24"/>
        </w:rPr>
        <w:t xml:space="preserve">godinu </w:t>
      </w:r>
      <w:r w:rsidRPr="00CE5E92">
        <w:rPr>
          <w:rFonts w:cs="Times New Roman"/>
          <w:szCs w:val="24"/>
        </w:rPr>
        <w:t xml:space="preserve">prikupio podatke tijela </w:t>
      </w:r>
      <w:r w:rsidR="00FE7B55">
        <w:rPr>
          <w:rFonts w:cs="Times New Roman"/>
          <w:szCs w:val="24"/>
        </w:rPr>
        <w:t>JLP(R)S</w:t>
      </w:r>
      <w:r w:rsidRPr="00CE5E92">
        <w:rPr>
          <w:rFonts w:cs="Times New Roman"/>
          <w:szCs w:val="24"/>
        </w:rPr>
        <w:t xml:space="preserve"> </w:t>
      </w:r>
      <w:proofErr w:type="spellStart"/>
      <w:r w:rsidRPr="00CE5E92">
        <w:rPr>
          <w:rFonts w:cs="Times New Roman"/>
          <w:szCs w:val="24"/>
        </w:rPr>
        <w:t>s</w:t>
      </w:r>
      <w:proofErr w:type="spellEnd"/>
      <w:r w:rsidRPr="00CE5E92">
        <w:rPr>
          <w:rFonts w:cs="Times New Roman"/>
          <w:szCs w:val="24"/>
        </w:rPr>
        <w:t xml:space="preserve"> većim brojem </w:t>
      </w:r>
      <w:r w:rsidRPr="00CE5E92">
        <w:rPr>
          <w:rFonts w:cs="Times New Roman"/>
          <w:szCs w:val="24"/>
        </w:rPr>
        <w:lastRenderedPageBreak/>
        <w:t>pripadnika romske nacionalne manjine iz kojih je vidljivo da i na tim razinama postoje znatne investicije koje doprinose unaprjeđenju ukupne integracije pripadnika romske nacionalne manjine u Republici Hrvatskoj te smanjivanju jaza između pripadnika romske nacionalne manjine i ostatka populacije u ključnim područjima.</w:t>
      </w:r>
    </w:p>
    <w:p w14:paraId="3D8EECE7" w14:textId="792CB06D" w:rsidR="001B6626" w:rsidRPr="00585380" w:rsidRDefault="001B6626" w:rsidP="00D36147">
      <w:pPr>
        <w:spacing w:after="0" w:line="276" w:lineRule="auto"/>
        <w:jc w:val="both"/>
        <w:rPr>
          <w:rFonts w:cs="Times New Roman"/>
          <w:szCs w:val="24"/>
        </w:rPr>
      </w:pPr>
    </w:p>
    <w:p w14:paraId="2F233149" w14:textId="588EEA26" w:rsidR="001B6626" w:rsidRPr="00585380" w:rsidRDefault="001B6626" w:rsidP="00D36147">
      <w:pPr>
        <w:spacing w:after="0" w:line="276" w:lineRule="auto"/>
        <w:jc w:val="both"/>
        <w:rPr>
          <w:rFonts w:cs="Times New Roman"/>
        </w:rPr>
      </w:pPr>
      <w:r w:rsidRPr="00585380">
        <w:rPr>
          <w:rFonts w:cs="Times New Roman"/>
        </w:rPr>
        <w:t>No, i dalje zabrinjava nizak obuhvat učenika srednjih škola</w:t>
      </w:r>
      <w:r w:rsidR="00DF0F76" w:rsidRPr="00585380">
        <w:rPr>
          <w:rFonts w:cs="Times New Roman"/>
        </w:rPr>
        <w:t>, formiranje razrednih odjela koje pohađaju samo učenici pripadnici romske nacionalne manjine</w:t>
      </w:r>
      <w:r w:rsidRPr="00585380">
        <w:rPr>
          <w:rFonts w:cs="Times New Roman"/>
        </w:rPr>
        <w:t xml:space="preserve"> te jaz između Roma i Romkinja u zapošljavanju. </w:t>
      </w:r>
      <w:r w:rsidR="00585380">
        <w:rPr>
          <w:rFonts w:cs="Times New Roman"/>
        </w:rPr>
        <w:t xml:space="preserve">Stoga je i </w:t>
      </w:r>
      <w:r w:rsidRPr="00585380">
        <w:rPr>
          <w:rFonts w:cs="Times New Roman"/>
        </w:rPr>
        <w:t>u narednom razdoblju potrebno uložiti dodatne napore na područjima obrazovne i stambene segregacije.</w:t>
      </w:r>
    </w:p>
    <w:p w14:paraId="3B58ED6E" w14:textId="77777777" w:rsidR="0019105E" w:rsidRPr="00585380" w:rsidRDefault="0019105E" w:rsidP="00D36147">
      <w:pPr>
        <w:spacing w:after="0" w:line="276" w:lineRule="auto"/>
        <w:jc w:val="both"/>
        <w:rPr>
          <w:rFonts w:cs="Times New Roman"/>
          <w:bCs/>
          <w:szCs w:val="24"/>
        </w:rPr>
      </w:pPr>
    </w:p>
    <w:p w14:paraId="74268F6A" w14:textId="19F2F62F" w:rsidR="001B6626" w:rsidRPr="00585380" w:rsidRDefault="00585380" w:rsidP="004A3B23">
      <w:pPr>
        <w:spacing w:after="0" w:line="276" w:lineRule="auto"/>
        <w:jc w:val="both"/>
        <w:rPr>
          <w:rFonts w:cs="Times New Roman"/>
          <w:szCs w:val="24"/>
        </w:rPr>
      </w:pPr>
      <w:r w:rsidRPr="00585380">
        <w:rPr>
          <w:rFonts w:cs="Times New Roman"/>
          <w:szCs w:val="24"/>
        </w:rPr>
        <w:t>Z</w:t>
      </w:r>
      <w:r w:rsidR="001B6626" w:rsidRPr="00585380">
        <w:rPr>
          <w:rFonts w:cs="Times New Roman"/>
          <w:szCs w:val="24"/>
        </w:rPr>
        <w:t>a provođenje Akcijskog plana u 202</w:t>
      </w:r>
      <w:r w:rsidRPr="00585380">
        <w:rPr>
          <w:rFonts w:cs="Times New Roman"/>
          <w:szCs w:val="24"/>
        </w:rPr>
        <w:t>4</w:t>
      </w:r>
      <w:r w:rsidR="001B6626" w:rsidRPr="00585380">
        <w:rPr>
          <w:rFonts w:cs="Times New Roman"/>
          <w:szCs w:val="24"/>
        </w:rPr>
        <w:t xml:space="preserve">. </w:t>
      </w:r>
      <w:r w:rsidR="00A85607">
        <w:rPr>
          <w:rFonts w:cs="Times New Roman"/>
          <w:szCs w:val="24"/>
        </w:rPr>
        <w:t xml:space="preserve">godini </w:t>
      </w:r>
      <w:r w:rsidR="001B6626" w:rsidRPr="00585380">
        <w:rPr>
          <w:rFonts w:cs="Times New Roman"/>
          <w:szCs w:val="24"/>
        </w:rPr>
        <w:t>na pozicijama nadležnih tijela i nositelja mjera utrošena su sredstva u ukupnom iznosu od</w:t>
      </w:r>
      <w:r w:rsidRPr="00585380">
        <w:rPr>
          <w:rFonts w:cs="Times New Roman"/>
          <w:szCs w:val="24"/>
        </w:rPr>
        <w:t xml:space="preserve"> </w:t>
      </w:r>
      <w:r w:rsidR="00C7631B">
        <w:rPr>
          <w:rFonts w:cs="Times New Roman"/>
          <w:szCs w:val="24"/>
        </w:rPr>
        <w:t>7.733.952,01</w:t>
      </w:r>
      <w:r w:rsidR="00C7631B" w:rsidRPr="007D3AE6">
        <w:rPr>
          <w:rFonts w:cs="Times New Roman"/>
          <w:szCs w:val="24"/>
        </w:rPr>
        <w:t xml:space="preserve"> EUR</w:t>
      </w:r>
      <w:r w:rsidR="001B6626" w:rsidRPr="00585380">
        <w:rPr>
          <w:rFonts w:cs="Times New Roman"/>
          <w:szCs w:val="24"/>
        </w:rPr>
        <w:t xml:space="preserve"> te je zamjetno kako je razina utrošenih sredstava </w:t>
      </w:r>
      <w:r w:rsidR="000776DF">
        <w:rPr>
          <w:rFonts w:cs="Times New Roman"/>
          <w:szCs w:val="24"/>
        </w:rPr>
        <w:t>čak 5</w:t>
      </w:r>
      <w:r w:rsidR="00C7631B">
        <w:rPr>
          <w:rFonts w:cs="Times New Roman"/>
          <w:szCs w:val="24"/>
        </w:rPr>
        <w:t>1</w:t>
      </w:r>
      <w:r w:rsidR="000776DF">
        <w:rPr>
          <w:rFonts w:cs="Times New Roman"/>
          <w:szCs w:val="24"/>
        </w:rPr>
        <w:t>,</w:t>
      </w:r>
      <w:r w:rsidR="00C7631B">
        <w:rPr>
          <w:rFonts w:cs="Times New Roman"/>
          <w:szCs w:val="24"/>
        </w:rPr>
        <w:t>16</w:t>
      </w:r>
      <w:r w:rsidR="000776DF">
        <w:rPr>
          <w:rFonts w:cs="Times New Roman"/>
          <w:szCs w:val="24"/>
        </w:rPr>
        <w:t xml:space="preserve"> % </w:t>
      </w:r>
      <w:r w:rsidR="001B6626" w:rsidRPr="00585380">
        <w:rPr>
          <w:rFonts w:cs="Times New Roman"/>
          <w:szCs w:val="24"/>
        </w:rPr>
        <w:t>viša od razine utrošenih sredstava za provođenje Akcijskog plana u 202</w:t>
      </w:r>
      <w:r w:rsidRPr="00585380">
        <w:rPr>
          <w:rFonts w:cs="Times New Roman"/>
          <w:szCs w:val="24"/>
        </w:rPr>
        <w:t>3</w:t>
      </w:r>
      <w:r w:rsidR="001B6626" w:rsidRPr="00585380">
        <w:rPr>
          <w:rFonts w:cs="Times New Roman"/>
          <w:szCs w:val="24"/>
        </w:rPr>
        <w:t>.</w:t>
      </w:r>
      <w:r w:rsidR="00A85607">
        <w:rPr>
          <w:rFonts w:cs="Times New Roman"/>
          <w:szCs w:val="24"/>
        </w:rPr>
        <w:t xml:space="preserve"> godini</w:t>
      </w:r>
      <w:r w:rsidR="001B6626" w:rsidRPr="00585380">
        <w:rPr>
          <w:rFonts w:cs="Times New Roman"/>
          <w:szCs w:val="24"/>
        </w:rPr>
        <w:t xml:space="preserve"> (</w:t>
      </w:r>
      <w:r w:rsidRPr="00585380">
        <w:rPr>
          <w:rFonts w:cs="Times New Roman"/>
          <w:szCs w:val="24"/>
        </w:rPr>
        <w:t xml:space="preserve">5.116.399,66 </w:t>
      </w:r>
      <w:r w:rsidR="001B6626" w:rsidRPr="00585380">
        <w:rPr>
          <w:rFonts w:cs="Times New Roman"/>
          <w:szCs w:val="24"/>
        </w:rPr>
        <w:t>EUR)</w:t>
      </w:r>
      <w:r w:rsidRPr="00585380">
        <w:rPr>
          <w:rFonts w:cs="Times New Roman"/>
          <w:szCs w:val="24"/>
        </w:rPr>
        <w:t>. Uz to, u</w:t>
      </w:r>
      <w:r w:rsidR="001B6626" w:rsidRPr="00585380">
        <w:rPr>
          <w:rFonts w:cs="Times New Roman"/>
          <w:szCs w:val="24"/>
        </w:rPr>
        <w:t xml:space="preserve"> ova sredstva nisu uračunate znatne investicije na lokalnoj i područnoj razini, sredstva nadležnih tijela u okviru redovitih aktivnosti i aktivnosti sufinanciranih sredstvima fondova EU za koje se ne vodi statistika u odnosu na etničku pripadnost korisnika. Također, početak provedbe projekata planiranih u okviru ESF+ </w:t>
      </w:r>
      <w:r w:rsidR="008902E3" w:rsidRPr="00585380">
        <w:rPr>
          <w:rFonts w:cs="Times New Roman"/>
          <w:lang w:eastAsia="hr-HR"/>
        </w:rPr>
        <w:t xml:space="preserve">iz Programa </w:t>
      </w:r>
      <w:r w:rsidR="00AA0E5E">
        <w:rPr>
          <w:rFonts w:cs="Times New Roman"/>
          <w:lang w:eastAsia="hr-HR"/>
        </w:rPr>
        <w:t>„</w:t>
      </w:r>
      <w:r w:rsidR="008902E3" w:rsidRPr="00585380">
        <w:rPr>
          <w:rFonts w:cs="Times New Roman"/>
          <w:lang w:eastAsia="hr-HR"/>
        </w:rPr>
        <w:t>Učinkoviti ljudski potencijali 2021.</w:t>
      </w:r>
      <w:r w:rsidR="00AA0E5E">
        <w:rPr>
          <w:rFonts w:cs="Times New Roman"/>
          <w:lang w:eastAsia="hr-HR"/>
        </w:rPr>
        <w:t xml:space="preserve"> </w:t>
      </w:r>
      <w:r w:rsidR="008902E3" w:rsidRPr="00585380">
        <w:rPr>
          <w:rFonts w:cs="Times New Roman"/>
          <w:lang w:eastAsia="hr-HR"/>
        </w:rPr>
        <w:t>-</w:t>
      </w:r>
      <w:r w:rsidR="00AA0E5E">
        <w:rPr>
          <w:rFonts w:cs="Times New Roman"/>
          <w:lang w:eastAsia="hr-HR"/>
        </w:rPr>
        <w:t xml:space="preserve"> </w:t>
      </w:r>
      <w:r w:rsidR="008902E3" w:rsidRPr="00585380">
        <w:rPr>
          <w:rFonts w:cs="Times New Roman"/>
          <w:lang w:eastAsia="hr-HR"/>
        </w:rPr>
        <w:t>2027.</w:t>
      </w:r>
      <w:r w:rsidR="00AA0E5E">
        <w:rPr>
          <w:rFonts w:cs="Times New Roman"/>
          <w:lang w:eastAsia="hr-HR"/>
        </w:rPr>
        <w:t>“</w:t>
      </w:r>
      <w:r w:rsidR="008902E3" w:rsidRPr="00585380">
        <w:rPr>
          <w:rFonts w:cs="Times New Roman"/>
          <w:lang w:eastAsia="hr-HR"/>
        </w:rPr>
        <w:t xml:space="preserve"> </w:t>
      </w:r>
      <w:r w:rsidR="001B6626" w:rsidRPr="00585380">
        <w:rPr>
          <w:rFonts w:cs="Times New Roman"/>
          <w:szCs w:val="24"/>
        </w:rPr>
        <w:t>očekuje se tijekom 202</w:t>
      </w:r>
      <w:r w:rsidRPr="00585380">
        <w:rPr>
          <w:rFonts w:cs="Times New Roman"/>
          <w:szCs w:val="24"/>
        </w:rPr>
        <w:t>5</w:t>
      </w:r>
      <w:r w:rsidR="001B6626" w:rsidRPr="00585380">
        <w:rPr>
          <w:rFonts w:cs="Times New Roman"/>
          <w:szCs w:val="24"/>
        </w:rPr>
        <w:t>.</w:t>
      </w:r>
      <w:r w:rsidR="00617EFC">
        <w:rPr>
          <w:rFonts w:cs="Times New Roman"/>
          <w:szCs w:val="24"/>
        </w:rPr>
        <w:t xml:space="preserve"> </w:t>
      </w:r>
      <w:r w:rsidR="007B3EB4">
        <w:rPr>
          <w:rFonts w:cs="Times New Roman"/>
          <w:szCs w:val="24"/>
        </w:rPr>
        <w:t xml:space="preserve">i 2026. </w:t>
      </w:r>
      <w:r w:rsidR="00A85607">
        <w:rPr>
          <w:rFonts w:cs="Times New Roman"/>
          <w:szCs w:val="24"/>
        </w:rPr>
        <w:t xml:space="preserve">godine </w:t>
      </w:r>
      <w:r w:rsidR="001B6626" w:rsidRPr="00585380">
        <w:rPr>
          <w:rFonts w:cs="Times New Roman"/>
          <w:szCs w:val="24"/>
        </w:rPr>
        <w:t>kao i značajni porast udjela EU sredstava u ukupnoj provedbi Akcijskog plana u 202</w:t>
      </w:r>
      <w:r w:rsidRPr="00585380">
        <w:rPr>
          <w:rFonts w:cs="Times New Roman"/>
          <w:szCs w:val="24"/>
        </w:rPr>
        <w:t>5</w:t>
      </w:r>
      <w:r w:rsidR="001B6626" w:rsidRPr="00585380">
        <w:rPr>
          <w:rFonts w:cs="Times New Roman"/>
          <w:szCs w:val="24"/>
        </w:rPr>
        <w:t xml:space="preserve">. </w:t>
      </w:r>
      <w:r w:rsidR="00A85607">
        <w:rPr>
          <w:rFonts w:cs="Times New Roman"/>
          <w:szCs w:val="24"/>
        </w:rPr>
        <w:t>godini.</w:t>
      </w:r>
    </w:p>
    <w:p w14:paraId="0658C3CE" w14:textId="2E1C40C3" w:rsidR="001B6626" w:rsidRDefault="001B6626" w:rsidP="00D36147">
      <w:pPr>
        <w:spacing w:after="0" w:line="276" w:lineRule="auto"/>
        <w:jc w:val="both"/>
        <w:rPr>
          <w:rFonts w:cs="Times New Roman"/>
          <w:szCs w:val="24"/>
        </w:rPr>
      </w:pPr>
    </w:p>
    <w:p w14:paraId="26FF273C" w14:textId="4AE455DF" w:rsidR="007C5FA7" w:rsidRPr="007C5FA7" w:rsidRDefault="007C5FA7" w:rsidP="007C5FA7">
      <w:pPr>
        <w:spacing w:after="0" w:line="276" w:lineRule="auto"/>
        <w:jc w:val="both"/>
        <w:rPr>
          <w:rFonts w:cs="Times New Roman"/>
          <w:bCs/>
          <w:szCs w:val="24"/>
        </w:rPr>
      </w:pPr>
      <w:r>
        <w:rPr>
          <w:rFonts w:cs="Times New Roman"/>
          <w:szCs w:val="24"/>
        </w:rPr>
        <w:t xml:space="preserve">Važno je napomenuti kako su </w:t>
      </w:r>
      <w:r w:rsidRPr="007C5FA7">
        <w:rPr>
          <w:rFonts w:cs="Times New Roman"/>
          <w:szCs w:val="24"/>
        </w:rPr>
        <w:t>za komplementarne aktivnosti koje se provode u okviru Operativnog programa romske nacionalne manjine u 2024. utrošena sredstva u ukupnom iznosu od 7.725.165,</w:t>
      </w:r>
      <w:r w:rsidR="002A3EED">
        <w:rPr>
          <w:rFonts w:cs="Times New Roman"/>
          <w:szCs w:val="24"/>
        </w:rPr>
        <w:t>87</w:t>
      </w:r>
      <w:r w:rsidRPr="007C5FA7">
        <w:rPr>
          <w:rFonts w:cs="Times New Roman"/>
          <w:szCs w:val="24"/>
        </w:rPr>
        <w:t xml:space="preserve"> EUR. Zaključno se navodi kako je za unaprjeđenje položaja pripadnika romske nacionalne manjine u 2024. godini iz državnog proračuna utrošeno 15.</w:t>
      </w:r>
      <w:r w:rsidR="00A90DD9">
        <w:rPr>
          <w:rFonts w:cs="Times New Roman"/>
          <w:szCs w:val="24"/>
        </w:rPr>
        <w:t>459</w:t>
      </w:r>
      <w:r w:rsidRPr="007C5FA7">
        <w:rPr>
          <w:rFonts w:cs="Times New Roman"/>
          <w:szCs w:val="24"/>
        </w:rPr>
        <w:t>.</w:t>
      </w:r>
      <w:r w:rsidR="00A90DD9">
        <w:rPr>
          <w:rFonts w:cs="Times New Roman"/>
          <w:szCs w:val="24"/>
        </w:rPr>
        <w:t>117,</w:t>
      </w:r>
      <w:r w:rsidR="002A3EED">
        <w:rPr>
          <w:rFonts w:cs="Times New Roman"/>
          <w:szCs w:val="24"/>
        </w:rPr>
        <w:t>88</w:t>
      </w:r>
      <w:r w:rsidRPr="007C5FA7">
        <w:rPr>
          <w:rFonts w:cs="Times New Roman"/>
          <w:szCs w:val="24"/>
        </w:rPr>
        <w:t xml:space="preserve"> EUR. </w:t>
      </w:r>
    </w:p>
    <w:p w14:paraId="7468DAE7" w14:textId="77777777" w:rsidR="001B6626" w:rsidRPr="007C5FA7" w:rsidRDefault="001B6626" w:rsidP="00D36147">
      <w:pPr>
        <w:spacing w:after="0" w:line="276" w:lineRule="auto"/>
        <w:jc w:val="both"/>
        <w:rPr>
          <w:rFonts w:cs="Times New Roman"/>
        </w:rPr>
      </w:pPr>
    </w:p>
    <w:p w14:paraId="61DA850F" w14:textId="3A62FEDB" w:rsidR="004D43A3" w:rsidRPr="007C5FA7" w:rsidRDefault="001B6626" w:rsidP="00D36147">
      <w:pPr>
        <w:spacing w:after="0" w:line="276" w:lineRule="auto"/>
        <w:jc w:val="both"/>
        <w:rPr>
          <w:rFonts w:cs="Times New Roman"/>
          <w:szCs w:val="24"/>
        </w:rPr>
      </w:pPr>
      <w:r w:rsidRPr="007C5FA7">
        <w:rPr>
          <w:rFonts w:cs="Times New Roman"/>
        </w:rPr>
        <w:t>Konačno, treba istaknuti kako o</w:t>
      </w:r>
      <w:r w:rsidRPr="007C5FA7">
        <w:rPr>
          <w:rFonts w:cs="Times New Roman"/>
          <w:szCs w:val="24"/>
        </w:rPr>
        <w:t>pseg aktivnosti i iskorištenih sredstva državnog proračuna govore u prilog kontinuiranoj predanosti Vlade Republike Hrvatske za poduzimanje aktivnosti kojima se poboljšava položaj pripadnika romske nacionalne manjine i smanjivanje jaza koji je još uvijek zamjetan između romske zajednice i većinskog stanovništva u Republici Hrvatskoj.</w:t>
      </w:r>
    </w:p>
    <w:p w14:paraId="02D7DB39" w14:textId="77777777" w:rsidR="004D43A3" w:rsidRPr="007C5FA7" w:rsidRDefault="004D43A3">
      <w:pPr>
        <w:rPr>
          <w:rFonts w:cs="Times New Roman"/>
          <w:szCs w:val="24"/>
        </w:rPr>
      </w:pPr>
      <w:r w:rsidRPr="007C5FA7">
        <w:rPr>
          <w:rFonts w:cs="Times New Roman"/>
          <w:szCs w:val="24"/>
        </w:rPr>
        <w:br w:type="page"/>
      </w:r>
    </w:p>
    <w:bookmarkEnd w:id="54"/>
    <w:bookmarkEnd w:id="58"/>
    <w:p w14:paraId="3D3A5478" w14:textId="70AAFFE9" w:rsidR="00490D6B" w:rsidRPr="005726C1" w:rsidRDefault="006C3C00" w:rsidP="00D36147">
      <w:pPr>
        <w:pStyle w:val="Heading2"/>
        <w:spacing w:before="0" w:line="276" w:lineRule="auto"/>
        <w:jc w:val="both"/>
        <w:rPr>
          <w:rFonts w:cs="Times New Roman"/>
        </w:rPr>
      </w:pPr>
      <w:r w:rsidRPr="005726C1">
        <w:rPr>
          <w:rFonts w:cs="Times New Roman"/>
          <w:bCs/>
        </w:rPr>
        <w:lastRenderedPageBreak/>
        <w:t xml:space="preserve">PRILOG </w:t>
      </w:r>
      <w:r w:rsidR="002C4064" w:rsidRPr="005726C1">
        <w:rPr>
          <w:rFonts w:cs="Times New Roman"/>
          <w:bCs/>
        </w:rPr>
        <w:t>1</w:t>
      </w:r>
      <w:r w:rsidRPr="005726C1">
        <w:rPr>
          <w:rFonts w:cs="Times New Roman"/>
          <w:bCs/>
        </w:rPr>
        <w:t xml:space="preserve">.: </w:t>
      </w:r>
      <w:r w:rsidR="00AD0D0D" w:rsidRPr="005726C1">
        <w:rPr>
          <w:rFonts w:cs="Times New Roman"/>
          <w:bCs/>
        </w:rPr>
        <w:t>SAŽETAK</w:t>
      </w:r>
      <w:r w:rsidR="00AD0D0D" w:rsidRPr="005726C1">
        <w:rPr>
          <w:rFonts w:cs="Times New Roman"/>
        </w:rPr>
        <w:t xml:space="preserve"> </w:t>
      </w:r>
      <w:r w:rsidR="00490D6B" w:rsidRPr="005726C1">
        <w:rPr>
          <w:rFonts w:cs="Times New Roman"/>
        </w:rPr>
        <w:t>IZVJEŠĆA JEDINICA LOKALNE I PODRUČNE</w:t>
      </w:r>
      <w:r w:rsidRPr="005726C1">
        <w:rPr>
          <w:rFonts w:cs="Times New Roman"/>
        </w:rPr>
        <w:t xml:space="preserve"> </w:t>
      </w:r>
      <w:r w:rsidR="00490D6B" w:rsidRPr="005726C1">
        <w:rPr>
          <w:rFonts w:cs="Times New Roman"/>
        </w:rPr>
        <w:t>(REGIONALNE) SAMOUPRAVE</w:t>
      </w:r>
    </w:p>
    <w:p w14:paraId="511C9AE3" w14:textId="77777777" w:rsidR="001D7217" w:rsidRPr="005726C1" w:rsidRDefault="001D7217" w:rsidP="00D36147">
      <w:pPr>
        <w:spacing w:after="0" w:line="276" w:lineRule="auto"/>
      </w:pPr>
    </w:p>
    <w:p w14:paraId="6281103E" w14:textId="4D81EF11" w:rsidR="00615489" w:rsidRPr="005726C1" w:rsidRDefault="00490D6B" w:rsidP="00615489">
      <w:pPr>
        <w:spacing w:after="0" w:line="276" w:lineRule="auto"/>
        <w:jc w:val="both"/>
        <w:rPr>
          <w:rFonts w:cs="Times New Roman"/>
          <w:szCs w:val="24"/>
        </w:rPr>
      </w:pPr>
      <w:bookmarkStart w:id="59" w:name="_Hlk171605716"/>
      <w:r w:rsidRPr="005726C1">
        <w:rPr>
          <w:rFonts w:cs="Times New Roman"/>
          <w:szCs w:val="24"/>
        </w:rPr>
        <w:t xml:space="preserve">S obzirom da je Republika Hrvatska, sukladno Preporukama Vijeća EU i Okviru EU za jednakost, uključivanje i participaciju, dužna detaljno izvještavati Europsku komisiju o svim relevantnim aktivnostima poduzetim za ispunjavanje Preporuka, </w:t>
      </w:r>
      <w:r w:rsidR="00841CC7">
        <w:rPr>
          <w:rFonts w:cs="Times New Roman"/>
          <w:szCs w:val="24"/>
        </w:rPr>
        <w:t>Ured</w:t>
      </w:r>
      <w:r w:rsidR="007D7633" w:rsidRPr="005726C1">
        <w:rPr>
          <w:rFonts w:cs="Times New Roman"/>
          <w:szCs w:val="24"/>
        </w:rPr>
        <w:t xml:space="preserve"> </w:t>
      </w:r>
      <w:r w:rsidRPr="005726C1">
        <w:rPr>
          <w:rFonts w:cs="Times New Roman"/>
          <w:szCs w:val="24"/>
        </w:rPr>
        <w:t>je i za 202</w:t>
      </w:r>
      <w:r w:rsidR="009C1333">
        <w:rPr>
          <w:rFonts w:cs="Times New Roman"/>
          <w:szCs w:val="24"/>
        </w:rPr>
        <w:t>4</w:t>
      </w:r>
      <w:r w:rsidRPr="005726C1">
        <w:rPr>
          <w:rFonts w:cs="Times New Roman"/>
          <w:szCs w:val="24"/>
        </w:rPr>
        <w:t xml:space="preserve">. </w:t>
      </w:r>
      <w:r w:rsidR="00D853A4">
        <w:rPr>
          <w:rFonts w:cs="Times New Roman"/>
          <w:szCs w:val="24"/>
        </w:rPr>
        <w:t xml:space="preserve">godinu </w:t>
      </w:r>
      <w:r w:rsidR="00615489" w:rsidRPr="005726C1">
        <w:rPr>
          <w:rFonts w:cs="Times New Roman"/>
          <w:szCs w:val="24"/>
        </w:rPr>
        <w:t>putem Upitnika,</w:t>
      </w:r>
      <w:r w:rsidRPr="005726C1">
        <w:rPr>
          <w:rFonts w:cs="Times New Roman"/>
          <w:szCs w:val="24"/>
        </w:rPr>
        <w:t xml:space="preserve"> </w:t>
      </w:r>
      <w:r w:rsidR="00615489" w:rsidRPr="005726C1">
        <w:rPr>
          <w:rFonts w:cs="Times New Roman"/>
          <w:szCs w:val="24"/>
        </w:rPr>
        <w:t xml:space="preserve">zatražio </w:t>
      </w:r>
      <w:r w:rsidRPr="005726C1">
        <w:rPr>
          <w:rFonts w:cs="Times New Roman"/>
          <w:szCs w:val="24"/>
        </w:rPr>
        <w:t>podatke</w:t>
      </w:r>
      <w:r w:rsidR="00615489" w:rsidRPr="005726C1">
        <w:rPr>
          <w:rFonts w:cs="Times New Roman"/>
          <w:szCs w:val="24"/>
        </w:rPr>
        <w:t xml:space="preserve"> o provedbi Nacionalnog plana.</w:t>
      </w:r>
    </w:p>
    <w:p w14:paraId="2405BB2C" w14:textId="77777777" w:rsidR="001D7217" w:rsidRPr="005726C1" w:rsidRDefault="001D7217" w:rsidP="00D36147">
      <w:pPr>
        <w:spacing w:after="0" w:line="276" w:lineRule="auto"/>
        <w:jc w:val="both"/>
        <w:rPr>
          <w:rFonts w:cs="Times New Roman"/>
          <w:szCs w:val="24"/>
        </w:rPr>
      </w:pPr>
    </w:p>
    <w:p w14:paraId="6E304482" w14:textId="77777777" w:rsidR="00B93481" w:rsidRPr="005726C1" w:rsidRDefault="00B26D83" w:rsidP="00D36147">
      <w:pPr>
        <w:spacing w:after="0" w:line="276" w:lineRule="auto"/>
        <w:jc w:val="both"/>
        <w:rPr>
          <w:rFonts w:cs="Times New Roman"/>
          <w:szCs w:val="24"/>
        </w:rPr>
      </w:pPr>
      <w:r w:rsidRPr="005726C1">
        <w:rPr>
          <w:rFonts w:cs="Times New Roman"/>
          <w:szCs w:val="24"/>
        </w:rPr>
        <w:t xml:space="preserve">Upitnik </w:t>
      </w:r>
      <w:r w:rsidR="002E0FC0" w:rsidRPr="005726C1">
        <w:rPr>
          <w:rFonts w:cs="Times New Roman"/>
          <w:szCs w:val="24"/>
        </w:rPr>
        <w:t>s</w:t>
      </w:r>
      <w:r w:rsidRPr="005726C1">
        <w:rPr>
          <w:rFonts w:cs="Times New Roman"/>
          <w:szCs w:val="24"/>
        </w:rPr>
        <w:t xml:space="preserve">e </w:t>
      </w:r>
      <w:r w:rsidR="00343119" w:rsidRPr="005726C1">
        <w:rPr>
          <w:rFonts w:cs="Times New Roman"/>
          <w:szCs w:val="24"/>
        </w:rPr>
        <w:t>sastojao od</w:t>
      </w:r>
      <w:r w:rsidR="002B7F16" w:rsidRPr="005726C1">
        <w:rPr>
          <w:rFonts w:cs="Times New Roman"/>
          <w:szCs w:val="24"/>
        </w:rPr>
        <w:t xml:space="preserve"> </w:t>
      </w:r>
      <w:r w:rsidR="00AC5BDF" w:rsidRPr="005726C1">
        <w:rPr>
          <w:rFonts w:cs="Times New Roman"/>
          <w:szCs w:val="24"/>
        </w:rPr>
        <w:t>sedam pitanja</w:t>
      </w:r>
      <w:r w:rsidR="00615489" w:rsidRPr="005726C1">
        <w:rPr>
          <w:rFonts w:cs="Times New Roman"/>
          <w:szCs w:val="24"/>
        </w:rPr>
        <w:t xml:space="preserve"> otvorenog tipa</w:t>
      </w:r>
      <w:r w:rsidR="00AC5BDF" w:rsidRPr="005726C1">
        <w:rPr>
          <w:rFonts w:cs="Times New Roman"/>
          <w:szCs w:val="24"/>
        </w:rPr>
        <w:t xml:space="preserve"> koja su</w:t>
      </w:r>
      <w:r w:rsidR="00615489" w:rsidRPr="005726C1">
        <w:rPr>
          <w:rFonts w:cs="Times New Roman"/>
          <w:szCs w:val="24"/>
        </w:rPr>
        <w:t xml:space="preserve"> uključivala:</w:t>
      </w:r>
      <w:r w:rsidR="00AC5BDF" w:rsidRPr="005726C1">
        <w:rPr>
          <w:rFonts w:cs="Times New Roman"/>
          <w:szCs w:val="24"/>
        </w:rPr>
        <w:t xml:space="preserve"> </w:t>
      </w:r>
    </w:p>
    <w:p w14:paraId="1D587980" w14:textId="45A1AD28" w:rsidR="00B93481" w:rsidRPr="005726C1" w:rsidRDefault="006265E7" w:rsidP="00FC64BF">
      <w:pPr>
        <w:pStyle w:val="ListParagraph"/>
        <w:numPr>
          <w:ilvl w:val="0"/>
          <w:numId w:val="13"/>
        </w:numPr>
        <w:spacing w:line="276" w:lineRule="auto"/>
        <w:jc w:val="both"/>
      </w:pPr>
      <w:r w:rsidRPr="005726C1">
        <w:t xml:space="preserve">opis </w:t>
      </w:r>
      <w:r w:rsidR="00B93481" w:rsidRPr="005726C1">
        <w:t xml:space="preserve">najvažnijih promjena i investicija </w:t>
      </w:r>
      <w:r w:rsidR="00AC5BDF" w:rsidRPr="005726C1">
        <w:t>na područjima obrazovanja, stanovanja, zdravlja i zapošljavanja, a s ciljem unapređenja ukupne integracije pripadnika romske nacionalne manjine</w:t>
      </w:r>
      <w:r w:rsidR="00B93481" w:rsidRPr="005726C1">
        <w:t>;</w:t>
      </w:r>
    </w:p>
    <w:p w14:paraId="0CC69A69" w14:textId="4D8721A4" w:rsidR="00B93481" w:rsidRPr="005726C1" w:rsidRDefault="00B93481" w:rsidP="00FC64BF">
      <w:pPr>
        <w:pStyle w:val="ListParagraph"/>
        <w:numPr>
          <w:ilvl w:val="0"/>
          <w:numId w:val="13"/>
        </w:numPr>
        <w:spacing w:line="276" w:lineRule="auto"/>
        <w:jc w:val="both"/>
      </w:pPr>
      <w:r w:rsidRPr="005726C1">
        <w:t>opis korištenja i/ili planova</w:t>
      </w:r>
      <w:r w:rsidR="00343119" w:rsidRPr="005726C1">
        <w:t xml:space="preserve"> </w:t>
      </w:r>
      <w:r w:rsidR="00AC5BDF" w:rsidRPr="005726C1">
        <w:t>ko</w:t>
      </w:r>
      <w:r w:rsidR="00343119" w:rsidRPr="005726C1">
        <w:t>rištenj</w:t>
      </w:r>
      <w:r w:rsidRPr="005726C1">
        <w:t>a</w:t>
      </w:r>
      <w:r w:rsidR="00343119" w:rsidRPr="005726C1">
        <w:t xml:space="preserve"> programa </w:t>
      </w:r>
      <w:r w:rsidR="00DC0766" w:rsidRPr="005726C1">
        <w:t xml:space="preserve">i fondova </w:t>
      </w:r>
      <w:r w:rsidR="00343119" w:rsidRPr="005726C1">
        <w:t>Europske unije</w:t>
      </w:r>
      <w:r w:rsidRPr="005726C1">
        <w:t>;</w:t>
      </w:r>
    </w:p>
    <w:p w14:paraId="39DD8920" w14:textId="3FF20FF3" w:rsidR="00B93481" w:rsidRPr="005726C1" w:rsidRDefault="00B93481" w:rsidP="00FC64BF">
      <w:pPr>
        <w:pStyle w:val="ListParagraph"/>
        <w:numPr>
          <w:ilvl w:val="0"/>
          <w:numId w:val="13"/>
        </w:numPr>
        <w:spacing w:line="276" w:lineRule="auto"/>
        <w:jc w:val="both"/>
      </w:pPr>
      <w:r w:rsidRPr="005726C1">
        <w:t>izvješće o ukupno</w:t>
      </w:r>
      <w:r w:rsidR="00343119" w:rsidRPr="005726C1">
        <w:t xml:space="preserve"> utrošeni</w:t>
      </w:r>
      <w:r w:rsidR="00DC0766" w:rsidRPr="005726C1">
        <w:t>m</w:t>
      </w:r>
      <w:r w:rsidR="00343119" w:rsidRPr="005726C1">
        <w:t xml:space="preserve"> sredstv</w:t>
      </w:r>
      <w:r w:rsidR="00DC0766" w:rsidRPr="005726C1">
        <w:t>im</w:t>
      </w:r>
      <w:r w:rsidR="00343119" w:rsidRPr="005726C1">
        <w:t>a</w:t>
      </w:r>
      <w:r w:rsidR="00AC5BDF" w:rsidRPr="005726C1">
        <w:t xml:space="preserve"> za poboljšanje položaja pripadnika romske nacionalne manjine</w:t>
      </w:r>
      <w:r w:rsidR="007B3973">
        <w:t>;</w:t>
      </w:r>
    </w:p>
    <w:p w14:paraId="57A4AB3F" w14:textId="6982D0CC" w:rsidR="00B93481" w:rsidRPr="005726C1" w:rsidRDefault="00B93481" w:rsidP="00FC64BF">
      <w:pPr>
        <w:pStyle w:val="ListParagraph"/>
        <w:numPr>
          <w:ilvl w:val="0"/>
          <w:numId w:val="13"/>
        </w:numPr>
        <w:spacing w:line="276" w:lineRule="auto"/>
        <w:jc w:val="both"/>
      </w:pPr>
      <w:r w:rsidRPr="005726C1">
        <w:t xml:space="preserve">opis </w:t>
      </w:r>
      <w:r w:rsidR="00343119" w:rsidRPr="005726C1">
        <w:t>sudjelovanj</w:t>
      </w:r>
      <w:r w:rsidRPr="005726C1">
        <w:t>a</w:t>
      </w:r>
      <w:r w:rsidR="00343119" w:rsidRPr="005726C1">
        <w:t xml:space="preserve"> predstavnika pripadnika romske nacionalne manjine u planiranju, provedbi, praćenju i/ili evaluaciji politika koji izravno utječu na njihov status</w:t>
      </w:r>
      <w:r w:rsidR="007B3973">
        <w:t>;</w:t>
      </w:r>
      <w:r w:rsidR="00DC0766" w:rsidRPr="005726C1">
        <w:t xml:space="preserve"> </w:t>
      </w:r>
    </w:p>
    <w:p w14:paraId="011B4179" w14:textId="5A9118CB" w:rsidR="00B93481" w:rsidRPr="005726C1" w:rsidRDefault="00B93481" w:rsidP="00FC64BF">
      <w:pPr>
        <w:pStyle w:val="ListParagraph"/>
        <w:numPr>
          <w:ilvl w:val="0"/>
          <w:numId w:val="13"/>
        </w:numPr>
        <w:spacing w:line="276" w:lineRule="auto"/>
        <w:jc w:val="both"/>
      </w:pPr>
      <w:r w:rsidRPr="005726C1">
        <w:t>izvješće o broju zaposlenih pripadnicima romske nacionalne manjine u lokalnoj administraciji i društvima kojima je JLP(R)S (su)osnivač ili (su)vlasnik</w:t>
      </w:r>
      <w:r w:rsidR="007B3973">
        <w:t>;</w:t>
      </w:r>
    </w:p>
    <w:p w14:paraId="4DA5B523" w14:textId="77777777" w:rsidR="00B93481" w:rsidRPr="004E6AC5" w:rsidRDefault="00B93481" w:rsidP="00FC64BF">
      <w:pPr>
        <w:pStyle w:val="ListParagraph"/>
        <w:numPr>
          <w:ilvl w:val="0"/>
          <w:numId w:val="13"/>
        </w:numPr>
        <w:spacing w:line="276" w:lineRule="auto"/>
        <w:jc w:val="both"/>
      </w:pPr>
      <w:r w:rsidRPr="004E6AC5">
        <w:t>opis mjera i aktivnosti za koje se procjenjuje da imaju najviše potencijala u kontekstu poboljšanja položaja pripadnika romske nacionalne manjine te</w:t>
      </w:r>
    </w:p>
    <w:p w14:paraId="6160EA5C" w14:textId="0863E302" w:rsidR="00764A88" w:rsidRPr="004E6AC5" w:rsidRDefault="00DC0766" w:rsidP="00FC64BF">
      <w:pPr>
        <w:pStyle w:val="ListParagraph"/>
        <w:numPr>
          <w:ilvl w:val="0"/>
          <w:numId w:val="13"/>
        </w:numPr>
        <w:spacing w:line="276" w:lineRule="auto"/>
        <w:jc w:val="both"/>
      </w:pPr>
      <w:r w:rsidRPr="004E6AC5">
        <w:t xml:space="preserve"> </w:t>
      </w:r>
      <w:r w:rsidR="00764A88" w:rsidRPr="004E6AC5">
        <w:t>eventualne ostale komentare i preporuke.</w:t>
      </w:r>
    </w:p>
    <w:p w14:paraId="2C75D8D7" w14:textId="648B9834" w:rsidR="005726C1" w:rsidRPr="004E6AC5" w:rsidRDefault="005726C1" w:rsidP="00D353AE">
      <w:pPr>
        <w:spacing w:line="276" w:lineRule="auto"/>
        <w:jc w:val="both"/>
      </w:pPr>
    </w:p>
    <w:p w14:paraId="58E85C46" w14:textId="1A472F46" w:rsidR="005726C1" w:rsidRPr="008318A2" w:rsidRDefault="005726C1" w:rsidP="005726C1">
      <w:pPr>
        <w:spacing w:line="276" w:lineRule="auto"/>
        <w:jc w:val="both"/>
        <w:rPr>
          <w:rFonts w:cs="Times New Roman"/>
          <w:szCs w:val="24"/>
        </w:rPr>
      </w:pPr>
      <w:r w:rsidRPr="004E6AC5">
        <w:rPr>
          <w:rFonts w:cs="Times New Roman"/>
          <w:szCs w:val="24"/>
        </w:rPr>
        <w:t xml:space="preserve">Podaci </w:t>
      </w:r>
      <w:r w:rsidRPr="008318A2">
        <w:rPr>
          <w:rFonts w:cs="Times New Roman"/>
          <w:szCs w:val="24"/>
        </w:rPr>
        <w:t>su se prikupljali u razdoblju od 7. siječnja do 14. veljače 2025</w:t>
      </w:r>
      <w:r>
        <w:rPr>
          <w:rFonts w:cs="Times New Roman"/>
          <w:szCs w:val="24"/>
        </w:rPr>
        <w:t>.</w:t>
      </w:r>
      <w:r w:rsidRPr="008318A2">
        <w:rPr>
          <w:rFonts w:cs="Times New Roman"/>
          <w:szCs w:val="24"/>
        </w:rPr>
        <w:t xml:space="preserve">, a Upitnik je upućen 71 </w:t>
      </w:r>
      <w:r w:rsidR="00FE7B55">
        <w:rPr>
          <w:rFonts w:cs="Times New Roman"/>
          <w:szCs w:val="24"/>
        </w:rPr>
        <w:t>JLP(R)S</w:t>
      </w:r>
      <w:r w:rsidRPr="008318A2">
        <w:rPr>
          <w:rFonts w:cs="Times New Roman"/>
          <w:szCs w:val="24"/>
        </w:rPr>
        <w:t xml:space="preserve"> (14 županija i Grad Zagreb, 31 grad te 25 općina). Na Upitnik su odgovorile 32 </w:t>
      </w:r>
      <w:r w:rsidR="00026107">
        <w:rPr>
          <w:rFonts w:cs="Times New Roman"/>
          <w:szCs w:val="24"/>
        </w:rPr>
        <w:t>JLP(R)S</w:t>
      </w:r>
      <w:r w:rsidRPr="008318A2">
        <w:rPr>
          <w:rFonts w:cs="Times New Roman"/>
          <w:szCs w:val="24"/>
        </w:rPr>
        <w:t xml:space="preserve"> (pet županija i Grad Zagreb, 16 gradova te 10 općina).</w:t>
      </w:r>
    </w:p>
    <w:p w14:paraId="6528D506" w14:textId="2469EBEC" w:rsidR="005726C1" w:rsidRPr="008318A2" w:rsidRDefault="005726C1" w:rsidP="005726C1">
      <w:pPr>
        <w:spacing w:line="276" w:lineRule="auto"/>
        <w:jc w:val="both"/>
        <w:rPr>
          <w:rFonts w:cs="Times New Roman"/>
          <w:szCs w:val="24"/>
        </w:rPr>
      </w:pPr>
      <w:r w:rsidRPr="008318A2">
        <w:rPr>
          <w:rFonts w:cs="Times New Roman"/>
          <w:szCs w:val="24"/>
        </w:rPr>
        <w:t xml:space="preserve">Dobiveni podaci upotpunjuju sliku provedbe, kako u </w:t>
      </w:r>
      <w:r w:rsidR="00FE7B55">
        <w:rPr>
          <w:rFonts w:cs="Times New Roman"/>
          <w:szCs w:val="24"/>
        </w:rPr>
        <w:t>JLP(R)S</w:t>
      </w:r>
      <w:r w:rsidRPr="008318A2">
        <w:rPr>
          <w:rFonts w:cs="Times New Roman"/>
          <w:szCs w:val="24"/>
        </w:rPr>
        <w:t xml:space="preserve"> u kojima se provode aktivnosti općih javnih politika, a čiji se utjecaj prelijeva i na pripadnike romske nacionalne manjine, tako i u </w:t>
      </w:r>
      <w:r w:rsidR="00FE7B55">
        <w:rPr>
          <w:rFonts w:cs="Times New Roman"/>
          <w:szCs w:val="24"/>
        </w:rPr>
        <w:t>JLP(R)S</w:t>
      </w:r>
      <w:r w:rsidRPr="008318A2">
        <w:rPr>
          <w:rFonts w:cs="Times New Roman"/>
          <w:szCs w:val="24"/>
        </w:rPr>
        <w:t xml:space="preserve"> u kojima se provode ciljane mjere i aktivnosti, tj. one usmjerene upravo pripadnicima romske nacionalne manjine. </w:t>
      </w:r>
    </w:p>
    <w:p w14:paraId="6A814116" w14:textId="3D7750C1" w:rsidR="005726C1" w:rsidRPr="008318A2" w:rsidRDefault="005726C1" w:rsidP="005726C1">
      <w:pPr>
        <w:spacing w:line="276" w:lineRule="auto"/>
        <w:jc w:val="both"/>
        <w:rPr>
          <w:rFonts w:cs="Times New Roman"/>
          <w:szCs w:val="24"/>
        </w:rPr>
      </w:pPr>
      <w:r w:rsidRPr="008318A2">
        <w:rPr>
          <w:rFonts w:cs="Times New Roman"/>
          <w:szCs w:val="24"/>
        </w:rPr>
        <w:t xml:space="preserve">Uočeno je da dio </w:t>
      </w:r>
      <w:r w:rsidR="00FE7B55">
        <w:rPr>
          <w:rFonts w:cs="Times New Roman"/>
          <w:szCs w:val="24"/>
        </w:rPr>
        <w:t>JLP(R)S</w:t>
      </w:r>
      <w:r w:rsidRPr="008318A2">
        <w:rPr>
          <w:rFonts w:cs="Times New Roman"/>
          <w:szCs w:val="24"/>
        </w:rPr>
        <w:t xml:space="preserve"> upozorava da se najveći dio podataka ne prati prema etničkoj pripadnosti (primjerice Grad Zagreb, Grad Rijeka, Požeško-slavonska županija i Karlovačka županija)</w:t>
      </w:r>
      <w:r w:rsidR="00515EAD">
        <w:rPr>
          <w:rFonts w:cs="Times New Roman"/>
          <w:szCs w:val="24"/>
        </w:rPr>
        <w:t xml:space="preserve"> ili se pojedinci ne izjašnjavaju kao pripadnici romske nacionalne manjine što onemogućuje pristup pravima koja bi im pripadala na temelju nacionalne pripadnosti (Osječko-baranjska županija, Karlovac)</w:t>
      </w:r>
      <w:r w:rsidRPr="008318A2">
        <w:rPr>
          <w:rFonts w:cs="Times New Roman"/>
          <w:szCs w:val="24"/>
        </w:rPr>
        <w:t xml:space="preserve">. </w:t>
      </w:r>
    </w:p>
    <w:p w14:paraId="7BAAD722" w14:textId="31DF91AB" w:rsidR="005726C1" w:rsidRPr="008318A2" w:rsidRDefault="005726C1" w:rsidP="005726C1">
      <w:pPr>
        <w:spacing w:line="276" w:lineRule="auto"/>
        <w:jc w:val="both"/>
        <w:rPr>
          <w:rFonts w:cs="Times New Roman"/>
          <w:szCs w:val="24"/>
        </w:rPr>
      </w:pPr>
      <w:r w:rsidRPr="008318A2">
        <w:rPr>
          <w:rFonts w:cs="Times New Roman"/>
          <w:szCs w:val="24"/>
        </w:rPr>
        <w:t>Zajedničko je za gotovo sva izvješća isticanje važnosti nacionalnih mjera i aktivnosti, poput programa Ministarstva regionalnoga razvoja i fondova Europske unije, Ministarstva prostornog uređenja, graditeljstva i državne imovine</w:t>
      </w:r>
      <w:r w:rsidRPr="0049761A">
        <w:rPr>
          <w:rFonts w:cs="Times New Roman"/>
          <w:szCs w:val="24"/>
        </w:rPr>
        <w:t>, Ministarstva poljoprivrede</w:t>
      </w:r>
      <w:r w:rsidR="00303ADD" w:rsidRPr="001676C9">
        <w:rPr>
          <w:rFonts w:cs="Times New Roman"/>
          <w:szCs w:val="24"/>
        </w:rPr>
        <w:t>, šumarstva i ribarstva</w:t>
      </w:r>
      <w:r w:rsidRPr="008318A2">
        <w:rPr>
          <w:rFonts w:cs="Times New Roman"/>
          <w:szCs w:val="24"/>
        </w:rPr>
        <w:t xml:space="preserve"> te Fonda za zaštitu okoliša, ali i vlastitih ulaganja. </w:t>
      </w:r>
    </w:p>
    <w:p w14:paraId="640C3400" w14:textId="77777777" w:rsidR="005726C1" w:rsidRPr="008318A2" w:rsidRDefault="005726C1" w:rsidP="005726C1">
      <w:pPr>
        <w:spacing w:line="276" w:lineRule="auto"/>
        <w:jc w:val="both"/>
        <w:rPr>
          <w:rFonts w:cs="Times New Roman"/>
          <w:szCs w:val="24"/>
        </w:rPr>
      </w:pPr>
      <w:r w:rsidRPr="008318A2">
        <w:rPr>
          <w:rFonts w:cs="Times New Roman"/>
          <w:szCs w:val="24"/>
        </w:rPr>
        <w:lastRenderedPageBreak/>
        <w:t>Uz to, valja istaknuti kako su pojedine jedinice donijele vlastite planske dokumente za uključivanje pripadnika romske nacionalne manjine (Koprivničko-križevačka</w:t>
      </w:r>
      <w:r>
        <w:rPr>
          <w:rFonts w:cs="Times New Roman"/>
          <w:szCs w:val="24"/>
        </w:rPr>
        <w:t xml:space="preserve"> </w:t>
      </w:r>
      <w:r w:rsidRPr="008318A2">
        <w:rPr>
          <w:rFonts w:cs="Times New Roman"/>
          <w:szCs w:val="24"/>
        </w:rPr>
        <w:t xml:space="preserve">županija i Osječko-baranjska županija, Grad Zagreb). </w:t>
      </w:r>
    </w:p>
    <w:p w14:paraId="4333DF8F" w14:textId="1CD8BED3" w:rsidR="005726C1" w:rsidRPr="008318A2" w:rsidRDefault="005726C1" w:rsidP="005726C1">
      <w:pPr>
        <w:spacing w:line="276" w:lineRule="auto"/>
        <w:jc w:val="both"/>
        <w:rPr>
          <w:rFonts w:cs="Times New Roman"/>
          <w:szCs w:val="24"/>
        </w:rPr>
      </w:pPr>
      <w:r w:rsidRPr="008318A2">
        <w:rPr>
          <w:rFonts w:cs="Times New Roman"/>
          <w:szCs w:val="24"/>
        </w:rPr>
        <w:t xml:space="preserve">U okviru horizontalnog cilja </w:t>
      </w:r>
      <w:r w:rsidRPr="008318A2">
        <w:rPr>
          <w:rFonts w:cs="Times New Roman"/>
          <w:b/>
          <w:bCs/>
          <w:i/>
          <w:iCs/>
          <w:szCs w:val="24"/>
        </w:rPr>
        <w:t>borba protiv antiromskog rasizma i diskriminacije</w:t>
      </w:r>
      <w:r w:rsidRPr="008318A2">
        <w:rPr>
          <w:rFonts w:cs="Times New Roman"/>
          <w:szCs w:val="24"/>
        </w:rPr>
        <w:t xml:space="preserve"> prilozi </w:t>
      </w:r>
      <w:r w:rsidR="00FE7B55">
        <w:rPr>
          <w:rFonts w:cs="Times New Roman"/>
          <w:szCs w:val="24"/>
        </w:rPr>
        <w:t>JLP(R)S</w:t>
      </w:r>
      <w:r w:rsidRPr="008318A2">
        <w:rPr>
          <w:rFonts w:cs="Times New Roman"/>
          <w:szCs w:val="24"/>
        </w:rPr>
        <w:t xml:space="preserve"> potvrđuju važnost oblika participacije utemeljenih u Ustavnom zakonu o pravima nacionalnih manjina. </w:t>
      </w:r>
    </w:p>
    <w:p w14:paraId="072AF60C" w14:textId="77777777" w:rsidR="001B4386" w:rsidRDefault="00440AF1" w:rsidP="005726C1">
      <w:pPr>
        <w:spacing w:after="235" w:line="276" w:lineRule="auto"/>
        <w:ind w:left="7" w:right="7"/>
        <w:jc w:val="both"/>
        <w:rPr>
          <w:rFonts w:cs="Times New Roman"/>
          <w:szCs w:val="24"/>
        </w:rPr>
      </w:pPr>
      <w:r>
        <w:rPr>
          <w:rFonts w:cs="Times New Roman"/>
          <w:szCs w:val="24"/>
        </w:rPr>
        <w:t xml:space="preserve">Pojedine jedinice područne (regionalne) samouprave </w:t>
      </w:r>
      <w:r w:rsidRPr="00440AF1">
        <w:rPr>
          <w:rFonts w:cs="Times New Roman"/>
          <w:szCs w:val="24"/>
        </w:rPr>
        <w:t xml:space="preserve">imaju zasebna </w:t>
      </w:r>
      <w:r>
        <w:rPr>
          <w:rFonts w:cs="Times New Roman"/>
          <w:szCs w:val="24"/>
        </w:rPr>
        <w:t xml:space="preserve">radna </w:t>
      </w:r>
      <w:r w:rsidRPr="00440AF1">
        <w:rPr>
          <w:rFonts w:cs="Times New Roman"/>
          <w:szCs w:val="24"/>
        </w:rPr>
        <w:t>tijela</w:t>
      </w:r>
      <w:r>
        <w:rPr>
          <w:rFonts w:cs="Times New Roman"/>
          <w:szCs w:val="24"/>
        </w:rPr>
        <w:t xml:space="preserve"> koja prati stanje i razmatra pitanja u svezi s ostvarivanjem i zaštitom ustavom, zakonom i drugim propisima zajamčenih sloboda i prava nacionalnih manjina</w:t>
      </w:r>
      <w:r w:rsidRPr="00440AF1">
        <w:rPr>
          <w:rFonts w:cs="Times New Roman"/>
          <w:szCs w:val="24"/>
        </w:rPr>
        <w:t>,</w:t>
      </w:r>
      <w:r>
        <w:rPr>
          <w:rFonts w:cs="Times New Roman"/>
          <w:szCs w:val="24"/>
        </w:rPr>
        <w:t xml:space="preserve"> poput Osječko-baranjske županije koja je još 2005. godine osnovala Savjet za nacionalne manjine, a 2007. godine i Povjerenstvo za praćenje provedbe Nacionalnog programa za Rome. </w:t>
      </w:r>
    </w:p>
    <w:p w14:paraId="7ACB787A" w14:textId="67C4250A" w:rsidR="005726C1" w:rsidRPr="008318A2" w:rsidRDefault="005726C1" w:rsidP="00D1280F">
      <w:pPr>
        <w:spacing w:after="235" w:line="276" w:lineRule="auto"/>
        <w:ind w:left="7" w:right="7"/>
        <w:jc w:val="both"/>
        <w:rPr>
          <w:rFonts w:cs="Times New Roman"/>
          <w:szCs w:val="24"/>
        </w:rPr>
      </w:pPr>
      <w:r w:rsidRPr="008318A2">
        <w:rPr>
          <w:rFonts w:cs="Times New Roman"/>
          <w:szCs w:val="24"/>
        </w:rPr>
        <w:t xml:space="preserve">Većina </w:t>
      </w:r>
      <w:bookmarkStart w:id="60" w:name="_Hlk193806388"/>
      <w:r w:rsidR="00FE7B55">
        <w:rPr>
          <w:rFonts w:cs="Times New Roman"/>
          <w:szCs w:val="24"/>
        </w:rPr>
        <w:t>JLP(R)S</w:t>
      </w:r>
      <w:r w:rsidRPr="008318A2">
        <w:rPr>
          <w:rFonts w:cs="Times New Roman"/>
          <w:szCs w:val="24"/>
        </w:rPr>
        <w:t xml:space="preserve"> </w:t>
      </w:r>
      <w:bookmarkEnd w:id="60"/>
      <w:r w:rsidRPr="008318A2">
        <w:rPr>
          <w:rFonts w:cs="Times New Roman"/>
          <w:szCs w:val="24"/>
        </w:rPr>
        <w:t xml:space="preserve">su u svoj temeljni akt, Statut, ugradile odredbe o ostvarivanju prava nacionalnih manjina te im </w:t>
      </w:r>
      <w:r>
        <w:rPr>
          <w:rFonts w:cs="Times New Roman"/>
          <w:szCs w:val="24"/>
        </w:rPr>
        <w:t xml:space="preserve">time </w:t>
      </w:r>
      <w:r w:rsidRPr="008318A2">
        <w:rPr>
          <w:rFonts w:cs="Times New Roman"/>
          <w:szCs w:val="24"/>
        </w:rPr>
        <w:t>osigurale mogućnost sudjelovanja u javnom životu i upravljanju lokalnim poslovima putem vijeća nacionalnih manjina i predstavnika nacionalnih manjina te financiraju njihove aktivnosti.</w:t>
      </w:r>
      <w:r w:rsidR="001B4386">
        <w:rPr>
          <w:rFonts w:cs="Times New Roman"/>
          <w:szCs w:val="24"/>
        </w:rPr>
        <w:t xml:space="preserve"> </w:t>
      </w:r>
      <w:r>
        <w:rPr>
          <w:rFonts w:cs="Times New Roman"/>
          <w:szCs w:val="24"/>
        </w:rPr>
        <w:t>V</w:t>
      </w:r>
      <w:r w:rsidRPr="008318A2">
        <w:rPr>
          <w:rFonts w:cs="Times New Roman"/>
          <w:szCs w:val="24"/>
        </w:rPr>
        <w:t xml:space="preserve">ijećima nacionalnih manjina omogućeno </w:t>
      </w:r>
      <w:r>
        <w:rPr>
          <w:rFonts w:cs="Times New Roman"/>
          <w:szCs w:val="24"/>
        </w:rPr>
        <w:t xml:space="preserve">je na taj način </w:t>
      </w:r>
      <w:r w:rsidRPr="008318A2">
        <w:rPr>
          <w:rFonts w:cs="Times New Roman"/>
          <w:szCs w:val="24"/>
        </w:rPr>
        <w:t xml:space="preserve">predlagati tijelima </w:t>
      </w:r>
      <w:bookmarkStart w:id="61" w:name="_Hlk193806968"/>
      <w:r w:rsidRPr="008318A2">
        <w:rPr>
          <w:rFonts w:cs="Times New Roman"/>
          <w:szCs w:val="24"/>
        </w:rPr>
        <w:t>jedinica lokalne područne (regionalne) samouprave</w:t>
      </w:r>
      <w:bookmarkEnd w:id="61"/>
      <w:r w:rsidRPr="008318A2">
        <w:rPr>
          <w:rFonts w:cs="Times New Roman"/>
          <w:szCs w:val="24"/>
        </w:rPr>
        <w:t xml:space="preserve"> mjere za unapređivanje položaja nacionalnih manjina.</w:t>
      </w:r>
    </w:p>
    <w:p w14:paraId="6AD9E40B" w14:textId="45FFA1BC" w:rsidR="005726C1" w:rsidRPr="008318A2" w:rsidRDefault="005726C1" w:rsidP="005726C1">
      <w:pPr>
        <w:spacing w:line="276" w:lineRule="auto"/>
        <w:jc w:val="both"/>
        <w:rPr>
          <w:rFonts w:cs="Times New Roman"/>
          <w:bCs/>
          <w:szCs w:val="24"/>
        </w:rPr>
      </w:pPr>
      <w:r w:rsidRPr="008318A2">
        <w:rPr>
          <w:rFonts w:cs="Times New Roman"/>
          <w:szCs w:val="24"/>
        </w:rPr>
        <w:t>Primjerice Međimurska ž</w:t>
      </w:r>
      <w:r w:rsidRPr="008318A2">
        <w:rPr>
          <w:rFonts w:cs="Times New Roman"/>
          <w:bCs/>
          <w:szCs w:val="24"/>
        </w:rPr>
        <w:t xml:space="preserve">upanija osigurava financijska sredstva za rad vijeća i predstavnika nacionalnih manjina, uključujući i sredstva za obavljanje administrativnih poslova te sredstva za provedbu određenih aktivnosti u skladu s mogućnostima proračuna. Financijska sredstva za rad Vijeća i predstavnica </w:t>
      </w:r>
      <w:r w:rsidR="002F7831">
        <w:rPr>
          <w:rFonts w:cs="Times New Roman"/>
          <w:bCs/>
          <w:szCs w:val="24"/>
        </w:rPr>
        <w:t xml:space="preserve">nacionalnih manjina </w:t>
      </w:r>
      <w:r w:rsidRPr="008318A2">
        <w:rPr>
          <w:rFonts w:cs="Times New Roman"/>
          <w:bCs/>
          <w:szCs w:val="24"/>
        </w:rPr>
        <w:t xml:space="preserve">osigurana su u Proračunu Međimurske županije za 2024. godinu u ukupnom iznosu od 20.000,00 </w:t>
      </w:r>
      <w:r w:rsidR="002F7831">
        <w:rPr>
          <w:rFonts w:cs="Times New Roman"/>
          <w:bCs/>
          <w:szCs w:val="24"/>
        </w:rPr>
        <w:t>EUR</w:t>
      </w:r>
      <w:r w:rsidRPr="008318A2">
        <w:rPr>
          <w:rFonts w:cs="Times New Roman"/>
          <w:bCs/>
          <w:szCs w:val="24"/>
        </w:rPr>
        <w:t>.</w:t>
      </w:r>
    </w:p>
    <w:p w14:paraId="440E606C" w14:textId="32DD034E" w:rsidR="005726C1" w:rsidRDefault="005726C1" w:rsidP="005726C1">
      <w:pPr>
        <w:spacing w:line="276" w:lineRule="auto"/>
        <w:jc w:val="both"/>
        <w:rPr>
          <w:rFonts w:cs="Times New Roman"/>
          <w:bCs/>
          <w:szCs w:val="24"/>
        </w:rPr>
      </w:pPr>
      <w:r w:rsidRPr="00554E06">
        <w:rPr>
          <w:rFonts w:cs="Times New Roman"/>
          <w:bCs/>
          <w:szCs w:val="24"/>
        </w:rPr>
        <w:t xml:space="preserve">Grad Rijeka svake godine raspisuje Javni natječaj za male potpore za neprofitne organizacije (do 1.000,00 </w:t>
      </w:r>
      <w:r w:rsidR="002F7831">
        <w:rPr>
          <w:rFonts w:cs="Times New Roman"/>
          <w:bCs/>
          <w:szCs w:val="24"/>
        </w:rPr>
        <w:t>EUR</w:t>
      </w:r>
      <w:r w:rsidRPr="00554E06">
        <w:rPr>
          <w:rFonts w:cs="Times New Roman"/>
          <w:bCs/>
          <w:szCs w:val="24"/>
        </w:rPr>
        <w:t xml:space="preserve">) koji je otvoren od veljače do prosinca tekuće godine i kao jedno od prioritetnih područja financiranja ima predviđeno financiranje projekata/aktivnosti iz područja zaštita i promicanje prava nacionalnih manjina. U 2024. godini, u okviru predmetnog Javnog natječaja, Grad Rijeka financirao je Udrugu ROMORČIĆ iz Rijeke s iznosom od 1.000,00 </w:t>
      </w:r>
      <w:r w:rsidR="002F7831">
        <w:rPr>
          <w:rFonts w:cs="Times New Roman"/>
          <w:bCs/>
          <w:szCs w:val="24"/>
        </w:rPr>
        <w:t>EUR</w:t>
      </w:r>
      <w:r w:rsidRPr="00554E06">
        <w:rPr>
          <w:rFonts w:cs="Times New Roman"/>
          <w:bCs/>
          <w:szCs w:val="24"/>
        </w:rPr>
        <w:t xml:space="preserve"> za aktivnost </w:t>
      </w:r>
      <w:r w:rsidRPr="00554E06">
        <w:rPr>
          <w:rFonts w:cs="Times New Roman"/>
          <w:bCs/>
          <w:i/>
          <w:szCs w:val="24"/>
        </w:rPr>
        <w:t>„organizacija dočeka Djeda Božićnjaka za najmlađe predstavnike romske nacionalne manjine“</w:t>
      </w:r>
      <w:r w:rsidRPr="00554E06">
        <w:rPr>
          <w:rFonts w:cs="Times New Roman"/>
          <w:bCs/>
          <w:szCs w:val="24"/>
        </w:rPr>
        <w:t>.</w:t>
      </w:r>
    </w:p>
    <w:p w14:paraId="63D48560" w14:textId="4CA7E4BC" w:rsidR="001B4386" w:rsidRPr="008318A2" w:rsidRDefault="001B4386" w:rsidP="005726C1">
      <w:pPr>
        <w:spacing w:line="276" w:lineRule="auto"/>
        <w:jc w:val="both"/>
        <w:rPr>
          <w:rFonts w:cs="Times New Roman"/>
          <w:bCs/>
          <w:szCs w:val="24"/>
        </w:rPr>
      </w:pPr>
      <w:r>
        <w:rPr>
          <w:rFonts w:cs="Times New Roman"/>
          <w:bCs/>
          <w:szCs w:val="24"/>
        </w:rPr>
        <w:t xml:space="preserve">Osječko-baranjska županija ističe redovito financiranje projekata vezanih uz provedbu Nacionalnog plana za uključivanje Roma i projekte civilnih udruga romske nacionalne manjine (u 2024. </w:t>
      </w:r>
      <w:r w:rsidR="007B3973">
        <w:rPr>
          <w:rFonts w:cs="Times New Roman"/>
          <w:bCs/>
          <w:szCs w:val="24"/>
        </w:rPr>
        <w:t xml:space="preserve">godini </w:t>
      </w:r>
      <w:r>
        <w:rPr>
          <w:rFonts w:cs="Times New Roman"/>
          <w:bCs/>
          <w:szCs w:val="24"/>
        </w:rPr>
        <w:t>6 projekata sufinanciranih s 4.068,00 EUR), kao i za financiranje javnih potreba u kulturi (2 projekta, ukupno 600 EUR).</w:t>
      </w:r>
    </w:p>
    <w:p w14:paraId="7695F4C2" w14:textId="056E1054" w:rsidR="005726C1" w:rsidRPr="008318A2" w:rsidRDefault="005726C1" w:rsidP="005726C1">
      <w:pPr>
        <w:spacing w:line="276" w:lineRule="auto"/>
        <w:jc w:val="both"/>
        <w:rPr>
          <w:rFonts w:cs="Times New Roman"/>
          <w:bCs/>
          <w:szCs w:val="24"/>
        </w:rPr>
      </w:pPr>
      <w:r w:rsidRPr="008318A2">
        <w:rPr>
          <w:rFonts w:cs="Times New Roman"/>
          <w:bCs/>
          <w:szCs w:val="24"/>
        </w:rPr>
        <w:t xml:space="preserve">Važno je istaknuti i primjer Grada Petrinje gdje se po prvi puta na Javni natječaj Grada Petrinje za financiranje projekata i programa udruga iz Proračuna Grada Petrinje za 2024. godinu projektom „Humanitarni paketi za potrebite“ prijavila Romska udruga umirovljenika te je Grad Petrinja za projekt odobrio sredstva u iznosu 500,00 </w:t>
      </w:r>
      <w:r w:rsidR="002F7831">
        <w:rPr>
          <w:rFonts w:cs="Times New Roman"/>
          <w:bCs/>
          <w:szCs w:val="24"/>
        </w:rPr>
        <w:t>EUR</w:t>
      </w:r>
      <w:r w:rsidRPr="008318A2">
        <w:rPr>
          <w:rFonts w:cs="Times New Roman"/>
          <w:bCs/>
          <w:szCs w:val="24"/>
        </w:rPr>
        <w:t>.</w:t>
      </w:r>
    </w:p>
    <w:p w14:paraId="71DBBB66" w14:textId="7A1E1216" w:rsidR="005726C1" w:rsidRPr="008318A2" w:rsidRDefault="005726C1" w:rsidP="005726C1">
      <w:pPr>
        <w:spacing w:line="276" w:lineRule="auto"/>
        <w:jc w:val="both"/>
        <w:rPr>
          <w:rFonts w:cs="Times New Roman"/>
          <w:bCs/>
          <w:szCs w:val="24"/>
        </w:rPr>
      </w:pPr>
      <w:r w:rsidRPr="008318A2">
        <w:rPr>
          <w:rFonts w:cs="Times New Roman"/>
          <w:bCs/>
          <w:szCs w:val="24"/>
        </w:rPr>
        <w:t xml:space="preserve">Grad Crikvenica ističe da, iako od 2024. </w:t>
      </w:r>
      <w:r w:rsidR="007B3973">
        <w:rPr>
          <w:rFonts w:cs="Times New Roman"/>
          <w:bCs/>
          <w:szCs w:val="24"/>
        </w:rPr>
        <w:t xml:space="preserve">godine </w:t>
      </w:r>
      <w:r w:rsidRPr="008318A2">
        <w:rPr>
          <w:rFonts w:cs="Times New Roman"/>
          <w:bCs/>
          <w:szCs w:val="24"/>
        </w:rPr>
        <w:t xml:space="preserve">udruge s predstavnicima Roma više nisu aktivne, gradonačelnik održava sastanke s predstavnicima romske nacionalne manjine te </w:t>
      </w:r>
      <w:r w:rsidRPr="0049761A">
        <w:rPr>
          <w:rFonts w:cs="Times New Roman"/>
          <w:bCs/>
          <w:szCs w:val="24"/>
        </w:rPr>
        <w:t>im</w:t>
      </w:r>
      <w:r w:rsidRPr="008318A2">
        <w:rPr>
          <w:rFonts w:cs="Times New Roman"/>
          <w:bCs/>
          <w:szCs w:val="24"/>
        </w:rPr>
        <w:t xml:space="preserve"> je </w:t>
      </w:r>
      <w:r w:rsidRPr="008318A2">
        <w:rPr>
          <w:rFonts w:cs="Times New Roman"/>
          <w:bCs/>
          <w:szCs w:val="24"/>
        </w:rPr>
        <w:lastRenderedPageBreak/>
        <w:t>na taj način omogućeno praćenje i evaluacija programa koji su usmjereni potrebama romske zajednice.</w:t>
      </w:r>
    </w:p>
    <w:p w14:paraId="15B11AE3" w14:textId="6189157F" w:rsidR="005726C1" w:rsidRPr="008318A2" w:rsidRDefault="005726C1" w:rsidP="005726C1">
      <w:pPr>
        <w:spacing w:line="276" w:lineRule="auto"/>
        <w:jc w:val="both"/>
        <w:rPr>
          <w:rFonts w:cs="Times New Roman"/>
          <w:szCs w:val="24"/>
        </w:rPr>
      </w:pPr>
      <w:r w:rsidRPr="008318A2">
        <w:rPr>
          <w:rFonts w:cs="Times New Roman"/>
          <w:szCs w:val="24"/>
        </w:rPr>
        <w:t>Na području Grada Popovače djeluje Udruga Roma Donja Gračenica koja okuplja pripadnike romske nacionalne manjine sa čijim vodstvom Ured gradonačelnika i stručne službe Grada kontinuirano održavaju sastanke na koj</w:t>
      </w:r>
      <w:r w:rsidR="004E6AC5">
        <w:rPr>
          <w:rFonts w:cs="Times New Roman"/>
          <w:szCs w:val="24"/>
        </w:rPr>
        <w:t>i</w:t>
      </w:r>
      <w:r w:rsidRPr="008318A2">
        <w:rPr>
          <w:rFonts w:cs="Times New Roman"/>
          <w:szCs w:val="24"/>
        </w:rPr>
        <w:t>ma se neposredno definiraju planovi i inicijative.</w:t>
      </w:r>
    </w:p>
    <w:p w14:paraId="1BF12D6D" w14:textId="6A7527A0" w:rsidR="005726C1" w:rsidRPr="008318A2" w:rsidRDefault="005726C1" w:rsidP="005726C1">
      <w:pPr>
        <w:spacing w:line="276" w:lineRule="auto"/>
        <w:jc w:val="both"/>
        <w:rPr>
          <w:rFonts w:cs="Times New Roman"/>
          <w:szCs w:val="24"/>
        </w:rPr>
      </w:pPr>
      <w:r w:rsidRPr="008318A2">
        <w:rPr>
          <w:rFonts w:cs="Times New Roman"/>
          <w:szCs w:val="24"/>
        </w:rPr>
        <w:t>Zagrebačka županija također na svojim proračunskim pozicijama za svaku tekuću godinu osigurava financijska sredstva za rashode poslovanja koja obuhvaćaju i mjesečne nagrade za rad članovima vijeća i predstavnicima te financijska sredstva za sufinanciranje programa rada vijeća i predstavnika</w:t>
      </w:r>
      <w:r w:rsidR="002F7831">
        <w:rPr>
          <w:rFonts w:cs="Times New Roman"/>
          <w:szCs w:val="24"/>
        </w:rPr>
        <w:t xml:space="preserve"> </w:t>
      </w:r>
      <w:r w:rsidRPr="008318A2">
        <w:rPr>
          <w:rFonts w:cs="Times New Roman"/>
          <w:szCs w:val="24"/>
        </w:rPr>
        <w:t>nacionalnih manjina Zagrebačke županije. Unutar Županijske skupštine egzistira i radno tijelo Odbor za nacionalne manjine, koji razmatra pitanja u vezi s ostvarivanjem prava nacionalnih manjina u Zagrebačkoj županiji, te potiče i predlaže Županijskoj skupštini mjere za unaprjeđivanje položaja nacionalnih manjina u Zagrebačkoj županiji</w:t>
      </w:r>
      <w:r>
        <w:rPr>
          <w:rFonts w:cs="Times New Roman"/>
          <w:szCs w:val="24"/>
        </w:rPr>
        <w:t>.</w:t>
      </w:r>
    </w:p>
    <w:p w14:paraId="0E687F4C" w14:textId="28098DFD" w:rsidR="005726C1" w:rsidRPr="008318A2" w:rsidRDefault="005726C1" w:rsidP="005726C1">
      <w:pPr>
        <w:spacing w:line="276" w:lineRule="auto"/>
        <w:jc w:val="both"/>
        <w:rPr>
          <w:rFonts w:cs="Times New Roman"/>
          <w:szCs w:val="24"/>
        </w:rPr>
      </w:pPr>
      <w:r w:rsidRPr="008318A2">
        <w:rPr>
          <w:rFonts w:cs="Times New Roman"/>
          <w:iCs/>
          <w:szCs w:val="24"/>
        </w:rPr>
        <w:t xml:space="preserve">Grad Đurđevac ističe primjer dobre prakse, a to je da od 2016. </w:t>
      </w:r>
      <w:r w:rsidR="007B3973">
        <w:rPr>
          <w:rFonts w:cs="Times New Roman"/>
          <w:iCs/>
          <w:szCs w:val="24"/>
        </w:rPr>
        <w:t xml:space="preserve">godine </w:t>
      </w:r>
      <w:r w:rsidRPr="008318A2">
        <w:rPr>
          <w:rFonts w:cs="Times New Roman"/>
          <w:iCs/>
          <w:szCs w:val="24"/>
        </w:rPr>
        <w:t xml:space="preserve">djeluje Udruga Roma „Sve se može kad se hoće“, a čiji cilj je uključivanje Roma u društveni i kulturni život u skladu s Nacionalnom </w:t>
      </w:r>
      <w:r w:rsidR="002F7831">
        <w:rPr>
          <w:rFonts w:cs="Times New Roman"/>
          <w:iCs/>
          <w:szCs w:val="24"/>
        </w:rPr>
        <w:t xml:space="preserve">planom </w:t>
      </w:r>
      <w:r w:rsidRPr="008318A2">
        <w:rPr>
          <w:rFonts w:cs="Times New Roman"/>
          <w:iCs/>
          <w:szCs w:val="24"/>
        </w:rPr>
        <w:t>te aktivno sudjeluje u planiranju, provedbi, praćenju i/ili evaluaciji politika/programa koji izravno utječu na status stanovnika romskog naselja Stiska Đurđevac.</w:t>
      </w:r>
    </w:p>
    <w:p w14:paraId="59E85223" w14:textId="697B6BEC" w:rsidR="005726C1" w:rsidRPr="008318A2" w:rsidRDefault="005726C1" w:rsidP="005726C1">
      <w:pPr>
        <w:spacing w:line="276" w:lineRule="auto"/>
        <w:jc w:val="both"/>
        <w:rPr>
          <w:rFonts w:cs="Times New Roman"/>
          <w:szCs w:val="24"/>
        </w:rPr>
      </w:pPr>
      <w:r w:rsidRPr="008318A2">
        <w:rPr>
          <w:rFonts w:cs="Times New Roman"/>
          <w:szCs w:val="24"/>
        </w:rPr>
        <w:t xml:space="preserve">Pojedine </w:t>
      </w:r>
      <w:r w:rsidR="00FE7B55">
        <w:rPr>
          <w:rFonts w:cs="Times New Roman"/>
          <w:szCs w:val="24"/>
        </w:rPr>
        <w:t>JLP(R)S</w:t>
      </w:r>
      <w:r w:rsidRPr="008318A2">
        <w:rPr>
          <w:rFonts w:cs="Times New Roman"/>
          <w:szCs w:val="24"/>
        </w:rPr>
        <w:t xml:space="preserve"> (Grad Rijeka, Grad Petrinja i Grad Popovača) navode </w:t>
      </w:r>
      <w:r>
        <w:rPr>
          <w:rFonts w:cs="Times New Roman"/>
          <w:szCs w:val="24"/>
        </w:rPr>
        <w:t>da</w:t>
      </w:r>
      <w:r w:rsidR="002F7831">
        <w:rPr>
          <w:rFonts w:cs="Times New Roman"/>
          <w:szCs w:val="24"/>
        </w:rPr>
        <w:t>,</w:t>
      </w:r>
      <w:r>
        <w:rPr>
          <w:rFonts w:cs="Times New Roman"/>
          <w:szCs w:val="24"/>
        </w:rPr>
        <w:t xml:space="preserve"> </w:t>
      </w:r>
      <w:r w:rsidRPr="008318A2">
        <w:rPr>
          <w:rFonts w:cs="Times New Roman"/>
          <w:szCs w:val="24"/>
        </w:rPr>
        <w:t xml:space="preserve">osim financiranja i ustupanja prostora vijećima romske nacionalne manjine, </w:t>
      </w:r>
      <w:r>
        <w:rPr>
          <w:rFonts w:cs="Times New Roman"/>
          <w:szCs w:val="24"/>
        </w:rPr>
        <w:t xml:space="preserve">osiguravaju </w:t>
      </w:r>
      <w:r w:rsidRPr="008318A2">
        <w:rPr>
          <w:rFonts w:cs="Times New Roman"/>
          <w:szCs w:val="24"/>
        </w:rPr>
        <w:t>financiranje i udruga koje provode programe za poboljšanje položaja romske nacionalne manjine.</w:t>
      </w:r>
    </w:p>
    <w:p w14:paraId="40A3E627" w14:textId="5CFDE8F4" w:rsidR="005726C1" w:rsidRPr="008318A2" w:rsidRDefault="005726C1" w:rsidP="005726C1">
      <w:pPr>
        <w:spacing w:line="276" w:lineRule="auto"/>
        <w:jc w:val="both"/>
        <w:rPr>
          <w:rFonts w:cs="Times New Roman"/>
          <w:szCs w:val="24"/>
        </w:rPr>
      </w:pPr>
      <w:r w:rsidRPr="008318A2">
        <w:rPr>
          <w:rFonts w:cs="Times New Roman"/>
          <w:szCs w:val="24"/>
        </w:rPr>
        <w:t>Ističe se Grad Belišće koji</w:t>
      </w:r>
      <w:r w:rsidR="002F7831">
        <w:rPr>
          <w:rFonts w:cs="Times New Roman"/>
          <w:szCs w:val="24"/>
        </w:rPr>
        <w:t xml:space="preserve"> </w:t>
      </w:r>
      <w:r w:rsidRPr="008318A2">
        <w:rPr>
          <w:rFonts w:cs="Times New Roman"/>
          <w:szCs w:val="24"/>
        </w:rPr>
        <w:t xml:space="preserve">je za rad Vijeća romske nacionalne manjine izdvojio 24.960,90 </w:t>
      </w:r>
      <w:r w:rsidR="002F7831">
        <w:rPr>
          <w:rFonts w:cs="Times New Roman"/>
          <w:szCs w:val="24"/>
        </w:rPr>
        <w:t>EUR</w:t>
      </w:r>
      <w:r w:rsidRPr="008318A2">
        <w:rPr>
          <w:rFonts w:cs="Times New Roman"/>
          <w:szCs w:val="24"/>
        </w:rPr>
        <w:t>. U 2024.</w:t>
      </w:r>
      <w:r w:rsidR="007B3973">
        <w:rPr>
          <w:rFonts w:cs="Times New Roman"/>
          <w:szCs w:val="24"/>
        </w:rPr>
        <w:t xml:space="preserve"> godini</w:t>
      </w:r>
      <w:r w:rsidRPr="008318A2">
        <w:rPr>
          <w:rFonts w:cs="Times New Roman"/>
          <w:szCs w:val="24"/>
        </w:rPr>
        <w:t xml:space="preserve"> za rad kulturno umjetničke udruge RKUD „Crvena jagoda“ izdvojeno je 750,00 </w:t>
      </w:r>
      <w:r w:rsidR="002F7831">
        <w:rPr>
          <w:rFonts w:cs="Times New Roman"/>
          <w:szCs w:val="24"/>
        </w:rPr>
        <w:t>EUR</w:t>
      </w:r>
      <w:r w:rsidRPr="008318A2">
        <w:rPr>
          <w:rFonts w:cs="Times New Roman"/>
          <w:szCs w:val="24"/>
        </w:rPr>
        <w:t xml:space="preserve">. Također je aktivna i Udruga Roma Grada Belišća - Valpovštine kojoj je za rad dodijeljeno 500,00 </w:t>
      </w:r>
      <w:r w:rsidR="002F7831">
        <w:rPr>
          <w:rFonts w:cs="Times New Roman"/>
          <w:szCs w:val="24"/>
        </w:rPr>
        <w:t>EUR</w:t>
      </w:r>
      <w:r w:rsidRPr="008318A2">
        <w:rPr>
          <w:rFonts w:cs="Times New Roman"/>
          <w:szCs w:val="24"/>
        </w:rPr>
        <w:t>.</w:t>
      </w:r>
    </w:p>
    <w:p w14:paraId="6AC12D0C" w14:textId="277C2DD1" w:rsidR="005726C1" w:rsidRPr="008318A2" w:rsidRDefault="005726C1" w:rsidP="005726C1">
      <w:pPr>
        <w:spacing w:line="276" w:lineRule="auto"/>
        <w:jc w:val="both"/>
        <w:rPr>
          <w:rFonts w:cs="Times New Roman"/>
          <w:szCs w:val="24"/>
        </w:rPr>
      </w:pPr>
      <w:r w:rsidRPr="008318A2">
        <w:rPr>
          <w:rFonts w:cs="Times New Roman"/>
          <w:szCs w:val="24"/>
        </w:rPr>
        <w:t xml:space="preserve">Pojedine </w:t>
      </w:r>
      <w:r w:rsidR="00026107">
        <w:rPr>
          <w:rFonts w:cs="Times New Roman"/>
          <w:szCs w:val="24"/>
        </w:rPr>
        <w:t>JLP(R)S</w:t>
      </w:r>
      <w:r w:rsidRPr="008318A2">
        <w:rPr>
          <w:rFonts w:cs="Times New Roman"/>
          <w:b/>
          <w:bCs/>
          <w:szCs w:val="24"/>
        </w:rPr>
        <w:t xml:space="preserve">, </w:t>
      </w:r>
      <w:r w:rsidRPr="008318A2">
        <w:rPr>
          <w:rFonts w:cs="Times New Roman"/>
          <w:szCs w:val="24"/>
        </w:rPr>
        <w:t xml:space="preserve">primjerice Grad Karlovac ističe problem da na području grada Karlovca </w:t>
      </w:r>
      <w:r>
        <w:rPr>
          <w:rFonts w:cs="Times New Roman"/>
          <w:szCs w:val="24"/>
        </w:rPr>
        <w:t>živi</w:t>
      </w:r>
      <w:r w:rsidR="002F7831">
        <w:rPr>
          <w:rFonts w:cs="Times New Roman"/>
          <w:szCs w:val="24"/>
        </w:rPr>
        <w:t xml:space="preserve"> </w:t>
      </w:r>
      <w:r w:rsidRPr="008318A2">
        <w:rPr>
          <w:rFonts w:cs="Times New Roman"/>
          <w:szCs w:val="24"/>
        </w:rPr>
        <w:t>28 Roma što čini 0,06</w:t>
      </w:r>
      <w:r w:rsidR="007B3973">
        <w:rPr>
          <w:rFonts w:cs="Times New Roman"/>
          <w:szCs w:val="24"/>
        </w:rPr>
        <w:t xml:space="preserve"> </w:t>
      </w:r>
      <w:r w:rsidRPr="008318A2">
        <w:rPr>
          <w:rFonts w:cs="Times New Roman"/>
          <w:szCs w:val="24"/>
        </w:rPr>
        <w:t>% ukupnog stanovništva grada Karlovca,</w:t>
      </w:r>
      <w:r>
        <w:rPr>
          <w:rFonts w:cs="Times New Roman"/>
          <w:szCs w:val="24"/>
        </w:rPr>
        <w:t xml:space="preserve"> ali</w:t>
      </w:r>
      <w:r w:rsidRPr="008318A2">
        <w:rPr>
          <w:rFonts w:cs="Times New Roman"/>
          <w:szCs w:val="24"/>
        </w:rPr>
        <w:t xml:space="preserve"> je stvarno stanje znatno drugačije i na području grada Karlovca živi puno veći broj Roma </w:t>
      </w:r>
      <w:r>
        <w:rPr>
          <w:rFonts w:cs="Times New Roman"/>
          <w:szCs w:val="24"/>
        </w:rPr>
        <w:t xml:space="preserve">od 28 </w:t>
      </w:r>
      <w:r w:rsidRPr="008318A2">
        <w:rPr>
          <w:rFonts w:cs="Times New Roman"/>
          <w:szCs w:val="24"/>
        </w:rPr>
        <w:t>koji se tako deklariraju.</w:t>
      </w:r>
    </w:p>
    <w:p w14:paraId="0FEA1F1F" w14:textId="77777777" w:rsidR="005726C1" w:rsidRPr="008318A2" w:rsidRDefault="005726C1" w:rsidP="005726C1">
      <w:pPr>
        <w:spacing w:line="276" w:lineRule="auto"/>
        <w:jc w:val="both"/>
        <w:rPr>
          <w:rFonts w:cs="Times New Roman"/>
          <w:szCs w:val="24"/>
        </w:rPr>
      </w:pPr>
      <w:r>
        <w:rPr>
          <w:rFonts w:cs="Times New Roman"/>
          <w:szCs w:val="24"/>
        </w:rPr>
        <w:t>Z</w:t>
      </w:r>
      <w:r w:rsidRPr="008318A2">
        <w:rPr>
          <w:rFonts w:cs="Times New Roman"/>
          <w:szCs w:val="24"/>
        </w:rPr>
        <w:t xml:space="preserve">bog navedenog razloga </w:t>
      </w:r>
      <w:r>
        <w:rPr>
          <w:rFonts w:cs="Times New Roman"/>
          <w:szCs w:val="24"/>
        </w:rPr>
        <w:t xml:space="preserve">pripadnici romske nacionalne manjine </w:t>
      </w:r>
      <w:r w:rsidRPr="008318A2">
        <w:rPr>
          <w:rFonts w:cs="Times New Roman"/>
          <w:szCs w:val="24"/>
        </w:rPr>
        <w:t>ne mogu imati izabrano svoje vijeće, niti predstavnika romske nacionalne manjine</w:t>
      </w:r>
      <w:r>
        <w:rPr>
          <w:rFonts w:cs="Times New Roman"/>
          <w:szCs w:val="24"/>
        </w:rPr>
        <w:t xml:space="preserve"> u Gradu Karlovcu</w:t>
      </w:r>
      <w:r w:rsidRPr="008318A2">
        <w:rPr>
          <w:rFonts w:cs="Times New Roman"/>
          <w:szCs w:val="24"/>
        </w:rPr>
        <w:t xml:space="preserve"> temeljem Ustavnog zakona o pravima nacionalnih manjina, putem kojih bi djelovali u provedbi programa za poboljšanje svog statusa u lokalnoj zajednici kao i po pitanju unapređenja svoje kvalitete života.</w:t>
      </w:r>
    </w:p>
    <w:p w14:paraId="23B8A21C" w14:textId="55AF02CF" w:rsidR="005726C1" w:rsidRPr="008318A2" w:rsidRDefault="005726C1" w:rsidP="005726C1">
      <w:pPr>
        <w:spacing w:line="276" w:lineRule="auto"/>
        <w:jc w:val="both"/>
        <w:rPr>
          <w:rFonts w:cs="Times New Roman"/>
          <w:szCs w:val="24"/>
        </w:rPr>
      </w:pPr>
      <w:r w:rsidRPr="008318A2">
        <w:rPr>
          <w:rFonts w:cs="Times New Roman"/>
          <w:szCs w:val="24"/>
        </w:rPr>
        <w:t>Grad Zagreb ističe se znatnim financijskim sredstvima koja osigurava u svom proračunu za rad i programske aktivnosti Vijeća romske nacionalne manjine</w:t>
      </w:r>
      <w:r>
        <w:rPr>
          <w:rFonts w:cs="Times New Roman"/>
          <w:szCs w:val="24"/>
        </w:rPr>
        <w:t xml:space="preserve"> Grada Zagreba</w:t>
      </w:r>
      <w:r w:rsidRPr="008318A2">
        <w:rPr>
          <w:rFonts w:cs="Times New Roman"/>
          <w:szCs w:val="24"/>
        </w:rPr>
        <w:t xml:space="preserve"> te time djeluje u unapređivanju položaja zajednice Roma u društvu i podupire realizaciju projekata od koristi za zajednicu. U proračunu Grada Zagreba za 2024. </w:t>
      </w:r>
      <w:r w:rsidR="007B3973">
        <w:rPr>
          <w:rFonts w:cs="Times New Roman"/>
          <w:szCs w:val="24"/>
        </w:rPr>
        <w:t xml:space="preserve">godinu </w:t>
      </w:r>
      <w:r w:rsidRPr="008318A2">
        <w:rPr>
          <w:rFonts w:cs="Times New Roman"/>
          <w:szCs w:val="24"/>
        </w:rPr>
        <w:t xml:space="preserve">za navedenu namjenu osigurano je 99.400,00 </w:t>
      </w:r>
      <w:r w:rsidR="002F7831">
        <w:rPr>
          <w:rFonts w:cs="Times New Roman"/>
          <w:szCs w:val="24"/>
        </w:rPr>
        <w:t>EUR</w:t>
      </w:r>
      <w:r w:rsidRPr="008318A2">
        <w:rPr>
          <w:rFonts w:cs="Times New Roman"/>
          <w:szCs w:val="24"/>
        </w:rPr>
        <w:t>.</w:t>
      </w:r>
    </w:p>
    <w:p w14:paraId="7D2FC856" w14:textId="7B7E7288" w:rsidR="005726C1" w:rsidRPr="008318A2" w:rsidRDefault="005726C1" w:rsidP="005726C1">
      <w:pPr>
        <w:spacing w:line="276" w:lineRule="auto"/>
        <w:jc w:val="both"/>
        <w:rPr>
          <w:rFonts w:cs="Times New Roman"/>
          <w:szCs w:val="24"/>
        </w:rPr>
      </w:pPr>
      <w:r w:rsidRPr="008318A2">
        <w:rPr>
          <w:rFonts w:cs="Times New Roman"/>
          <w:szCs w:val="24"/>
        </w:rPr>
        <w:t xml:space="preserve">Iz proračuna Grada Zagrebu za 2024. </w:t>
      </w:r>
      <w:r w:rsidR="007B3973">
        <w:rPr>
          <w:rFonts w:cs="Times New Roman"/>
          <w:szCs w:val="24"/>
        </w:rPr>
        <w:t xml:space="preserve">godinu </w:t>
      </w:r>
      <w:r>
        <w:rPr>
          <w:rFonts w:cs="Times New Roman"/>
          <w:szCs w:val="24"/>
        </w:rPr>
        <w:t xml:space="preserve">također je </w:t>
      </w:r>
      <w:r w:rsidRPr="008318A2">
        <w:rPr>
          <w:rFonts w:cs="Times New Roman"/>
          <w:szCs w:val="24"/>
        </w:rPr>
        <w:t>dodijeljeno</w:t>
      </w:r>
      <w:r>
        <w:rPr>
          <w:rFonts w:cs="Times New Roman"/>
          <w:szCs w:val="24"/>
        </w:rPr>
        <w:t xml:space="preserve"> </w:t>
      </w:r>
      <w:r w:rsidRPr="008318A2">
        <w:rPr>
          <w:rFonts w:cs="Times New Roman"/>
          <w:szCs w:val="24"/>
        </w:rPr>
        <w:t>sedam financijskih potpora udrugama za projekte od interesa za romsku zajednicu, u ukupnom iznosu</w:t>
      </w:r>
      <w:r w:rsidR="002F7831">
        <w:rPr>
          <w:rFonts w:cs="Times New Roman"/>
          <w:szCs w:val="24"/>
        </w:rPr>
        <w:t xml:space="preserve"> </w:t>
      </w:r>
      <w:r w:rsidRPr="008318A2">
        <w:rPr>
          <w:rFonts w:cs="Times New Roman"/>
          <w:szCs w:val="24"/>
        </w:rPr>
        <w:t xml:space="preserve">32.250,56 </w:t>
      </w:r>
      <w:r w:rsidR="002F7831">
        <w:rPr>
          <w:rFonts w:cs="Times New Roman"/>
          <w:szCs w:val="24"/>
        </w:rPr>
        <w:t>EUR</w:t>
      </w:r>
      <w:r w:rsidRPr="008318A2">
        <w:rPr>
          <w:rFonts w:cs="Times New Roman"/>
          <w:szCs w:val="24"/>
        </w:rPr>
        <w:t xml:space="preserve"> (udrugama Save</w:t>
      </w:r>
      <w:r w:rsidR="007865B6">
        <w:rPr>
          <w:rFonts w:cs="Times New Roman"/>
          <w:szCs w:val="24"/>
        </w:rPr>
        <w:t>z</w:t>
      </w:r>
      <w:r w:rsidRPr="008318A2">
        <w:rPr>
          <w:rFonts w:cs="Times New Roman"/>
          <w:szCs w:val="24"/>
        </w:rPr>
        <w:t xml:space="preserve"> Roma </w:t>
      </w:r>
      <w:r w:rsidR="007B3973">
        <w:rPr>
          <w:rFonts w:cs="Times New Roman"/>
          <w:szCs w:val="24"/>
        </w:rPr>
        <w:t>„K</w:t>
      </w:r>
      <w:r w:rsidR="007B3973" w:rsidRPr="008318A2">
        <w:rPr>
          <w:rFonts w:cs="Times New Roman"/>
          <w:szCs w:val="24"/>
        </w:rPr>
        <w:t xml:space="preserve">ali </w:t>
      </w:r>
      <w:r w:rsidR="007B3973">
        <w:rPr>
          <w:rFonts w:cs="Times New Roman"/>
          <w:szCs w:val="24"/>
        </w:rPr>
        <w:t>S</w:t>
      </w:r>
      <w:r w:rsidR="007B3973" w:rsidRPr="008318A2">
        <w:rPr>
          <w:rFonts w:cs="Times New Roman"/>
          <w:szCs w:val="24"/>
        </w:rPr>
        <w:t>ara</w:t>
      </w:r>
      <w:r w:rsidR="007B3973">
        <w:rPr>
          <w:rFonts w:cs="Times New Roman"/>
          <w:szCs w:val="24"/>
        </w:rPr>
        <w:t>“</w:t>
      </w:r>
      <w:r w:rsidRPr="008318A2">
        <w:rPr>
          <w:rFonts w:cs="Times New Roman"/>
          <w:szCs w:val="24"/>
        </w:rPr>
        <w:t>, Udrug</w:t>
      </w:r>
      <w:r w:rsidR="007865B6">
        <w:rPr>
          <w:rFonts w:cs="Times New Roman"/>
          <w:szCs w:val="24"/>
        </w:rPr>
        <w:t>a</w:t>
      </w:r>
      <w:r w:rsidRPr="008318A2">
        <w:rPr>
          <w:rFonts w:cs="Times New Roman"/>
          <w:szCs w:val="24"/>
        </w:rPr>
        <w:t xml:space="preserve"> ROM HR, Ambidekster klub, Perspektiva).</w:t>
      </w:r>
    </w:p>
    <w:p w14:paraId="2D2585FA" w14:textId="61F683DD" w:rsidR="005726C1" w:rsidRPr="008318A2" w:rsidRDefault="005726C1" w:rsidP="005726C1">
      <w:pPr>
        <w:spacing w:line="276" w:lineRule="auto"/>
        <w:jc w:val="both"/>
        <w:rPr>
          <w:rFonts w:cs="Times New Roman"/>
          <w:szCs w:val="24"/>
        </w:rPr>
      </w:pPr>
      <w:r>
        <w:rPr>
          <w:rFonts w:cs="Times New Roman"/>
          <w:szCs w:val="24"/>
        </w:rPr>
        <w:lastRenderedPageBreak/>
        <w:t>Grad Zagreb</w:t>
      </w:r>
      <w:r w:rsidRPr="008318A2">
        <w:rPr>
          <w:rFonts w:cs="Times New Roman"/>
          <w:szCs w:val="24"/>
        </w:rPr>
        <w:t xml:space="preserve"> brin</w:t>
      </w:r>
      <w:r>
        <w:rPr>
          <w:rFonts w:cs="Times New Roman"/>
          <w:szCs w:val="24"/>
        </w:rPr>
        <w:t>e</w:t>
      </w:r>
      <w:r w:rsidRPr="008318A2">
        <w:rPr>
          <w:rFonts w:cs="Times New Roman"/>
          <w:szCs w:val="24"/>
        </w:rPr>
        <w:t xml:space="preserve"> o uključenosti predstavnika romske nacionalne manjine u Povjerenstvima koja odlučuju o pravima koja se </w:t>
      </w:r>
      <w:r w:rsidR="007865B6" w:rsidRPr="008318A2">
        <w:rPr>
          <w:rFonts w:cs="Times New Roman"/>
          <w:szCs w:val="24"/>
        </w:rPr>
        <w:t>osiguravaju</w:t>
      </w:r>
      <w:r w:rsidR="007865B6">
        <w:rPr>
          <w:rFonts w:cs="Times New Roman"/>
          <w:szCs w:val="24"/>
        </w:rPr>
        <w:t xml:space="preserve"> </w:t>
      </w:r>
      <w:r w:rsidRPr="008318A2">
        <w:rPr>
          <w:rFonts w:cs="Times New Roman"/>
          <w:szCs w:val="24"/>
        </w:rPr>
        <w:t>pripadnicima romske nacionalne manjine. Primjerice, članove Povjerenstva za dodjelu Stipendije Grada Zagreba čine najmanje tri člana pripadnika romske nacionalne manjine odnosno najmanje dva člana moraju biti predstavnici Vijeća romske nacionalne manjine Grada Zagreba. Za izradu i praćenje Akcijskog plana Grada Zagreba za 2025.-2027. godinu za provedbu Nacionalnog plana, osnovano je Povjerenstvo koje čini 19 članova, od kojih je šest pripadnika romske nacionalne manjine.</w:t>
      </w:r>
    </w:p>
    <w:p w14:paraId="13918FAE" w14:textId="4DAF30FF" w:rsidR="005726C1" w:rsidRPr="008318A2" w:rsidRDefault="005726C1" w:rsidP="005726C1">
      <w:pPr>
        <w:spacing w:line="276" w:lineRule="auto"/>
        <w:jc w:val="both"/>
        <w:rPr>
          <w:rFonts w:cs="Times New Roman"/>
          <w:szCs w:val="24"/>
        </w:rPr>
      </w:pPr>
      <w:r w:rsidRPr="008318A2">
        <w:rPr>
          <w:rFonts w:cs="Times New Roman"/>
          <w:szCs w:val="24"/>
        </w:rPr>
        <w:t xml:space="preserve">U okviru horizontalnog cilja </w:t>
      </w:r>
      <w:r w:rsidRPr="008318A2">
        <w:rPr>
          <w:rFonts w:cs="Times New Roman"/>
          <w:b/>
          <w:bCs/>
          <w:i/>
          <w:szCs w:val="24"/>
        </w:rPr>
        <w:t>smanjivanje siromaštva i socijalne isključenosti Roma kako bi se smanjio društveno ekonomski jaz između Roma i opće populacije</w:t>
      </w:r>
      <w:r w:rsidRPr="008318A2">
        <w:rPr>
          <w:rFonts w:cs="Times New Roman"/>
          <w:b/>
          <w:bCs/>
          <w:szCs w:val="24"/>
        </w:rPr>
        <w:t xml:space="preserve"> </w:t>
      </w:r>
      <w:r w:rsidRPr="008318A2">
        <w:rPr>
          <w:rFonts w:cs="Times New Roman"/>
          <w:bCs/>
          <w:szCs w:val="24"/>
        </w:rPr>
        <w:t>gotovo svi</w:t>
      </w:r>
      <w:r w:rsidRPr="008318A2">
        <w:rPr>
          <w:rFonts w:cs="Times New Roman"/>
          <w:b/>
          <w:bCs/>
          <w:szCs w:val="24"/>
        </w:rPr>
        <w:t xml:space="preserve"> </w:t>
      </w:r>
      <w:r w:rsidRPr="008318A2">
        <w:rPr>
          <w:rFonts w:cs="Times New Roman"/>
          <w:bCs/>
          <w:szCs w:val="24"/>
        </w:rPr>
        <w:t xml:space="preserve">prilozi </w:t>
      </w:r>
      <w:r w:rsidR="00FE7B55">
        <w:rPr>
          <w:rFonts w:cs="Times New Roman"/>
          <w:bCs/>
          <w:szCs w:val="24"/>
        </w:rPr>
        <w:t>JLP(R)S</w:t>
      </w:r>
      <w:r w:rsidRPr="008318A2">
        <w:rPr>
          <w:rFonts w:cs="Times New Roman"/>
          <w:bCs/>
          <w:szCs w:val="24"/>
        </w:rPr>
        <w:t xml:space="preserve"> </w:t>
      </w:r>
      <w:r w:rsidRPr="008318A2">
        <w:rPr>
          <w:rFonts w:cs="Times New Roman"/>
          <w:szCs w:val="24"/>
        </w:rPr>
        <w:t>izvještavaju o osiguranju pristupa socijalnim uslugama. Navode da su pripadnicima romske nacionalne manjine tijekom izvještajnog razdoblja osiguravali pravo na jednokratnu novčanu naknadu, naknadu za troškove stanovanja, pomoć za troškove režija i troškove ogrijeva te financijsku naknadu za svako novorođeno dijete.</w:t>
      </w:r>
    </w:p>
    <w:p w14:paraId="5241C11B" w14:textId="77777777" w:rsidR="005726C1" w:rsidRPr="008318A2" w:rsidRDefault="005726C1" w:rsidP="005726C1">
      <w:pPr>
        <w:spacing w:line="276" w:lineRule="auto"/>
        <w:jc w:val="both"/>
        <w:rPr>
          <w:rFonts w:cs="Times New Roman"/>
          <w:szCs w:val="24"/>
        </w:rPr>
      </w:pPr>
      <w:r w:rsidRPr="008318A2">
        <w:rPr>
          <w:rFonts w:cs="Times New Roman"/>
          <w:szCs w:val="24"/>
        </w:rPr>
        <w:t>Pojedine mjere uključivale su poboljšanje uvjeta predškolskog i osnovnoškolskog obrazovanja (financiranje ekskurzija i škole u prirodi učenicima, animacija pohađanja dječjeg vrtića i programa male škole, sufinanciranje troškova školskog pribora i radnih materijala, prijevoza).</w:t>
      </w:r>
    </w:p>
    <w:p w14:paraId="3F99F9CE" w14:textId="54F77649" w:rsidR="005726C1" w:rsidRPr="008318A2" w:rsidRDefault="005726C1" w:rsidP="005726C1">
      <w:pPr>
        <w:spacing w:line="276" w:lineRule="auto"/>
        <w:jc w:val="both"/>
        <w:rPr>
          <w:rFonts w:cs="Times New Roman"/>
          <w:szCs w:val="24"/>
        </w:rPr>
      </w:pPr>
      <w:r w:rsidRPr="008318A2">
        <w:rPr>
          <w:rFonts w:cs="Times New Roman"/>
          <w:szCs w:val="24"/>
        </w:rPr>
        <w:t xml:space="preserve">S ciljem smanjivanja siromaštva i socijalne isključenosti Roma, pojedine </w:t>
      </w:r>
      <w:r w:rsidR="00026107">
        <w:rPr>
          <w:rFonts w:cs="Times New Roman"/>
          <w:szCs w:val="24"/>
        </w:rPr>
        <w:t>JLP(R)S</w:t>
      </w:r>
      <w:r w:rsidRPr="008318A2">
        <w:rPr>
          <w:rFonts w:cs="Times New Roman"/>
          <w:szCs w:val="24"/>
        </w:rPr>
        <w:t xml:space="preserve"> navode da su pripadnicima romske nacionalne manjine osigurana sva prava kao i drugim stanovnicima te ne ističu posebna prava usmjerena isključivo poboljšavanju položaja romske nacionalne manjine već se pomoć najčešće veže uz ostvarivanje prava na zajamčenu minimalnu naknadu putem Hrvatskog zavoda za socijalni rad (Grad Đurđevac, Općina Peteranec, Grad Popovača). </w:t>
      </w:r>
    </w:p>
    <w:p w14:paraId="11113B3D" w14:textId="3188BEA3" w:rsidR="005726C1" w:rsidRPr="008318A2" w:rsidRDefault="005726C1" w:rsidP="005726C1">
      <w:pPr>
        <w:spacing w:line="276" w:lineRule="auto"/>
        <w:jc w:val="both"/>
        <w:rPr>
          <w:rFonts w:cs="Times New Roman"/>
          <w:bCs/>
          <w:szCs w:val="24"/>
        </w:rPr>
      </w:pPr>
      <w:r w:rsidRPr="008318A2">
        <w:rPr>
          <w:rFonts w:cs="Times New Roman"/>
          <w:szCs w:val="24"/>
        </w:rPr>
        <w:t>Međimurska županij</w:t>
      </w:r>
      <w:r w:rsidR="00F2268A">
        <w:rPr>
          <w:rFonts w:cs="Times New Roman"/>
          <w:szCs w:val="24"/>
        </w:rPr>
        <w:t>a</w:t>
      </w:r>
      <w:r w:rsidRPr="008318A2">
        <w:rPr>
          <w:rFonts w:cs="Times New Roman"/>
          <w:szCs w:val="24"/>
        </w:rPr>
        <w:t xml:space="preserve"> </w:t>
      </w:r>
      <w:r w:rsidR="007865B6">
        <w:rPr>
          <w:rFonts w:cs="Times New Roman"/>
          <w:szCs w:val="24"/>
        </w:rPr>
        <w:t xml:space="preserve">navodi i </w:t>
      </w:r>
      <w:r w:rsidRPr="008318A2">
        <w:rPr>
          <w:rFonts w:cs="Times New Roman"/>
          <w:szCs w:val="24"/>
        </w:rPr>
        <w:t>dodjel</w:t>
      </w:r>
      <w:r w:rsidR="007865B6">
        <w:rPr>
          <w:rFonts w:cs="Times New Roman"/>
          <w:szCs w:val="24"/>
        </w:rPr>
        <w:t>e</w:t>
      </w:r>
      <w:r w:rsidRPr="008318A2">
        <w:rPr>
          <w:rFonts w:cs="Times New Roman"/>
          <w:szCs w:val="24"/>
        </w:rPr>
        <w:t xml:space="preserve"> jednokratne financijske pomoći u 2024. </w:t>
      </w:r>
      <w:r w:rsidR="00F2268A">
        <w:rPr>
          <w:rFonts w:cs="Times New Roman"/>
          <w:szCs w:val="24"/>
        </w:rPr>
        <w:t xml:space="preserve">godini </w:t>
      </w:r>
      <w:r w:rsidRPr="008318A2">
        <w:rPr>
          <w:rFonts w:cs="Times New Roman"/>
          <w:szCs w:val="24"/>
        </w:rPr>
        <w:t xml:space="preserve">pripadnicima romske nacionalne manjine </w:t>
      </w:r>
      <w:r w:rsidRPr="008318A2">
        <w:rPr>
          <w:rFonts w:cs="Times New Roman"/>
          <w:bCs/>
          <w:szCs w:val="24"/>
        </w:rPr>
        <w:t xml:space="preserve">u ukupnom iznosu od 7.019,44 </w:t>
      </w:r>
      <w:r w:rsidR="002F7831">
        <w:rPr>
          <w:rFonts w:cs="Times New Roman"/>
          <w:bCs/>
          <w:szCs w:val="24"/>
        </w:rPr>
        <w:t>EUR</w:t>
      </w:r>
      <w:r w:rsidRPr="008318A2">
        <w:rPr>
          <w:rFonts w:cs="Times New Roman"/>
          <w:bCs/>
          <w:szCs w:val="24"/>
        </w:rPr>
        <w:t>.</w:t>
      </w:r>
    </w:p>
    <w:p w14:paraId="5D1A601C" w14:textId="541EB41E" w:rsidR="005726C1" w:rsidRPr="008318A2" w:rsidRDefault="005726C1" w:rsidP="005726C1">
      <w:pPr>
        <w:spacing w:line="276" w:lineRule="auto"/>
        <w:jc w:val="both"/>
        <w:rPr>
          <w:rFonts w:cs="Times New Roman"/>
          <w:bCs/>
          <w:szCs w:val="24"/>
        </w:rPr>
      </w:pPr>
      <w:r w:rsidRPr="008318A2">
        <w:rPr>
          <w:rFonts w:cs="Times New Roman"/>
          <w:bCs/>
          <w:szCs w:val="24"/>
        </w:rPr>
        <w:t>Županija je i primjer dobre prakse radi raspisivanja Javnog natječaja za su/financiranje programa i projekata udruga u području zaštite potrošača, zdravstvene i socijalne zaštite, brige o djeci i mladima te ljudskih prava, demokratizacije i razvoja civilnog društva</w:t>
      </w:r>
      <w:r w:rsidR="007865B6">
        <w:rPr>
          <w:rFonts w:cs="Times New Roman"/>
          <w:bCs/>
          <w:szCs w:val="24"/>
        </w:rPr>
        <w:t>,</w:t>
      </w:r>
      <w:r w:rsidRPr="008318A2">
        <w:rPr>
          <w:rFonts w:cs="Times New Roman"/>
          <w:bCs/>
          <w:szCs w:val="24"/>
        </w:rPr>
        <w:t xml:space="preserve"> temeljem kojeg je osigurala potporu udrugama čije aktivnosti olakšavaju svakodnevni život najranjivijim skupinama – djeci s teškoćama u razvoju, osobama s invaliditetom, umirovljenicima i braniteljima. Financiran je projekt „Učimo za život“ Udruge udomitelja djece Međimurja u iznosu od 2.300,00 </w:t>
      </w:r>
      <w:r w:rsidR="002F7831">
        <w:rPr>
          <w:rFonts w:cs="Times New Roman"/>
          <w:bCs/>
          <w:szCs w:val="24"/>
        </w:rPr>
        <w:t>EUR</w:t>
      </w:r>
      <w:r w:rsidRPr="008318A2">
        <w:rPr>
          <w:rFonts w:cs="Times New Roman"/>
          <w:bCs/>
          <w:szCs w:val="24"/>
        </w:rPr>
        <w:t xml:space="preserve">. Izravnom dodjelom financijskih sredstava Udruzi udomitelja djece Međimurja dodijeljen je iznos od 928,00 </w:t>
      </w:r>
      <w:r w:rsidR="002F7831">
        <w:rPr>
          <w:rFonts w:cs="Times New Roman"/>
          <w:bCs/>
          <w:szCs w:val="24"/>
        </w:rPr>
        <w:t>EUR</w:t>
      </w:r>
      <w:r w:rsidRPr="008318A2">
        <w:rPr>
          <w:rFonts w:cs="Times New Roman"/>
          <w:bCs/>
          <w:szCs w:val="24"/>
        </w:rPr>
        <w:t xml:space="preserve"> za provedbu projekta „Pokrenimo se“ za edukaciju članova Vijeć</w:t>
      </w:r>
      <w:r w:rsidR="00F2268A">
        <w:rPr>
          <w:rFonts w:cs="Times New Roman"/>
          <w:bCs/>
          <w:szCs w:val="24"/>
        </w:rPr>
        <w:t>a</w:t>
      </w:r>
      <w:r w:rsidRPr="008318A2">
        <w:rPr>
          <w:rFonts w:cs="Times New Roman"/>
          <w:bCs/>
          <w:szCs w:val="24"/>
        </w:rPr>
        <w:t xml:space="preserve"> udomljene djece s područja Međimurske županije koji će putem javnih istupa u lokalnoj zajednici biti promotori ovog oblika alternativne skrbi, poticati interes novih udomitelja, govoriti o problemima i poteškoćama na koje nailaze nakon udomljavanja i završetka obrazovanja, nedostatak stambenih objekata gdje bi mogli boraviti određeno vrijeme nakon izlaska sa smještaja.</w:t>
      </w:r>
    </w:p>
    <w:p w14:paraId="57E600EA" w14:textId="43669003" w:rsidR="005726C1" w:rsidRPr="00067FEC" w:rsidRDefault="005726C1" w:rsidP="00067FEC">
      <w:pPr>
        <w:spacing w:line="276" w:lineRule="auto"/>
        <w:jc w:val="both"/>
        <w:rPr>
          <w:rFonts w:cs="Times New Roman"/>
          <w:szCs w:val="24"/>
        </w:rPr>
      </w:pPr>
      <w:r w:rsidRPr="00D354EB">
        <w:rPr>
          <w:rFonts w:cs="Times New Roman"/>
          <w:iCs/>
          <w:szCs w:val="24"/>
        </w:rPr>
        <w:t>Za potrebe unapr</w:t>
      </w:r>
      <w:r w:rsidR="00067FEC">
        <w:rPr>
          <w:rFonts w:cs="Times New Roman"/>
          <w:iCs/>
          <w:szCs w:val="24"/>
        </w:rPr>
        <w:t>j</w:t>
      </w:r>
      <w:r w:rsidRPr="00D354EB">
        <w:rPr>
          <w:rFonts w:cs="Times New Roman"/>
          <w:iCs/>
          <w:szCs w:val="24"/>
        </w:rPr>
        <w:t xml:space="preserve">eđenja životnog standarda </w:t>
      </w:r>
      <w:r w:rsidR="007865B6">
        <w:rPr>
          <w:rFonts w:cs="Times New Roman"/>
          <w:iCs/>
          <w:szCs w:val="24"/>
        </w:rPr>
        <w:t>r</w:t>
      </w:r>
      <w:r w:rsidRPr="00D354EB">
        <w:rPr>
          <w:rFonts w:cs="Times New Roman"/>
          <w:iCs/>
          <w:szCs w:val="24"/>
        </w:rPr>
        <w:t>omske zajednice unutar Ulice Stiska u Đurđevcu, Grad Đurđevac je pokrenuo više projekata čijom realizacijom će se uvelike povećati sigurnost i standard stanovnika</w:t>
      </w:r>
      <w:r w:rsidRPr="008318A2">
        <w:rPr>
          <w:rFonts w:cs="Times New Roman"/>
          <w:iCs/>
          <w:szCs w:val="24"/>
        </w:rPr>
        <w:t xml:space="preserve"> (</w:t>
      </w:r>
      <w:r w:rsidRPr="00D354EB">
        <w:rPr>
          <w:rFonts w:cs="Times New Roman"/>
          <w:iCs/>
          <w:szCs w:val="24"/>
        </w:rPr>
        <w:t>asfaltiran</w:t>
      </w:r>
      <w:r w:rsidRPr="008318A2">
        <w:rPr>
          <w:rFonts w:cs="Times New Roman"/>
          <w:iCs/>
          <w:szCs w:val="24"/>
        </w:rPr>
        <w:t>a</w:t>
      </w:r>
      <w:r w:rsidRPr="00D354EB">
        <w:rPr>
          <w:rFonts w:cs="Times New Roman"/>
          <w:iCs/>
          <w:szCs w:val="24"/>
        </w:rPr>
        <w:t xml:space="preserve"> prometnic</w:t>
      </w:r>
      <w:r w:rsidRPr="008318A2">
        <w:rPr>
          <w:rFonts w:cs="Times New Roman"/>
          <w:iCs/>
          <w:szCs w:val="24"/>
        </w:rPr>
        <w:t>a</w:t>
      </w:r>
      <w:r w:rsidRPr="00D354EB">
        <w:rPr>
          <w:rFonts w:cs="Times New Roman"/>
          <w:iCs/>
          <w:szCs w:val="24"/>
        </w:rPr>
        <w:t xml:space="preserve"> i uređeno i ograđeno dječje igralište</w:t>
      </w:r>
      <w:r w:rsidRPr="008318A2">
        <w:rPr>
          <w:rFonts w:cs="Times New Roman"/>
          <w:iCs/>
          <w:szCs w:val="24"/>
        </w:rPr>
        <w:t xml:space="preserve">, </w:t>
      </w:r>
      <w:r w:rsidRPr="00D354EB">
        <w:rPr>
          <w:rFonts w:cs="Times New Roman"/>
          <w:iCs/>
          <w:szCs w:val="24"/>
        </w:rPr>
        <w:t>rekonstrukcij</w:t>
      </w:r>
      <w:r w:rsidRPr="008318A2">
        <w:rPr>
          <w:rFonts w:cs="Times New Roman"/>
          <w:iCs/>
          <w:szCs w:val="24"/>
        </w:rPr>
        <w:t>a</w:t>
      </w:r>
      <w:r w:rsidRPr="00D354EB">
        <w:rPr>
          <w:rFonts w:cs="Times New Roman"/>
          <w:iCs/>
          <w:szCs w:val="24"/>
        </w:rPr>
        <w:t xml:space="preserve"> raskrižja dvije ceste koje omeđuju </w:t>
      </w:r>
      <w:r w:rsidR="007865B6">
        <w:rPr>
          <w:rFonts w:cs="Times New Roman"/>
          <w:iCs/>
          <w:szCs w:val="24"/>
        </w:rPr>
        <w:t>r</w:t>
      </w:r>
      <w:r w:rsidRPr="00D354EB">
        <w:rPr>
          <w:rFonts w:cs="Times New Roman"/>
          <w:iCs/>
          <w:szCs w:val="24"/>
        </w:rPr>
        <w:t>omsko naselje ulicu Stiska</w:t>
      </w:r>
      <w:r w:rsidRPr="008318A2">
        <w:rPr>
          <w:rFonts w:cs="Times New Roman"/>
          <w:iCs/>
          <w:szCs w:val="24"/>
        </w:rPr>
        <w:t xml:space="preserve">) </w:t>
      </w:r>
      <w:r w:rsidRPr="00D354EB">
        <w:rPr>
          <w:rFonts w:cs="Times New Roman"/>
          <w:iCs/>
          <w:szCs w:val="24"/>
        </w:rPr>
        <w:t xml:space="preserve">u vrijednosti 463.161,80 </w:t>
      </w:r>
      <w:r w:rsidR="002F7831">
        <w:rPr>
          <w:rFonts w:cs="Times New Roman"/>
          <w:iCs/>
          <w:szCs w:val="24"/>
        </w:rPr>
        <w:t>EUR</w:t>
      </w:r>
      <w:r w:rsidRPr="008318A2">
        <w:rPr>
          <w:rFonts w:cs="Times New Roman"/>
          <w:iCs/>
          <w:szCs w:val="24"/>
        </w:rPr>
        <w:t xml:space="preserve">. Unutar romskog naselja Stiska proveden je projekt Aglomeracije – izvedeno </w:t>
      </w:r>
      <w:r w:rsidRPr="008318A2">
        <w:rPr>
          <w:rFonts w:cs="Times New Roman"/>
          <w:iCs/>
          <w:szCs w:val="24"/>
        </w:rPr>
        <w:lastRenderedPageBreak/>
        <w:t xml:space="preserve">je 1.172,89m cjevovoda ID315 te je na taj način </w:t>
      </w:r>
      <w:r w:rsidR="007865B6">
        <w:rPr>
          <w:rFonts w:cs="Times New Roman"/>
          <w:iCs/>
          <w:szCs w:val="24"/>
        </w:rPr>
        <w:t>iz</w:t>
      </w:r>
      <w:r w:rsidRPr="008318A2">
        <w:rPr>
          <w:rFonts w:cs="Times New Roman"/>
          <w:iCs/>
          <w:szCs w:val="24"/>
        </w:rPr>
        <w:t>rađeno 74 kanalizacijsk</w:t>
      </w:r>
      <w:r w:rsidR="007865B6">
        <w:rPr>
          <w:rFonts w:cs="Times New Roman"/>
          <w:iCs/>
          <w:szCs w:val="24"/>
        </w:rPr>
        <w:t>ih</w:t>
      </w:r>
      <w:r w:rsidRPr="008318A2">
        <w:rPr>
          <w:rFonts w:cs="Times New Roman"/>
          <w:iCs/>
          <w:szCs w:val="24"/>
        </w:rPr>
        <w:t xml:space="preserve"> i 8 vodovodnih </w:t>
      </w:r>
      <w:r w:rsidRPr="00067FEC">
        <w:rPr>
          <w:rFonts w:cs="Times New Roman"/>
          <w:szCs w:val="24"/>
        </w:rPr>
        <w:t>priključaka.</w:t>
      </w:r>
    </w:p>
    <w:p w14:paraId="2DBDFCAE" w14:textId="6FBF8BE3" w:rsidR="005726C1" w:rsidRDefault="005726C1" w:rsidP="00067FEC">
      <w:pPr>
        <w:spacing w:line="276" w:lineRule="auto"/>
        <w:jc w:val="both"/>
        <w:rPr>
          <w:rFonts w:cs="Times New Roman"/>
          <w:iCs/>
          <w:szCs w:val="24"/>
        </w:rPr>
      </w:pPr>
      <w:r w:rsidRPr="008318A2">
        <w:rPr>
          <w:rFonts w:cs="Times New Roman"/>
          <w:iCs/>
          <w:szCs w:val="24"/>
        </w:rPr>
        <w:t xml:space="preserve">Grad Ludbreg je putem </w:t>
      </w:r>
      <w:r w:rsidR="0003148D">
        <w:rPr>
          <w:rFonts w:cs="Times New Roman"/>
          <w:iCs/>
          <w:szCs w:val="24"/>
        </w:rPr>
        <w:t>P</w:t>
      </w:r>
      <w:r w:rsidRPr="008318A2">
        <w:rPr>
          <w:rFonts w:cs="Times New Roman"/>
          <w:iCs/>
          <w:szCs w:val="24"/>
        </w:rPr>
        <w:t>rograma za unaprjeđenje infrastrukture na područjima naseljenim pripadnicima romske nacionalne manjine u 2024. godini</w:t>
      </w:r>
      <w:r>
        <w:rPr>
          <w:rFonts w:cs="Times New Roman"/>
          <w:iCs/>
          <w:szCs w:val="24"/>
        </w:rPr>
        <w:t>,</w:t>
      </w:r>
      <w:r w:rsidRPr="008318A2">
        <w:rPr>
          <w:rFonts w:cs="Times New Roman"/>
          <w:iCs/>
          <w:szCs w:val="24"/>
        </w:rPr>
        <w:t xml:space="preserve"> kojeg financira Ministarstvo regionalnog razvoja i fondova E</w:t>
      </w:r>
      <w:r w:rsidR="00067FEC">
        <w:rPr>
          <w:rFonts w:cs="Times New Roman"/>
          <w:iCs/>
          <w:szCs w:val="24"/>
        </w:rPr>
        <w:t>uropske unije</w:t>
      </w:r>
      <w:r>
        <w:rPr>
          <w:rFonts w:cs="Times New Roman"/>
          <w:iCs/>
          <w:szCs w:val="24"/>
        </w:rPr>
        <w:t>,</w:t>
      </w:r>
      <w:r w:rsidRPr="008318A2">
        <w:rPr>
          <w:rFonts w:cs="Times New Roman"/>
          <w:iCs/>
          <w:szCs w:val="24"/>
        </w:rPr>
        <w:t xml:space="preserve"> započeo rekonstrukciju pristupne cest</w:t>
      </w:r>
      <w:r w:rsidR="00067FEC">
        <w:rPr>
          <w:rFonts w:cs="Times New Roman"/>
          <w:iCs/>
          <w:szCs w:val="24"/>
        </w:rPr>
        <w:t>e</w:t>
      </w:r>
      <w:r w:rsidRPr="008318A2">
        <w:rPr>
          <w:rFonts w:cs="Times New Roman"/>
          <w:iCs/>
          <w:szCs w:val="24"/>
        </w:rPr>
        <w:t xml:space="preserve"> u romskom naselju – </w:t>
      </w:r>
      <w:r w:rsidR="00067FEC">
        <w:rPr>
          <w:rFonts w:cs="Times New Roman"/>
          <w:iCs/>
          <w:szCs w:val="24"/>
        </w:rPr>
        <w:t>u</w:t>
      </w:r>
      <w:r w:rsidRPr="008318A2">
        <w:rPr>
          <w:rFonts w:cs="Times New Roman"/>
          <w:iCs/>
          <w:szCs w:val="24"/>
        </w:rPr>
        <w:t xml:space="preserve">lica 5. </w:t>
      </w:r>
      <w:r w:rsidR="00067FEC">
        <w:rPr>
          <w:rFonts w:cs="Times New Roman"/>
          <w:iCs/>
          <w:szCs w:val="24"/>
        </w:rPr>
        <w:t>s</w:t>
      </w:r>
      <w:r w:rsidRPr="008318A2">
        <w:rPr>
          <w:rFonts w:cs="Times New Roman"/>
          <w:iCs/>
          <w:szCs w:val="24"/>
        </w:rPr>
        <w:t xml:space="preserve">tudenog. </w:t>
      </w:r>
    </w:p>
    <w:p w14:paraId="6C9379B9" w14:textId="2F95B387" w:rsidR="005726C1" w:rsidRPr="008318A2" w:rsidRDefault="005726C1" w:rsidP="00067FEC">
      <w:pPr>
        <w:spacing w:line="276" w:lineRule="auto"/>
        <w:jc w:val="both"/>
        <w:rPr>
          <w:rFonts w:cs="Times New Roman"/>
          <w:iCs/>
          <w:szCs w:val="24"/>
        </w:rPr>
      </w:pPr>
      <w:r w:rsidRPr="008318A2">
        <w:rPr>
          <w:rFonts w:cs="Times New Roman"/>
          <w:iCs/>
          <w:szCs w:val="24"/>
        </w:rPr>
        <w:t xml:space="preserve">Grad Zagreb je u 2024. </w:t>
      </w:r>
      <w:r w:rsidR="00067FEC">
        <w:rPr>
          <w:rFonts w:cs="Times New Roman"/>
          <w:iCs/>
          <w:szCs w:val="24"/>
        </w:rPr>
        <w:t xml:space="preserve">godini </w:t>
      </w:r>
      <w:r w:rsidRPr="008318A2">
        <w:rPr>
          <w:rFonts w:cs="Times New Roman"/>
          <w:iCs/>
          <w:szCs w:val="24"/>
        </w:rPr>
        <w:t>s Ministarstvom rada, mirovinskoga sustava, obitelji i socijalne politike i Hrvatskim zavodom za zapošljavanje, Uredom za financiranje i ugovaranje projekata Europske unije, sklopio Ugovor o dodjeli bespovratnih sredstava za projekte koji se financira iz Europskog socijalnog fonda plus</w:t>
      </w:r>
      <w:r w:rsidR="00F14FBE">
        <w:rPr>
          <w:rFonts w:cs="Times New Roman"/>
          <w:iCs/>
          <w:szCs w:val="24"/>
        </w:rPr>
        <w:t xml:space="preserve"> kroz </w:t>
      </w:r>
      <w:r w:rsidR="007B3EB4">
        <w:rPr>
          <w:rFonts w:cs="Times New Roman"/>
          <w:iCs/>
          <w:szCs w:val="24"/>
        </w:rPr>
        <w:t>P</w:t>
      </w:r>
      <w:r w:rsidR="00F14FBE">
        <w:rPr>
          <w:rFonts w:cs="Times New Roman"/>
          <w:iCs/>
          <w:szCs w:val="24"/>
        </w:rPr>
        <w:t xml:space="preserve">rogram </w:t>
      </w:r>
      <w:r w:rsidR="00AA0E5E">
        <w:rPr>
          <w:rFonts w:cs="Times New Roman"/>
          <w:iCs/>
          <w:szCs w:val="24"/>
        </w:rPr>
        <w:t>„</w:t>
      </w:r>
      <w:r w:rsidR="00F14FBE">
        <w:rPr>
          <w:rFonts w:cs="Times New Roman"/>
          <w:iCs/>
          <w:szCs w:val="24"/>
        </w:rPr>
        <w:t>Učinkoviti ljudski potencijali 2021.</w:t>
      </w:r>
      <w:r w:rsidR="00AA0E5E">
        <w:rPr>
          <w:rFonts w:cs="Times New Roman"/>
          <w:iCs/>
          <w:szCs w:val="24"/>
        </w:rPr>
        <w:t xml:space="preserve"> </w:t>
      </w:r>
      <w:r w:rsidR="00F14FBE">
        <w:rPr>
          <w:rFonts w:cs="Times New Roman"/>
          <w:iCs/>
          <w:szCs w:val="24"/>
        </w:rPr>
        <w:t>-</w:t>
      </w:r>
      <w:r w:rsidR="00AA0E5E">
        <w:rPr>
          <w:rFonts w:cs="Times New Roman"/>
          <w:iCs/>
          <w:szCs w:val="24"/>
        </w:rPr>
        <w:t xml:space="preserve"> </w:t>
      </w:r>
      <w:r w:rsidR="00F14FBE">
        <w:rPr>
          <w:rFonts w:cs="Times New Roman"/>
          <w:iCs/>
          <w:szCs w:val="24"/>
        </w:rPr>
        <w:t>2027.</w:t>
      </w:r>
      <w:r w:rsidR="00AA0E5E">
        <w:rPr>
          <w:rFonts w:cs="Times New Roman"/>
          <w:iCs/>
          <w:szCs w:val="24"/>
        </w:rPr>
        <w:t>“</w:t>
      </w:r>
      <w:r w:rsidR="00F14FBE">
        <w:rPr>
          <w:rFonts w:cs="Times New Roman"/>
          <w:iCs/>
          <w:szCs w:val="24"/>
        </w:rPr>
        <w:t xml:space="preserve"> </w:t>
      </w:r>
      <w:r w:rsidRPr="008318A2">
        <w:rPr>
          <w:rFonts w:cs="Times New Roman"/>
          <w:iCs/>
          <w:szCs w:val="24"/>
        </w:rPr>
        <w:t xml:space="preserve"> u financijskom razdoblju 2021.</w:t>
      </w:r>
      <w:r w:rsidR="009C4B7C">
        <w:rPr>
          <w:rFonts w:cs="Times New Roman"/>
          <w:iCs/>
          <w:szCs w:val="24"/>
        </w:rPr>
        <w:t xml:space="preserve"> </w:t>
      </w:r>
      <w:r w:rsidRPr="008318A2">
        <w:rPr>
          <w:rFonts w:cs="Times New Roman"/>
          <w:iCs/>
          <w:szCs w:val="24"/>
        </w:rPr>
        <w:t>-</w:t>
      </w:r>
      <w:r w:rsidR="009C4B7C">
        <w:rPr>
          <w:rFonts w:cs="Times New Roman"/>
          <w:iCs/>
          <w:szCs w:val="24"/>
        </w:rPr>
        <w:t xml:space="preserve"> </w:t>
      </w:r>
      <w:r w:rsidRPr="008318A2">
        <w:rPr>
          <w:rFonts w:cs="Times New Roman"/>
          <w:iCs/>
          <w:szCs w:val="24"/>
        </w:rPr>
        <w:t xml:space="preserve">2027., SF.3.4.11.01.0406. za projekt „Zaželi za potrebite Zagreba“. Cilj </w:t>
      </w:r>
      <w:r w:rsidR="007865B6">
        <w:rPr>
          <w:rFonts w:cs="Times New Roman"/>
          <w:iCs/>
          <w:szCs w:val="24"/>
        </w:rPr>
        <w:t>p</w:t>
      </w:r>
      <w:r w:rsidRPr="008318A2">
        <w:rPr>
          <w:rFonts w:cs="Times New Roman"/>
          <w:iCs/>
          <w:szCs w:val="24"/>
        </w:rPr>
        <w:t>rojekta je osiguravanje pružanja usluge potpore i podrške u svakodnevnom životu uz podjelu paketa higijenskih i kućanskih potrepština za 140 osoba starijih od 65 godina, tijekom razdoblja od 30 mjeseci, a čime se pridonosi njihovoj većoj socijalnoj uključenosti, prevenciji institucionalizacije te omogućavanju njihovog ostanka u vlastitom domu i prava na život u zajednici. Grad Zagreb Projekt provodi u partnerstvu s tri organizacije civilnog društva, od kojih je jedna Udruga Perspektiva čije je djelovanje usmjereno prema manj</w:t>
      </w:r>
      <w:r w:rsidR="0049761A">
        <w:rPr>
          <w:rFonts w:cs="Times New Roman"/>
          <w:iCs/>
          <w:szCs w:val="24"/>
        </w:rPr>
        <w:t>in</w:t>
      </w:r>
      <w:r w:rsidRPr="008318A2">
        <w:rPr>
          <w:rFonts w:cs="Times New Roman"/>
          <w:iCs/>
          <w:szCs w:val="24"/>
        </w:rPr>
        <w:t xml:space="preserve">skim zajednicama i njihovim članovima s posebnim naglaskom na romsku zajednicu u Republici Hrvatskoj. </w:t>
      </w:r>
    </w:p>
    <w:p w14:paraId="70B1983A" w14:textId="70D8F0AD" w:rsidR="005726C1" w:rsidRPr="008318A2" w:rsidRDefault="005726C1" w:rsidP="005726C1">
      <w:pPr>
        <w:spacing w:after="0" w:line="276" w:lineRule="auto"/>
        <w:jc w:val="both"/>
        <w:rPr>
          <w:rFonts w:cs="Times New Roman"/>
          <w:iCs/>
          <w:szCs w:val="24"/>
        </w:rPr>
      </w:pPr>
      <w:r w:rsidRPr="008318A2">
        <w:rPr>
          <w:rFonts w:cs="Times New Roman"/>
          <w:iCs/>
          <w:szCs w:val="24"/>
        </w:rPr>
        <w:t xml:space="preserve">Grad Slavonski Brod izgradio je u 2024. </w:t>
      </w:r>
      <w:r w:rsidR="00067FEC">
        <w:rPr>
          <w:rFonts w:cs="Times New Roman"/>
          <w:iCs/>
          <w:szCs w:val="24"/>
        </w:rPr>
        <w:t xml:space="preserve">godini </w:t>
      </w:r>
      <w:r w:rsidRPr="008318A2">
        <w:rPr>
          <w:rFonts w:cs="Times New Roman"/>
          <w:iCs/>
          <w:szCs w:val="24"/>
        </w:rPr>
        <w:t>zgradu za javne društvene namjene - društveni dom u MO „Josip Rimac“. Prijevoz učenika u O</w:t>
      </w:r>
      <w:r w:rsidR="00067FEC">
        <w:rPr>
          <w:rFonts w:cs="Times New Roman"/>
          <w:iCs/>
          <w:szCs w:val="24"/>
        </w:rPr>
        <w:t>snovnoj školi</w:t>
      </w:r>
      <w:r w:rsidRPr="008318A2">
        <w:rPr>
          <w:rFonts w:cs="Times New Roman"/>
          <w:iCs/>
          <w:szCs w:val="24"/>
        </w:rPr>
        <w:t xml:space="preserve"> Hugo Badalić u iznosu od 50.000,00 </w:t>
      </w:r>
      <w:r w:rsidR="002F7831">
        <w:rPr>
          <w:rFonts w:cs="Times New Roman"/>
          <w:iCs/>
          <w:szCs w:val="24"/>
        </w:rPr>
        <w:t>EUR</w:t>
      </w:r>
      <w:r w:rsidRPr="008318A2">
        <w:rPr>
          <w:rFonts w:cs="Times New Roman"/>
          <w:iCs/>
          <w:szCs w:val="24"/>
        </w:rPr>
        <w:t xml:space="preserve"> financirano je od strane Ureda za ljudska prava i prava nacionalnih manjina.</w:t>
      </w:r>
    </w:p>
    <w:p w14:paraId="6829EA2B" w14:textId="77777777" w:rsidR="005726C1" w:rsidRPr="008318A2" w:rsidRDefault="005726C1" w:rsidP="005726C1">
      <w:pPr>
        <w:spacing w:after="0" w:line="276" w:lineRule="auto"/>
        <w:jc w:val="both"/>
        <w:rPr>
          <w:rFonts w:cs="Times New Roman"/>
          <w:iCs/>
          <w:szCs w:val="24"/>
        </w:rPr>
      </w:pPr>
    </w:p>
    <w:p w14:paraId="2B0972A0" w14:textId="77777777" w:rsidR="005726C1" w:rsidRPr="008318A2" w:rsidRDefault="005726C1" w:rsidP="005726C1">
      <w:pPr>
        <w:spacing w:line="276" w:lineRule="auto"/>
        <w:jc w:val="both"/>
        <w:rPr>
          <w:rFonts w:cs="Times New Roman"/>
          <w:szCs w:val="24"/>
        </w:rPr>
      </w:pPr>
      <w:r w:rsidRPr="008318A2">
        <w:rPr>
          <w:rFonts w:cs="Times New Roman"/>
          <w:szCs w:val="24"/>
        </w:rPr>
        <w:t>Primjere aktivnosti u okviru sektorskog cilja</w:t>
      </w:r>
      <w:r w:rsidRPr="008318A2">
        <w:rPr>
          <w:rFonts w:cs="Times New Roman"/>
          <w:i/>
          <w:szCs w:val="24"/>
        </w:rPr>
        <w:t xml:space="preserve"> </w:t>
      </w:r>
      <w:r w:rsidRPr="008318A2">
        <w:rPr>
          <w:rFonts w:cs="Times New Roman"/>
          <w:b/>
          <w:i/>
          <w:szCs w:val="24"/>
        </w:rPr>
        <w:t>učinkovit i jednak pristup Roma kvalitetnom, uključivom obrazovanju</w:t>
      </w:r>
      <w:r w:rsidRPr="008318A2">
        <w:rPr>
          <w:rFonts w:cs="Times New Roman"/>
          <w:b/>
          <w:szCs w:val="24"/>
        </w:rPr>
        <w:t xml:space="preserve"> </w:t>
      </w:r>
      <w:r w:rsidRPr="008318A2">
        <w:rPr>
          <w:rFonts w:cs="Times New Roman"/>
          <w:szCs w:val="24"/>
        </w:rPr>
        <w:t>navode se u gotovo svim izvješćima.</w:t>
      </w:r>
    </w:p>
    <w:p w14:paraId="247F3965" w14:textId="4D9606AF" w:rsidR="005726C1" w:rsidRPr="008318A2" w:rsidRDefault="005726C1" w:rsidP="005726C1">
      <w:pPr>
        <w:spacing w:line="276" w:lineRule="auto"/>
        <w:jc w:val="both"/>
        <w:rPr>
          <w:rFonts w:cs="Times New Roman"/>
          <w:bCs/>
          <w:szCs w:val="24"/>
        </w:rPr>
      </w:pPr>
      <w:r w:rsidRPr="008318A2">
        <w:rPr>
          <w:rFonts w:cs="Times New Roman"/>
          <w:bCs/>
          <w:szCs w:val="24"/>
        </w:rPr>
        <w:t>U Međimurskoj županiji u školskoj godini</w:t>
      </w:r>
      <w:r>
        <w:rPr>
          <w:rFonts w:cs="Times New Roman"/>
          <w:bCs/>
          <w:szCs w:val="24"/>
        </w:rPr>
        <w:t xml:space="preserve"> </w:t>
      </w:r>
      <w:r w:rsidRPr="008318A2">
        <w:rPr>
          <w:rFonts w:cs="Times New Roman"/>
          <w:bCs/>
          <w:szCs w:val="24"/>
        </w:rPr>
        <w:t>2023</w:t>
      </w:r>
      <w:r w:rsidR="00067FEC">
        <w:rPr>
          <w:rFonts w:cs="Times New Roman"/>
          <w:bCs/>
          <w:szCs w:val="24"/>
        </w:rPr>
        <w:t>.</w:t>
      </w:r>
      <w:r w:rsidRPr="008318A2">
        <w:rPr>
          <w:rFonts w:cs="Times New Roman"/>
          <w:bCs/>
          <w:szCs w:val="24"/>
        </w:rPr>
        <w:t>/2024. provodio se projekt „Škole jednakih mogućnost</w:t>
      </w:r>
      <w:r w:rsidR="001B4386">
        <w:rPr>
          <w:rFonts w:cs="Times New Roman"/>
          <w:bCs/>
          <w:szCs w:val="24"/>
        </w:rPr>
        <w:t>i</w:t>
      </w:r>
      <w:r w:rsidR="007865B6">
        <w:rPr>
          <w:rFonts w:cs="Times New Roman"/>
          <w:bCs/>
          <w:szCs w:val="24"/>
        </w:rPr>
        <w:t>“</w:t>
      </w:r>
      <w:r w:rsidRPr="008318A2">
        <w:rPr>
          <w:rFonts w:cs="Times New Roman"/>
          <w:bCs/>
          <w:szCs w:val="24"/>
        </w:rPr>
        <w:t xml:space="preserve"> čiji je cilj promicanje jednakog pristupa kvalitetnom i uključivom obrazovanju i osposobljavanju te njegova završetka, posebice kad je riječ o skupinama u nepovoljnom položaju, od ranog i predškolskog odgoja i obrazovanja preko općeg i strukovnog obrazovanja i osposobljavanja do tercijarnog obrazovanja, kao i obrazovanja i učenja odraslih, uključujući olakšavanje mobilnosti u svrhu učenja za sve i pristupačnosti osobama s invaliditetom. </w:t>
      </w:r>
    </w:p>
    <w:p w14:paraId="3FC9A64B" w14:textId="3481AB95" w:rsidR="005726C1" w:rsidRPr="008318A2" w:rsidRDefault="005726C1" w:rsidP="005726C1">
      <w:pPr>
        <w:spacing w:line="276" w:lineRule="auto"/>
        <w:jc w:val="both"/>
        <w:rPr>
          <w:rFonts w:cs="Times New Roman"/>
          <w:bCs/>
          <w:szCs w:val="24"/>
        </w:rPr>
      </w:pPr>
      <w:r w:rsidRPr="008318A2">
        <w:rPr>
          <w:rFonts w:cs="Times New Roman"/>
          <w:bCs/>
          <w:szCs w:val="24"/>
        </w:rPr>
        <w:t>Temeljem Suglasnosti Povjerenstva za praćenje provedbe Nacionalnog plana, u prosincu 2024., sklopljen je Ugovor o jednokratnoj financijskoj pomoći između Međimurske županije i Ureda za ljudska prava i prava nacionalnih manjina Vlade Republike Hrvatske</w:t>
      </w:r>
      <w:r w:rsidR="007865B6">
        <w:rPr>
          <w:rFonts w:cs="Times New Roman"/>
          <w:bCs/>
          <w:szCs w:val="24"/>
        </w:rPr>
        <w:t xml:space="preserve"> za</w:t>
      </w:r>
      <w:r w:rsidRPr="008318A2">
        <w:rPr>
          <w:rFonts w:cs="Times New Roman"/>
          <w:bCs/>
          <w:szCs w:val="24"/>
        </w:rPr>
        <w:t xml:space="preserve"> financiranje provedbe projekta „M </w:t>
      </w:r>
      <w:proofErr w:type="spellStart"/>
      <w:r w:rsidRPr="008318A2">
        <w:rPr>
          <w:rFonts w:cs="Times New Roman"/>
          <w:bCs/>
          <w:szCs w:val="24"/>
        </w:rPr>
        <w:t>žok</w:t>
      </w:r>
      <w:proofErr w:type="spellEnd"/>
      <w:r w:rsidRPr="008318A2">
        <w:rPr>
          <w:rFonts w:cs="Times New Roman"/>
          <w:bCs/>
          <w:szCs w:val="24"/>
        </w:rPr>
        <w:t xml:space="preserve"> igra </w:t>
      </w:r>
      <w:proofErr w:type="spellStart"/>
      <w:r w:rsidRPr="008318A2">
        <w:rPr>
          <w:rFonts w:cs="Times New Roman"/>
          <w:bCs/>
          <w:szCs w:val="24"/>
        </w:rPr>
        <w:t>ame</w:t>
      </w:r>
      <w:proofErr w:type="spellEnd"/>
      <w:r w:rsidRPr="008318A2">
        <w:rPr>
          <w:rFonts w:cs="Times New Roman"/>
          <w:bCs/>
          <w:szCs w:val="24"/>
        </w:rPr>
        <w:t xml:space="preserve">-Dani za nas“ (u nastavku: Projekt), ukupnom iznosu od 29.626,50 EUR. </w:t>
      </w:r>
    </w:p>
    <w:p w14:paraId="35FD537A" w14:textId="0F95B3ED" w:rsidR="005726C1" w:rsidRPr="008318A2" w:rsidRDefault="005726C1" w:rsidP="005726C1">
      <w:pPr>
        <w:spacing w:line="276" w:lineRule="auto"/>
        <w:jc w:val="both"/>
        <w:rPr>
          <w:rFonts w:cs="Times New Roman"/>
          <w:bCs/>
          <w:szCs w:val="24"/>
        </w:rPr>
      </w:pPr>
      <w:r w:rsidRPr="008318A2">
        <w:rPr>
          <w:rFonts w:cs="Times New Roman"/>
          <w:bCs/>
          <w:szCs w:val="24"/>
        </w:rPr>
        <w:t>Cilj Projekta je prevencija ranog napuštanja osnovnoškolskog obrazovanja učenica romske nacionalne manjine, osnaživanjem socijalnih vještina i obrazovnih kompetencija, povećavanjem obrazovne ponude koja pruža mogućnost za prosocijaln</w:t>
      </w:r>
      <w:r>
        <w:rPr>
          <w:rFonts w:cs="Times New Roman"/>
          <w:bCs/>
          <w:szCs w:val="24"/>
        </w:rPr>
        <w:t>o</w:t>
      </w:r>
      <w:r w:rsidRPr="008318A2">
        <w:rPr>
          <w:rFonts w:cs="Times New Roman"/>
          <w:bCs/>
          <w:szCs w:val="24"/>
        </w:rPr>
        <w:t xml:space="preserve"> uključivanje učenica romske nacionalne manjine u cjelokupan obrazovni proces. </w:t>
      </w:r>
    </w:p>
    <w:p w14:paraId="52784D0E" w14:textId="6DA03D88" w:rsidR="005726C1" w:rsidRPr="008318A2" w:rsidRDefault="005726C1" w:rsidP="005726C1">
      <w:pPr>
        <w:spacing w:line="276" w:lineRule="auto"/>
        <w:jc w:val="both"/>
        <w:rPr>
          <w:rFonts w:cs="Times New Roman"/>
          <w:szCs w:val="24"/>
        </w:rPr>
      </w:pPr>
      <w:r w:rsidRPr="008318A2">
        <w:rPr>
          <w:rFonts w:cs="Times New Roman"/>
          <w:szCs w:val="24"/>
        </w:rPr>
        <w:lastRenderedPageBreak/>
        <w:t xml:space="preserve">Većina </w:t>
      </w:r>
      <w:r w:rsidR="00FE7B55">
        <w:rPr>
          <w:rFonts w:cs="Times New Roman"/>
          <w:szCs w:val="24"/>
        </w:rPr>
        <w:t>JLP(R)S</w:t>
      </w:r>
      <w:r w:rsidRPr="008318A2">
        <w:rPr>
          <w:rFonts w:cs="Times New Roman"/>
          <w:szCs w:val="24"/>
        </w:rPr>
        <w:t xml:space="preserve"> navodi pomoć u nabavi školskog pribora (Cestica, Ludbreg, Peteranec), financiranje produženog boravka (Slavonski Brod, Varaždin), sudjelovanje na izvanučioničkoj nastavi i školi plivanja (Ludbreg), osiguravanje prijevoza (Međimurska županija, Varaždin), jednokratne potpore i stipendije srednjoškolcima (Međimurska županija, Koprivnica, Peteranec, Varaždin) i studentima (Međimurska županija i Varaždin).</w:t>
      </w:r>
      <w:r w:rsidR="00440AF1">
        <w:rPr>
          <w:rFonts w:cs="Times New Roman"/>
          <w:szCs w:val="24"/>
        </w:rPr>
        <w:t xml:space="preserve"> Osobito se ističe primjer Belišća gdje Vijeće romske nacionalne manjine, uz potporu Grada Belišća, isplaćuje potporu za obrazovanje te </w:t>
      </w:r>
      <w:r w:rsidR="001B4386">
        <w:rPr>
          <w:rFonts w:cs="Times New Roman"/>
          <w:szCs w:val="24"/>
        </w:rPr>
        <w:t>j</w:t>
      </w:r>
      <w:r w:rsidR="00440AF1">
        <w:rPr>
          <w:rFonts w:cs="Times New Roman"/>
          <w:szCs w:val="24"/>
        </w:rPr>
        <w:t xml:space="preserve">e u 2024. godini izdvojilo 9.050,00 EUR za stipendije 14 </w:t>
      </w:r>
      <w:r w:rsidR="00515EAD">
        <w:rPr>
          <w:rFonts w:cs="Times New Roman"/>
          <w:szCs w:val="24"/>
        </w:rPr>
        <w:t>srednjoškolaca</w:t>
      </w:r>
      <w:r w:rsidR="00440AF1">
        <w:rPr>
          <w:rFonts w:cs="Times New Roman"/>
          <w:szCs w:val="24"/>
        </w:rPr>
        <w:t>.</w:t>
      </w:r>
    </w:p>
    <w:p w14:paraId="6C30F4D7" w14:textId="77777777" w:rsidR="005726C1" w:rsidRPr="008318A2" w:rsidRDefault="005726C1" w:rsidP="005726C1">
      <w:pPr>
        <w:autoSpaceDE w:val="0"/>
        <w:autoSpaceDN w:val="0"/>
        <w:adjustRightInd w:val="0"/>
        <w:spacing w:after="0" w:line="276" w:lineRule="auto"/>
        <w:jc w:val="both"/>
        <w:rPr>
          <w:rFonts w:cs="Times New Roman"/>
          <w:iCs/>
          <w:szCs w:val="24"/>
        </w:rPr>
      </w:pPr>
      <w:r w:rsidRPr="008318A2">
        <w:rPr>
          <w:rFonts w:cs="Times New Roman"/>
          <w:bCs/>
          <w:iCs/>
          <w:szCs w:val="24"/>
        </w:rPr>
        <w:t>Grad Rijeka</w:t>
      </w:r>
      <w:r w:rsidRPr="00D2411E">
        <w:rPr>
          <w:rFonts w:cs="Times New Roman"/>
          <w:iCs/>
          <w:szCs w:val="24"/>
        </w:rPr>
        <w:t xml:space="preserve"> prepoznaje Rome kao jednu od najranjivijih društvenih skupina u pogledu diskriminacije i socijalne isključenosti, između ostaloga i zato što ostvaruju slabiji prosječan stupanj obrazovanja. Iz tog razloga kontinuirano </w:t>
      </w:r>
      <w:r>
        <w:rPr>
          <w:rFonts w:cs="Times New Roman"/>
          <w:iCs/>
          <w:szCs w:val="24"/>
        </w:rPr>
        <w:t>ulažu</w:t>
      </w:r>
      <w:r w:rsidRPr="00D2411E">
        <w:rPr>
          <w:rFonts w:cs="Times New Roman"/>
          <w:iCs/>
          <w:szCs w:val="24"/>
        </w:rPr>
        <w:t xml:space="preserve"> napore u proces integracije djece pripadnika romske nacionalne manjine u sustav odgoja i obrazovanja, kao važan korak izjednačavanja trenutnih i kasnijih mogućnosti ravnopravnog pristupa kvalitetnom obrazovanju. Djelovanje Grada, tako je usmjereno razvoju pozitivnog emocionalnog identiteta romske djece i učenika prema odgojno-obrazovnom sustavu, odnosno pružanju podrške ostvarivanju njihovog punog potencijala i posljedično, olakšavanju pristupa tržištu rada u odrasloj dobi. Grad Rijeka, kako bi potaknuo proces uspješne integracije pripadnika romske nacionalne manjine, znatne napore ulaže i u educiranje i senzibiliziranje i ostalog stanovništva, financiranjem programa poput </w:t>
      </w:r>
      <w:r w:rsidRPr="00D2411E">
        <w:rPr>
          <w:rFonts w:cs="Times New Roman"/>
          <w:i/>
          <w:iCs/>
          <w:szCs w:val="24"/>
        </w:rPr>
        <w:t>Građanskog odgoja i obrazovanja</w:t>
      </w:r>
      <w:r w:rsidRPr="00D2411E">
        <w:rPr>
          <w:rFonts w:cs="Times New Roman"/>
          <w:iCs/>
          <w:szCs w:val="24"/>
        </w:rPr>
        <w:t xml:space="preserve">, </w:t>
      </w:r>
      <w:r w:rsidRPr="00D2411E">
        <w:rPr>
          <w:rFonts w:cs="Times New Roman"/>
          <w:i/>
          <w:iCs/>
          <w:szCs w:val="24"/>
        </w:rPr>
        <w:t>Moja Rijeka</w:t>
      </w:r>
      <w:r w:rsidRPr="00D2411E">
        <w:rPr>
          <w:rFonts w:cs="Times New Roman"/>
          <w:iCs/>
          <w:szCs w:val="24"/>
        </w:rPr>
        <w:t xml:space="preserve">, ili najnovije izvannastavne </w:t>
      </w:r>
      <w:r w:rsidRPr="00D2411E">
        <w:rPr>
          <w:rFonts w:cs="Times New Roman"/>
          <w:i/>
          <w:iCs/>
          <w:szCs w:val="24"/>
        </w:rPr>
        <w:t>aktivnosti Zdravstveni odgoj i obrazovanje</w:t>
      </w:r>
      <w:r w:rsidRPr="00D2411E">
        <w:rPr>
          <w:rFonts w:cs="Times New Roman"/>
          <w:iCs/>
          <w:szCs w:val="24"/>
        </w:rPr>
        <w:t>, koja se od ove školske godine eksperimentalno provodi u šest osnovnih škola Grada Rijeke.</w:t>
      </w:r>
      <w:r w:rsidRPr="008318A2">
        <w:rPr>
          <w:rFonts w:cs="Times New Roman"/>
          <w:iCs/>
          <w:szCs w:val="24"/>
        </w:rPr>
        <w:t xml:space="preserve"> </w:t>
      </w:r>
    </w:p>
    <w:p w14:paraId="2D2DC562" w14:textId="77777777" w:rsidR="005726C1" w:rsidRPr="008318A2" w:rsidRDefault="005726C1" w:rsidP="00067FEC">
      <w:pPr>
        <w:autoSpaceDE w:val="0"/>
        <w:autoSpaceDN w:val="0"/>
        <w:adjustRightInd w:val="0"/>
        <w:spacing w:line="276" w:lineRule="auto"/>
        <w:jc w:val="both"/>
        <w:rPr>
          <w:rFonts w:cs="Times New Roman"/>
          <w:iCs/>
          <w:szCs w:val="24"/>
        </w:rPr>
      </w:pPr>
      <w:r w:rsidRPr="008318A2">
        <w:rPr>
          <w:rFonts w:cs="Times New Roman"/>
          <w:iCs/>
          <w:szCs w:val="24"/>
        </w:rPr>
        <w:t xml:space="preserve">S ciljem što većeg obuhvata romske djece ranim i predškolskim odgojem i obrazovanjem, dječji vrtići kojima je osnivač Grad Rijeka niz godina provodili su posebnu upisnu politiku upravo za upis romske djece, a s ciljem svladavanja hrvatskog jezika prije polaska u školu te povećanjem obuhvata djece oba spola predškolskim odgojem i obrazovanjem. </w:t>
      </w:r>
    </w:p>
    <w:p w14:paraId="4FF9FC05" w14:textId="37657268" w:rsidR="005726C1" w:rsidRPr="008318A2" w:rsidRDefault="005726C1" w:rsidP="00067FEC">
      <w:pPr>
        <w:autoSpaceDE w:val="0"/>
        <w:autoSpaceDN w:val="0"/>
        <w:adjustRightInd w:val="0"/>
        <w:spacing w:line="276" w:lineRule="auto"/>
        <w:jc w:val="both"/>
        <w:rPr>
          <w:rFonts w:cs="Times New Roman"/>
          <w:iCs/>
          <w:szCs w:val="24"/>
        </w:rPr>
      </w:pPr>
      <w:r w:rsidRPr="008318A2">
        <w:rPr>
          <w:rFonts w:cs="Times New Roman"/>
          <w:iCs/>
          <w:szCs w:val="24"/>
        </w:rPr>
        <w:t xml:space="preserve">Kako bi se dodatno olakšalo ravnopravno uključivanje učenika pripadnika romske nacionalne manjine u odgojno-obrazovni sustav, pojedine </w:t>
      </w:r>
      <w:r w:rsidR="00026107">
        <w:rPr>
          <w:rFonts w:cs="Times New Roman"/>
          <w:iCs/>
          <w:szCs w:val="24"/>
        </w:rPr>
        <w:t>JLP(R)S</w:t>
      </w:r>
      <w:r w:rsidRPr="008318A2">
        <w:rPr>
          <w:rFonts w:cs="Times New Roman"/>
          <w:iCs/>
          <w:szCs w:val="24"/>
        </w:rPr>
        <w:t>, u osnovne škole koje su iskazale potrebu, uvode i financiraju romskog pomagača i pomoćnika u nastavi. Romski pomagači i pomoćnici s učenicima rade za vrijeme i nakon redovne nastave s ciljem osiguravanja pomoći u integraciji, svladavanju školskog gradiva, pisanju zadaća, razvoju higijenskih navika i socijalizaciji. Zajedničkim radom i trudom radnika i radnica škola, stručnih službi, ravnatelja, učitelja te posebice radom romskih pomagača i pomoćnika, primjećuju se znatni pomaci u napretku i integraciji učenika pripadnika romske nacionalne manjine.</w:t>
      </w:r>
    </w:p>
    <w:p w14:paraId="4446273B" w14:textId="25473827" w:rsidR="005726C1" w:rsidRPr="008318A2" w:rsidRDefault="005726C1" w:rsidP="005726C1">
      <w:pPr>
        <w:spacing w:line="276" w:lineRule="auto"/>
        <w:jc w:val="both"/>
        <w:rPr>
          <w:rFonts w:cs="Times New Roman"/>
          <w:szCs w:val="24"/>
        </w:rPr>
      </w:pPr>
      <w:r w:rsidRPr="008318A2">
        <w:rPr>
          <w:rFonts w:cs="Times New Roman"/>
          <w:szCs w:val="24"/>
        </w:rPr>
        <w:t xml:space="preserve">Grad Zagreb je u svom proračunu za Stipendiju Grada Zagreba za pripadnike romske nacionalne manjine izdvojio u 2024. </w:t>
      </w:r>
      <w:r w:rsidR="00067FEC">
        <w:rPr>
          <w:rFonts w:cs="Times New Roman"/>
          <w:szCs w:val="24"/>
        </w:rPr>
        <w:t xml:space="preserve">godini </w:t>
      </w:r>
      <w:r w:rsidRPr="008318A2">
        <w:rPr>
          <w:rFonts w:cs="Times New Roman"/>
          <w:szCs w:val="24"/>
        </w:rPr>
        <w:t xml:space="preserve">440.242,50 </w:t>
      </w:r>
      <w:r w:rsidR="002F7831">
        <w:rPr>
          <w:rFonts w:cs="Times New Roman"/>
          <w:szCs w:val="24"/>
        </w:rPr>
        <w:t>EUR</w:t>
      </w:r>
      <w:r w:rsidRPr="008318A2">
        <w:rPr>
          <w:rFonts w:cs="Times New Roman"/>
          <w:szCs w:val="24"/>
        </w:rPr>
        <w:t xml:space="preserve">. </w:t>
      </w:r>
    </w:p>
    <w:p w14:paraId="525BCCFD" w14:textId="16699101" w:rsidR="005726C1" w:rsidRDefault="005726C1" w:rsidP="005726C1">
      <w:pPr>
        <w:spacing w:line="276" w:lineRule="auto"/>
        <w:jc w:val="both"/>
        <w:rPr>
          <w:rFonts w:cs="Times New Roman"/>
          <w:szCs w:val="24"/>
        </w:rPr>
      </w:pPr>
      <w:r w:rsidRPr="008318A2">
        <w:rPr>
          <w:rFonts w:cs="Times New Roman"/>
          <w:szCs w:val="24"/>
        </w:rPr>
        <w:t>Temeljem Javnog poziva za sufinanciranje provedbe projekata udruga ugovorenih iz programa Europske unije, fondova Europske unije i inozemnih fondova za 2021., Grad Zagreb je sufinancirao provedbu projekta Saveza Roma u Republici Hrvatskoj „</w:t>
      </w:r>
      <w:r w:rsidR="00067FEC">
        <w:rPr>
          <w:rFonts w:cs="Times New Roman"/>
          <w:szCs w:val="24"/>
        </w:rPr>
        <w:t>Kali Sara</w:t>
      </w:r>
      <w:r w:rsidRPr="008318A2">
        <w:rPr>
          <w:rFonts w:cs="Times New Roman"/>
          <w:szCs w:val="24"/>
        </w:rPr>
        <w:t xml:space="preserve">“ pod nazivom </w:t>
      </w:r>
      <w:r w:rsidRPr="00D1280F">
        <w:rPr>
          <w:rFonts w:cs="Times New Roman"/>
          <w:szCs w:val="24"/>
        </w:rPr>
        <w:t>„Obrazovane Romkinje, osnažene romske zajednice!“.</w:t>
      </w:r>
      <w:r w:rsidRPr="008318A2">
        <w:rPr>
          <w:rFonts w:cs="Times New Roman"/>
          <w:szCs w:val="24"/>
        </w:rPr>
        <w:t xml:space="preserve"> Opći cilj projekta je povećanje obuhvata mladih Romkinja kod dovršavanja osnovnoškolskog i srednjoškolskog obrazovanja. Projekt se provodio u razdoblju od 1.</w:t>
      </w:r>
      <w:r w:rsidR="0091065D">
        <w:rPr>
          <w:rFonts w:cs="Times New Roman"/>
          <w:szCs w:val="24"/>
        </w:rPr>
        <w:t xml:space="preserve"> veljače</w:t>
      </w:r>
      <w:r w:rsidR="00E1705B">
        <w:rPr>
          <w:rFonts w:cs="Times New Roman"/>
          <w:szCs w:val="24"/>
        </w:rPr>
        <w:t xml:space="preserve"> </w:t>
      </w:r>
      <w:r w:rsidRPr="008318A2">
        <w:rPr>
          <w:rFonts w:cs="Times New Roman"/>
          <w:szCs w:val="24"/>
        </w:rPr>
        <w:t>2021. do 31.</w:t>
      </w:r>
      <w:r w:rsidR="0091065D">
        <w:rPr>
          <w:rFonts w:cs="Times New Roman"/>
          <w:szCs w:val="24"/>
        </w:rPr>
        <w:t xml:space="preserve"> siječnja </w:t>
      </w:r>
      <w:r w:rsidRPr="008318A2">
        <w:rPr>
          <w:rFonts w:cs="Times New Roman"/>
          <w:szCs w:val="24"/>
        </w:rPr>
        <w:t xml:space="preserve">2024. uz financijsku podršku Islanda, Lihtenštajna i Norveške u okviru Europskog gospodarskog prostora i Norveških grantova u iznosu od 149.999,51 </w:t>
      </w:r>
      <w:r w:rsidR="002F7831">
        <w:rPr>
          <w:rFonts w:cs="Times New Roman"/>
          <w:szCs w:val="24"/>
        </w:rPr>
        <w:t>EUR</w:t>
      </w:r>
      <w:r w:rsidRPr="008318A2">
        <w:rPr>
          <w:rFonts w:cs="Times New Roman"/>
          <w:szCs w:val="24"/>
        </w:rPr>
        <w:t xml:space="preserve">. Grad Zagreb je sufinancirao projekt u iznosu od 21.242,29 </w:t>
      </w:r>
      <w:r w:rsidR="002F7831">
        <w:rPr>
          <w:rFonts w:cs="Times New Roman"/>
          <w:szCs w:val="24"/>
        </w:rPr>
        <w:t>EUR</w:t>
      </w:r>
      <w:r w:rsidRPr="008318A2">
        <w:rPr>
          <w:rFonts w:cs="Times New Roman"/>
          <w:szCs w:val="24"/>
        </w:rPr>
        <w:t>.</w:t>
      </w:r>
      <w:r>
        <w:rPr>
          <w:rFonts w:cs="Times New Roman"/>
          <w:szCs w:val="24"/>
        </w:rPr>
        <w:t xml:space="preserve"> </w:t>
      </w:r>
    </w:p>
    <w:p w14:paraId="321E687E" w14:textId="27FC6486" w:rsidR="001B4386" w:rsidRDefault="001B4386" w:rsidP="005726C1">
      <w:pPr>
        <w:spacing w:line="276" w:lineRule="auto"/>
        <w:jc w:val="both"/>
        <w:rPr>
          <w:rFonts w:cs="Times New Roman"/>
          <w:szCs w:val="24"/>
        </w:rPr>
      </w:pPr>
      <w:r>
        <w:rPr>
          <w:rFonts w:cs="Times New Roman"/>
          <w:szCs w:val="24"/>
        </w:rPr>
        <w:lastRenderedPageBreak/>
        <w:t>Osječko-baranjska županija zamjećuje pozitivne pomake u osnovnoškolskom obrazovanju, sve više učenika koji završavaju osmi razred i upisuju srednju školu, osobito u školama koje su uspjele organizirati produženi boravak i dodatne educirane romske pomagače.</w:t>
      </w:r>
    </w:p>
    <w:p w14:paraId="26D3D57C" w14:textId="49E2DE1E" w:rsidR="005726C1" w:rsidRDefault="005726C1" w:rsidP="005726C1">
      <w:pPr>
        <w:spacing w:line="276" w:lineRule="auto"/>
        <w:jc w:val="both"/>
        <w:rPr>
          <w:rFonts w:cs="Times New Roman"/>
          <w:szCs w:val="24"/>
        </w:rPr>
      </w:pPr>
      <w:r w:rsidRPr="008318A2">
        <w:rPr>
          <w:rFonts w:cs="Times New Roman"/>
          <w:szCs w:val="24"/>
        </w:rPr>
        <w:t xml:space="preserve">U okviru sektorskog cilja </w:t>
      </w:r>
      <w:r w:rsidRPr="008318A2">
        <w:rPr>
          <w:rFonts w:cs="Times New Roman"/>
          <w:b/>
          <w:i/>
          <w:iCs/>
          <w:szCs w:val="24"/>
        </w:rPr>
        <w:t xml:space="preserve">učinkovit i jednak pristup Roma kvalitetnom, održivom zapošljavanju </w:t>
      </w:r>
      <w:r w:rsidRPr="008318A2">
        <w:rPr>
          <w:rFonts w:cs="Times New Roman"/>
          <w:szCs w:val="24"/>
        </w:rPr>
        <w:t xml:space="preserve">znatan broj </w:t>
      </w:r>
      <w:r w:rsidR="00FE7B55">
        <w:rPr>
          <w:rFonts w:cs="Times New Roman"/>
          <w:szCs w:val="24"/>
        </w:rPr>
        <w:t>JLP(R)S</w:t>
      </w:r>
      <w:r w:rsidRPr="008318A2">
        <w:rPr>
          <w:rFonts w:cs="Times New Roman"/>
          <w:szCs w:val="24"/>
        </w:rPr>
        <w:t xml:space="preserve"> izvještava o provedbi javnih radova.</w:t>
      </w:r>
    </w:p>
    <w:p w14:paraId="257BCB0F" w14:textId="20E1B96F" w:rsidR="00D1280F" w:rsidRPr="008318A2" w:rsidRDefault="00D1280F" w:rsidP="005726C1">
      <w:pPr>
        <w:spacing w:line="276" w:lineRule="auto"/>
        <w:jc w:val="both"/>
        <w:rPr>
          <w:rFonts w:cs="Times New Roman"/>
          <w:szCs w:val="24"/>
        </w:rPr>
      </w:pPr>
      <w:r>
        <w:rPr>
          <w:rFonts w:cs="Times New Roman"/>
          <w:szCs w:val="24"/>
        </w:rPr>
        <w:t>Osječko</w:t>
      </w:r>
      <w:r w:rsidR="006D1D13">
        <w:rPr>
          <w:rFonts w:cs="Times New Roman"/>
          <w:szCs w:val="24"/>
        </w:rPr>
        <w:t>-</w:t>
      </w:r>
      <w:r>
        <w:rPr>
          <w:rFonts w:cs="Times New Roman"/>
          <w:szCs w:val="24"/>
        </w:rPr>
        <w:t>baranjska županija ističe i druge mjere H</w:t>
      </w:r>
      <w:r w:rsidR="00375474">
        <w:rPr>
          <w:rFonts w:cs="Times New Roman"/>
          <w:szCs w:val="24"/>
        </w:rPr>
        <w:t>rvatskog zavoda za zapošljavanje</w:t>
      </w:r>
      <w:r>
        <w:rPr>
          <w:rFonts w:cs="Times New Roman"/>
          <w:szCs w:val="24"/>
        </w:rPr>
        <w:t>, kao što su Posao+, Osposobljavanje na radnom mjestu (pomoćni kuhar), Biram Hrvatsku (samozapošljavanje na području građevine) te program „Zaželi“ (11 žena), a ističu i velik doprinos romskih udruga koje svojim djelovanjem potiču na promjenu svijesti populacije.</w:t>
      </w:r>
    </w:p>
    <w:p w14:paraId="27B1CC24" w14:textId="24BD9F28" w:rsidR="005726C1" w:rsidRPr="008318A2" w:rsidRDefault="005726C1" w:rsidP="005726C1">
      <w:pPr>
        <w:spacing w:line="276" w:lineRule="auto"/>
        <w:jc w:val="both"/>
        <w:rPr>
          <w:rFonts w:cs="Times New Roman"/>
          <w:bCs/>
          <w:szCs w:val="24"/>
        </w:rPr>
      </w:pPr>
      <w:r w:rsidRPr="008318A2">
        <w:rPr>
          <w:rFonts w:cs="Times New Roman"/>
          <w:bCs/>
          <w:szCs w:val="24"/>
        </w:rPr>
        <w:t xml:space="preserve">Dio </w:t>
      </w:r>
      <w:r w:rsidR="00FE7B55">
        <w:rPr>
          <w:rFonts w:cs="Times New Roman"/>
          <w:bCs/>
          <w:szCs w:val="24"/>
        </w:rPr>
        <w:t>JLP(R)S</w:t>
      </w:r>
      <w:r w:rsidRPr="008318A2">
        <w:rPr>
          <w:rFonts w:cs="Times New Roman"/>
          <w:bCs/>
          <w:szCs w:val="24"/>
        </w:rPr>
        <w:t xml:space="preserve"> izvještava i o zaposlenosti u samoj </w:t>
      </w:r>
      <w:r w:rsidR="00FE7B55">
        <w:rPr>
          <w:rFonts w:cs="Times New Roman"/>
          <w:bCs/>
          <w:szCs w:val="24"/>
        </w:rPr>
        <w:t>JLP(R)S</w:t>
      </w:r>
      <w:r w:rsidRPr="008318A2">
        <w:rPr>
          <w:rFonts w:cs="Times New Roman"/>
          <w:bCs/>
          <w:szCs w:val="24"/>
        </w:rPr>
        <w:t xml:space="preserve"> (Slavonski Brod </w:t>
      </w:r>
      <w:r w:rsidR="00375474">
        <w:rPr>
          <w:rFonts w:cs="Times New Roman"/>
          <w:szCs w:val="24"/>
        </w:rPr>
        <w:t>-</w:t>
      </w:r>
      <w:r w:rsidRPr="008318A2">
        <w:rPr>
          <w:rFonts w:cs="Times New Roman"/>
          <w:bCs/>
          <w:szCs w:val="24"/>
        </w:rPr>
        <w:t xml:space="preserve"> 1) i društvima kojima su jedinice lokalne i područne (regionalne samouprave ) (su)osnivač ili (su)vlasnik (Slavonski Brod </w:t>
      </w:r>
      <w:r>
        <w:rPr>
          <w:rFonts w:cs="Times New Roman"/>
          <w:bCs/>
          <w:szCs w:val="24"/>
        </w:rPr>
        <w:t>-</w:t>
      </w:r>
      <w:r w:rsidRPr="008318A2">
        <w:rPr>
          <w:rFonts w:cs="Times New Roman"/>
          <w:bCs/>
          <w:szCs w:val="24"/>
        </w:rPr>
        <w:t xml:space="preserve"> 37, Varaždin </w:t>
      </w:r>
      <w:r>
        <w:rPr>
          <w:rFonts w:cs="Times New Roman"/>
          <w:bCs/>
          <w:szCs w:val="24"/>
        </w:rPr>
        <w:t xml:space="preserve">- </w:t>
      </w:r>
      <w:r w:rsidRPr="008318A2">
        <w:rPr>
          <w:rFonts w:cs="Times New Roman"/>
          <w:bCs/>
          <w:szCs w:val="24"/>
        </w:rPr>
        <w:t xml:space="preserve">4, Vodnjan </w:t>
      </w:r>
      <w:r>
        <w:rPr>
          <w:rFonts w:cs="Times New Roman"/>
          <w:bCs/>
          <w:szCs w:val="24"/>
        </w:rPr>
        <w:t>-</w:t>
      </w:r>
      <w:r w:rsidRPr="008318A2">
        <w:rPr>
          <w:rFonts w:cs="Times New Roman"/>
          <w:bCs/>
          <w:szCs w:val="24"/>
        </w:rPr>
        <w:t xml:space="preserve"> 2, Đurđevac -</w:t>
      </w:r>
      <w:r w:rsidR="00375474">
        <w:rPr>
          <w:rFonts w:cs="Times New Roman"/>
          <w:bCs/>
          <w:szCs w:val="24"/>
        </w:rPr>
        <w:t xml:space="preserve"> </w:t>
      </w:r>
      <w:r w:rsidRPr="008318A2">
        <w:rPr>
          <w:rFonts w:cs="Times New Roman"/>
          <w:bCs/>
          <w:szCs w:val="24"/>
        </w:rPr>
        <w:t>11,</w:t>
      </w:r>
      <w:r w:rsidR="002F7831">
        <w:rPr>
          <w:rFonts w:cs="Times New Roman"/>
          <w:bCs/>
          <w:szCs w:val="24"/>
        </w:rPr>
        <w:t xml:space="preserve"> </w:t>
      </w:r>
      <w:r w:rsidRPr="008318A2">
        <w:rPr>
          <w:rFonts w:cs="Times New Roman"/>
          <w:bCs/>
          <w:szCs w:val="24"/>
        </w:rPr>
        <w:t xml:space="preserve">Kneževi Vinogradi - 6, Crikvenica </w:t>
      </w:r>
      <w:r>
        <w:rPr>
          <w:rFonts w:cs="Times New Roman"/>
          <w:bCs/>
          <w:szCs w:val="24"/>
        </w:rPr>
        <w:t>-</w:t>
      </w:r>
      <w:r w:rsidR="00375474">
        <w:rPr>
          <w:rFonts w:cs="Times New Roman"/>
          <w:bCs/>
          <w:szCs w:val="24"/>
        </w:rPr>
        <w:t xml:space="preserve"> </w:t>
      </w:r>
      <w:r w:rsidRPr="008318A2">
        <w:rPr>
          <w:rFonts w:cs="Times New Roman"/>
          <w:bCs/>
          <w:szCs w:val="24"/>
        </w:rPr>
        <w:t>10, Ludbreg - 2). Međimurska županija je obavijestila o zaposlenima u županijskoj bolnici i 8 osnovnih škola kojima je osnivač.</w:t>
      </w:r>
    </w:p>
    <w:p w14:paraId="6AF14F9A" w14:textId="167C15FF" w:rsidR="005726C1" w:rsidRPr="008B314C" w:rsidRDefault="005726C1" w:rsidP="005726C1">
      <w:pPr>
        <w:spacing w:line="276" w:lineRule="auto"/>
        <w:jc w:val="both"/>
        <w:rPr>
          <w:rFonts w:cs="Times New Roman"/>
          <w:bCs/>
          <w:szCs w:val="24"/>
        </w:rPr>
      </w:pPr>
      <w:r w:rsidRPr="008318A2">
        <w:rPr>
          <w:rFonts w:cs="Times New Roman"/>
          <w:bCs/>
          <w:szCs w:val="24"/>
        </w:rPr>
        <w:t>Grad Rijeka i Grad Zagreb navode da</w:t>
      </w:r>
      <w:r w:rsidR="00505541" w:rsidRPr="00505541">
        <w:rPr>
          <w:rFonts w:cs="Times New Roman"/>
          <w:bCs/>
          <w:szCs w:val="24"/>
        </w:rPr>
        <w:t xml:space="preserve"> </w:t>
      </w:r>
      <w:r w:rsidR="00505541" w:rsidRPr="008B314C">
        <w:rPr>
          <w:rFonts w:cs="Times New Roman"/>
          <w:bCs/>
          <w:szCs w:val="24"/>
        </w:rPr>
        <w:t>se podatci o nacionalno</w:t>
      </w:r>
      <w:r w:rsidR="00505541">
        <w:rPr>
          <w:rFonts w:cs="Times New Roman"/>
          <w:bCs/>
          <w:szCs w:val="24"/>
        </w:rPr>
        <w:t>j pripadnosti</w:t>
      </w:r>
      <w:r w:rsidR="00505541" w:rsidRPr="008B314C">
        <w:rPr>
          <w:rFonts w:cs="Times New Roman"/>
          <w:bCs/>
          <w:szCs w:val="24"/>
        </w:rPr>
        <w:t xml:space="preserve"> ne traže</w:t>
      </w:r>
      <w:r w:rsidRPr="008318A2">
        <w:rPr>
          <w:rFonts w:cs="Times New Roman"/>
          <w:bCs/>
          <w:szCs w:val="24"/>
        </w:rPr>
        <w:t xml:space="preserve"> </w:t>
      </w:r>
      <w:r w:rsidRPr="008B314C">
        <w:rPr>
          <w:rFonts w:cs="Times New Roman"/>
          <w:bCs/>
          <w:szCs w:val="24"/>
        </w:rPr>
        <w:t>prilikom zapošljavanja novih djelatnika u komunalnim i trgovačkim društvima u vlasništvu Grada.</w:t>
      </w:r>
    </w:p>
    <w:p w14:paraId="4687AE92" w14:textId="77777777" w:rsidR="005726C1" w:rsidRPr="008318A2" w:rsidRDefault="005726C1" w:rsidP="005726C1">
      <w:pPr>
        <w:spacing w:line="276" w:lineRule="auto"/>
        <w:jc w:val="both"/>
        <w:rPr>
          <w:rFonts w:cs="Times New Roman"/>
          <w:bCs/>
          <w:szCs w:val="24"/>
        </w:rPr>
      </w:pPr>
      <w:r w:rsidRPr="008318A2">
        <w:rPr>
          <w:rFonts w:cs="Times New Roman"/>
          <w:bCs/>
          <w:szCs w:val="24"/>
        </w:rPr>
        <w:t>Grad Crikvenica napominje kako se kontinuirano potiče poduzetnička aktivnost pripadnika romske nacionalne manjine na način da im se iznajmljuju javne površine za obavljanje trgovačke djelatnosti.</w:t>
      </w:r>
    </w:p>
    <w:p w14:paraId="5E40F8F8" w14:textId="198F7FE0" w:rsidR="005726C1" w:rsidRPr="008318A2" w:rsidRDefault="005726C1" w:rsidP="005726C1">
      <w:pPr>
        <w:spacing w:line="276" w:lineRule="auto"/>
        <w:jc w:val="both"/>
        <w:rPr>
          <w:rFonts w:cs="Times New Roman"/>
          <w:szCs w:val="24"/>
        </w:rPr>
      </w:pPr>
      <w:r w:rsidRPr="008318A2">
        <w:rPr>
          <w:rFonts w:cs="Times New Roman"/>
          <w:szCs w:val="24"/>
        </w:rPr>
        <w:t xml:space="preserve">Za provedbu sektorskog cilja </w:t>
      </w:r>
      <w:r w:rsidRPr="008318A2">
        <w:rPr>
          <w:rFonts w:cs="Times New Roman"/>
          <w:b/>
          <w:i/>
          <w:iCs/>
          <w:szCs w:val="24"/>
        </w:rPr>
        <w:t>poboljšano zdravlje Roma i učinkovit, jednak pristup Roma kvalitetnim uslugama zdravstvene skrbi</w:t>
      </w:r>
      <w:r w:rsidRPr="008318A2">
        <w:rPr>
          <w:rFonts w:cs="Times New Roman"/>
          <w:b/>
          <w:szCs w:val="24"/>
        </w:rPr>
        <w:t xml:space="preserve"> </w:t>
      </w:r>
      <w:r w:rsidR="00026107">
        <w:rPr>
          <w:rFonts w:cs="Times New Roman"/>
          <w:szCs w:val="24"/>
        </w:rPr>
        <w:t>JLP(R)S</w:t>
      </w:r>
      <w:r w:rsidRPr="008318A2">
        <w:rPr>
          <w:rFonts w:cs="Times New Roman"/>
          <w:szCs w:val="24"/>
        </w:rPr>
        <w:t xml:space="preserve"> izvještavaju o više inicijativa na županijskoj razini.</w:t>
      </w:r>
    </w:p>
    <w:p w14:paraId="272E53B7" w14:textId="5820FAD6" w:rsidR="001B4386" w:rsidRDefault="001B4386" w:rsidP="005726C1">
      <w:pPr>
        <w:spacing w:line="276" w:lineRule="auto"/>
        <w:jc w:val="both"/>
        <w:rPr>
          <w:rFonts w:cs="Times New Roman"/>
          <w:szCs w:val="24"/>
        </w:rPr>
      </w:pPr>
      <w:r>
        <w:rPr>
          <w:rFonts w:cs="Times New Roman"/>
          <w:szCs w:val="24"/>
        </w:rPr>
        <w:t>Osječko</w:t>
      </w:r>
      <w:r w:rsidR="00375474">
        <w:rPr>
          <w:rFonts w:cs="Times New Roman"/>
          <w:szCs w:val="24"/>
        </w:rPr>
        <w:t>-</w:t>
      </w:r>
      <w:r>
        <w:rPr>
          <w:rFonts w:cs="Times New Roman"/>
          <w:szCs w:val="24"/>
        </w:rPr>
        <w:t xml:space="preserve">baranjska županija navodi znatan broj korisnika za koje se donose rješenja o priznavanju prava na obvezno zdravstveno osiguranje. </w:t>
      </w:r>
    </w:p>
    <w:p w14:paraId="7D9C2B71" w14:textId="40200360" w:rsidR="005726C1" w:rsidRPr="008318A2" w:rsidRDefault="005726C1" w:rsidP="005726C1">
      <w:pPr>
        <w:spacing w:line="276" w:lineRule="auto"/>
        <w:jc w:val="both"/>
        <w:rPr>
          <w:rFonts w:cs="Times New Roman"/>
          <w:szCs w:val="24"/>
        </w:rPr>
      </w:pPr>
      <w:r w:rsidRPr="008318A2">
        <w:rPr>
          <w:rFonts w:cs="Times New Roman"/>
          <w:szCs w:val="24"/>
        </w:rPr>
        <w:t>Brodsko-posavska županija navodi da</w:t>
      </w:r>
      <w:r w:rsidR="00505541">
        <w:rPr>
          <w:rFonts w:cs="Times New Roman"/>
          <w:szCs w:val="24"/>
        </w:rPr>
        <w:t>,</w:t>
      </w:r>
      <w:r w:rsidRPr="008318A2">
        <w:rPr>
          <w:rFonts w:cs="Times New Roman"/>
          <w:szCs w:val="24"/>
        </w:rPr>
        <w:t xml:space="preserve"> u suradnji s Nastavnim zavodom za javno zdravstvo provodi program</w:t>
      </w:r>
      <w:r w:rsidR="00505541">
        <w:rPr>
          <w:rFonts w:cs="Times New Roman"/>
          <w:szCs w:val="24"/>
        </w:rPr>
        <w:t>,</w:t>
      </w:r>
      <w:r w:rsidRPr="008318A2">
        <w:rPr>
          <w:rFonts w:cs="Times New Roman"/>
          <w:szCs w:val="24"/>
        </w:rPr>
        <w:t xml:space="preserve"> javnih predavanja na temu zaraznih bolesti, cijepljenja te ostalih javno-zdravstvenih tema. </w:t>
      </w:r>
    </w:p>
    <w:p w14:paraId="6B3B76B9" w14:textId="50523453" w:rsidR="005726C1" w:rsidRPr="008318A2" w:rsidRDefault="005726C1" w:rsidP="005726C1">
      <w:pPr>
        <w:spacing w:line="276" w:lineRule="auto"/>
        <w:jc w:val="both"/>
        <w:rPr>
          <w:rFonts w:cs="Times New Roman"/>
          <w:szCs w:val="24"/>
        </w:rPr>
      </w:pPr>
      <w:r w:rsidRPr="008318A2">
        <w:rPr>
          <w:rFonts w:cs="Times New Roman"/>
          <w:bCs/>
          <w:szCs w:val="24"/>
        </w:rPr>
        <w:t xml:space="preserve">Grad Zagreb navodi da su </w:t>
      </w:r>
      <w:r w:rsidRPr="008318A2">
        <w:rPr>
          <w:rFonts w:cs="Times New Roman"/>
          <w:szCs w:val="24"/>
        </w:rPr>
        <w:t xml:space="preserve">nastavljene aktivnosti saniranja neodgovarajućih higijenskih uvjeta koji su bili utvrđeni temeljem epidemiološkog izvida Nastavnog zavoda za javno zdravstvo </w:t>
      </w:r>
      <w:r w:rsidR="00375474">
        <w:rPr>
          <w:rFonts w:cs="Times New Roman"/>
          <w:szCs w:val="24"/>
        </w:rPr>
        <w:t>„</w:t>
      </w:r>
      <w:r w:rsidRPr="008318A2">
        <w:rPr>
          <w:rFonts w:cs="Times New Roman"/>
          <w:szCs w:val="24"/>
        </w:rPr>
        <w:t>Dr. Andrija Štampar”</w:t>
      </w:r>
      <w:r w:rsidR="002F7831">
        <w:rPr>
          <w:rFonts w:cs="Times New Roman"/>
          <w:szCs w:val="24"/>
        </w:rPr>
        <w:t xml:space="preserve"> </w:t>
      </w:r>
      <w:r w:rsidRPr="008318A2">
        <w:rPr>
          <w:rFonts w:cs="Times New Roman"/>
          <w:szCs w:val="24"/>
        </w:rPr>
        <w:t xml:space="preserve">s kraja 2023. </w:t>
      </w:r>
      <w:r w:rsidR="00375474">
        <w:rPr>
          <w:rFonts w:cs="Times New Roman"/>
          <w:szCs w:val="24"/>
        </w:rPr>
        <w:t xml:space="preserve">godine </w:t>
      </w:r>
      <w:r w:rsidRPr="008318A2">
        <w:rPr>
          <w:rFonts w:cs="Times New Roman"/>
          <w:szCs w:val="24"/>
        </w:rPr>
        <w:t xml:space="preserve">te je tijekom 2024. </w:t>
      </w:r>
      <w:r w:rsidR="00375474">
        <w:rPr>
          <w:rFonts w:cs="Times New Roman"/>
          <w:szCs w:val="24"/>
        </w:rPr>
        <w:t xml:space="preserve">godine </w:t>
      </w:r>
      <w:r w:rsidRPr="008318A2">
        <w:rPr>
          <w:rFonts w:cs="Times New Roman"/>
          <w:szCs w:val="24"/>
        </w:rPr>
        <w:t>četiri puta izvršena deratizacija i dezinsekcija</w:t>
      </w:r>
      <w:r w:rsidR="002F7831">
        <w:rPr>
          <w:rFonts w:cs="Times New Roman"/>
          <w:szCs w:val="24"/>
        </w:rPr>
        <w:t xml:space="preserve"> </w:t>
      </w:r>
      <w:r w:rsidRPr="008318A2">
        <w:rPr>
          <w:rFonts w:cs="Times New Roman"/>
          <w:szCs w:val="24"/>
        </w:rPr>
        <w:t xml:space="preserve">u vrijednosti 6.270,38 </w:t>
      </w:r>
      <w:r w:rsidR="002F7831">
        <w:rPr>
          <w:rFonts w:cs="Times New Roman"/>
          <w:szCs w:val="24"/>
        </w:rPr>
        <w:t>EUR</w:t>
      </w:r>
      <w:r w:rsidRPr="008318A2">
        <w:rPr>
          <w:rFonts w:cs="Times New Roman"/>
          <w:szCs w:val="24"/>
        </w:rPr>
        <w:t xml:space="preserve">. </w:t>
      </w:r>
    </w:p>
    <w:p w14:paraId="63468DF7" w14:textId="381701F0" w:rsidR="005726C1" w:rsidRPr="008318A2" w:rsidRDefault="005726C1" w:rsidP="005726C1">
      <w:pPr>
        <w:spacing w:line="276" w:lineRule="auto"/>
        <w:jc w:val="both"/>
        <w:rPr>
          <w:rFonts w:cs="Times New Roman"/>
          <w:szCs w:val="24"/>
        </w:rPr>
      </w:pPr>
      <w:r w:rsidRPr="008318A2">
        <w:rPr>
          <w:rFonts w:cs="Times New Roman"/>
          <w:szCs w:val="24"/>
        </w:rPr>
        <w:t xml:space="preserve">Grad Zagreb financira i provedbu programa </w:t>
      </w:r>
      <w:r w:rsidRPr="004D189E">
        <w:rPr>
          <w:rFonts w:cs="Times New Roman"/>
          <w:i/>
          <w:iCs/>
          <w:szCs w:val="24"/>
        </w:rPr>
        <w:t xml:space="preserve">Edukacijom do zdravlja - unaprjeđenje zdravlja pripadnika romske nacionalne manjine. </w:t>
      </w:r>
      <w:r w:rsidRPr="008318A2">
        <w:rPr>
          <w:rFonts w:cs="Times New Roman"/>
          <w:szCs w:val="24"/>
        </w:rPr>
        <w:t>Program se provodi s ciljem sprječavanja kroničnih nezaraznih bolesti te unaprjeđenja reproduktivnog zdravlja djevojaka i žena,</w:t>
      </w:r>
      <w:r w:rsidR="002F7831">
        <w:rPr>
          <w:rFonts w:cs="Times New Roman"/>
          <w:szCs w:val="24"/>
        </w:rPr>
        <w:t xml:space="preserve"> </w:t>
      </w:r>
      <w:r w:rsidRPr="008318A2">
        <w:rPr>
          <w:rFonts w:cs="Times New Roman"/>
          <w:szCs w:val="24"/>
        </w:rPr>
        <w:t xml:space="preserve">pripadnica romske nacionalne manjine. Program je tijekom 2024. </w:t>
      </w:r>
      <w:r w:rsidR="00375474">
        <w:rPr>
          <w:rFonts w:cs="Times New Roman"/>
          <w:szCs w:val="24"/>
        </w:rPr>
        <w:t xml:space="preserve">godine </w:t>
      </w:r>
      <w:r w:rsidRPr="008318A2">
        <w:rPr>
          <w:rFonts w:cs="Times New Roman"/>
          <w:szCs w:val="24"/>
        </w:rPr>
        <w:t>realiziran putem četiri javnozdravstvene akcije kroz koje se</w:t>
      </w:r>
      <w:r w:rsidR="002F7831">
        <w:rPr>
          <w:rFonts w:cs="Times New Roman"/>
          <w:szCs w:val="24"/>
        </w:rPr>
        <w:t xml:space="preserve"> </w:t>
      </w:r>
      <w:r w:rsidRPr="008318A2">
        <w:rPr>
          <w:rFonts w:cs="Times New Roman"/>
          <w:szCs w:val="24"/>
        </w:rPr>
        <w:t xml:space="preserve">provode mjere promicanja zdravlja, odnosno motivacije za usvajanje i održavanje zdravih stilova života. Program je obuhvatio održavanje radionica o zdravlju; analizu anamnestičkih podataka, analizu tjelesne mase, mjerenje razine ugljičnog monoksida u izdahu, određivanje krvnog tlaka i razine šećera u krvi (GUK); savjetovanje o terapiji i </w:t>
      </w:r>
      <w:r w:rsidRPr="008318A2">
        <w:rPr>
          <w:rFonts w:cs="Times New Roman"/>
          <w:szCs w:val="24"/>
        </w:rPr>
        <w:lastRenderedPageBreak/>
        <w:t>regulaciji krvnog tlaka i razine šećera u krvi, pravilnoj prehrani, informiranje o rizičnim čimbenicima za razvoj kardiovaskularnih bolesti te mamografski pregled (mobilni mamograf). Program se provodio na lokacijama na kojima u većem broju žive Romi, uz suradnju s Vijećem romske nacionalne manjine i organizacijama civilnog društva. Utrošena su sredstva u iznosu od</w:t>
      </w:r>
      <w:r w:rsidR="002F7831">
        <w:rPr>
          <w:rFonts w:cs="Times New Roman"/>
          <w:szCs w:val="24"/>
        </w:rPr>
        <w:t xml:space="preserve"> </w:t>
      </w:r>
      <w:r w:rsidRPr="008318A2">
        <w:rPr>
          <w:rFonts w:cs="Times New Roman"/>
          <w:szCs w:val="24"/>
        </w:rPr>
        <w:t xml:space="preserve">16.155,00 </w:t>
      </w:r>
      <w:r w:rsidR="002F7831">
        <w:rPr>
          <w:rFonts w:cs="Times New Roman"/>
          <w:szCs w:val="24"/>
        </w:rPr>
        <w:t>EUR</w:t>
      </w:r>
      <w:r w:rsidRPr="008318A2">
        <w:rPr>
          <w:rFonts w:cs="Times New Roman"/>
          <w:szCs w:val="24"/>
        </w:rPr>
        <w:t>.</w:t>
      </w:r>
    </w:p>
    <w:p w14:paraId="24C13930" w14:textId="1D39DF98" w:rsidR="005726C1" w:rsidRDefault="005726C1" w:rsidP="005726C1">
      <w:pPr>
        <w:spacing w:line="276" w:lineRule="auto"/>
        <w:jc w:val="both"/>
        <w:rPr>
          <w:rFonts w:cs="Times New Roman"/>
          <w:szCs w:val="24"/>
        </w:rPr>
      </w:pPr>
      <w:r w:rsidRPr="008318A2">
        <w:rPr>
          <w:rFonts w:cs="Times New Roman"/>
          <w:szCs w:val="24"/>
        </w:rPr>
        <w:t xml:space="preserve">U okviru sektorskog cilja </w:t>
      </w:r>
      <w:r w:rsidRPr="008318A2">
        <w:rPr>
          <w:rFonts w:cs="Times New Roman"/>
          <w:b/>
          <w:i/>
          <w:szCs w:val="24"/>
        </w:rPr>
        <w:t>učinkovit i jednak pristup Roma prikladnom, desegregriranom stanovanju i osnovnim uslugama</w:t>
      </w:r>
      <w:r w:rsidRPr="008318A2">
        <w:rPr>
          <w:rFonts w:cs="Times New Roman"/>
          <w:b/>
          <w:szCs w:val="24"/>
        </w:rPr>
        <w:t xml:space="preserve"> </w:t>
      </w:r>
      <w:r w:rsidR="00026107">
        <w:rPr>
          <w:rFonts w:cs="Times New Roman"/>
          <w:szCs w:val="24"/>
        </w:rPr>
        <w:t>JLP(R)S</w:t>
      </w:r>
      <w:r w:rsidRPr="008318A2">
        <w:rPr>
          <w:rFonts w:cs="Times New Roman"/>
          <w:szCs w:val="24"/>
        </w:rPr>
        <w:t xml:space="preserve"> ističu provedbu kontinuiranih aktivnosti na</w:t>
      </w:r>
      <w:r w:rsidR="002F7831">
        <w:rPr>
          <w:rFonts w:cs="Times New Roman"/>
          <w:szCs w:val="24"/>
        </w:rPr>
        <w:t xml:space="preserve"> </w:t>
      </w:r>
      <w:r w:rsidRPr="008318A2">
        <w:rPr>
          <w:rFonts w:cs="Times New Roman"/>
          <w:szCs w:val="24"/>
        </w:rPr>
        <w:t xml:space="preserve">poboljšavanju komunalne infrastrukture u </w:t>
      </w:r>
      <w:r w:rsidR="00C809CF">
        <w:rPr>
          <w:rFonts w:cs="Times New Roman"/>
          <w:szCs w:val="24"/>
        </w:rPr>
        <w:t xml:space="preserve">naseljima ili </w:t>
      </w:r>
      <w:r w:rsidRPr="008318A2">
        <w:rPr>
          <w:rFonts w:cs="Times New Roman"/>
          <w:szCs w:val="24"/>
        </w:rPr>
        <w:t>dijel</w:t>
      </w:r>
      <w:r w:rsidR="00C809CF">
        <w:rPr>
          <w:rFonts w:cs="Times New Roman"/>
          <w:szCs w:val="24"/>
        </w:rPr>
        <w:t>ovima</w:t>
      </w:r>
      <w:r w:rsidRPr="008318A2">
        <w:rPr>
          <w:rFonts w:cs="Times New Roman"/>
          <w:szCs w:val="24"/>
        </w:rPr>
        <w:t xml:space="preserve"> naselja</w:t>
      </w:r>
      <w:r w:rsidRPr="008318A2" w:rsidDel="00392EAC">
        <w:rPr>
          <w:rFonts w:cs="Times New Roman"/>
          <w:szCs w:val="24"/>
        </w:rPr>
        <w:t xml:space="preserve"> </w:t>
      </w:r>
      <w:r w:rsidRPr="008318A2">
        <w:rPr>
          <w:rFonts w:cs="Times New Roman"/>
          <w:szCs w:val="24"/>
        </w:rPr>
        <w:t xml:space="preserve">u kojima </w:t>
      </w:r>
      <w:r>
        <w:rPr>
          <w:rFonts w:cs="Times New Roman"/>
          <w:szCs w:val="24"/>
        </w:rPr>
        <w:t xml:space="preserve">pretežno </w:t>
      </w:r>
      <w:r w:rsidRPr="008318A2">
        <w:rPr>
          <w:rFonts w:cs="Times New Roman"/>
          <w:szCs w:val="24"/>
        </w:rPr>
        <w:t>stanuju pripadnici romske nacionalne manjine (</w:t>
      </w:r>
      <w:r w:rsidR="002069B5" w:rsidRPr="002069B5">
        <w:rPr>
          <w:rFonts w:cs="Times New Roman"/>
          <w:szCs w:val="24"/>
        </w:rPr>
        <w:t>Beli Manastir</w:t>
      </w:r>
      <w:r w:rsidR="00515EAD">
        <w:rPr>
          <w:rFonts w:cs="Times New Roman"/>
          <w:szCs w:val="24"/>
        </w:rPr>
        <w:t>,</w:t>
      </w:r>
      <w:r w:rsidR="002069B5" w:rsidRPr="002069B5">
        <w:rPr>
          <w:rFonts w:cs="Times New Roman"/>
          <w:szCs w:val="24"/>
        </w:rPr>
        <w:t xml:space="preserve"> </w:t>
      </w:r>
      <w:r w:rsidRPr="008318A2">
        <w:rPr>
          <w:rFonts w:cs="Times New Roman"/>
          <w:szCs w:val="24"/>
        </w:rPr>
        <w:t xml:space="preserve">Belišće, </w:t>
      </w:r>
      <w:r w:rsidR="002069B5" w:rsidRPr="002069B5">
        <w:rPr>
          <w:rFonts w:cs="Times New Roman"/>
          <w:szCs w:val="24"/>
        </w:rPr>
        <w:t>Bilje, Darda</w:t>
      </w:r>
      <w:r w:rsidR="002069B5">
        <w:rPr>
          <w:rFonts w:cs="Times New Roman"/>
          <w:szCs w:val="24"/>
        </w:rPr>
        <w:t>,</w:t>
      </w:r>
      <w:r w:rsidR="002069B5" w:rsidRPr="002069B5">
        <w:rPr>
          <w:rFonts w:cs="Times New Roman"/>
          <w:szCs w:val="24"/>
        </w:rPr>
        <w:t xml:space="preserve"> Đurđevac,</w:t>
      </w:r>
      <w:r w:rsidR="002069B5">
        <w:rPr>
          <w:rFonts w:cs="Times New Roman"/>
          <w:szCs w:val="24"/>
        </w:rPr>
        <w:t xml:space="preserve"> </w:t>
      </w:r>
      <w:r w:rsidR="002069B5" w:rsidRPr="002069B5">
        <w:rPr>
          <w:rFonts w:cs="Times New Roman"/>
          <w:szCs w:val="24"/>
        </w:rPr>
        <w:t>Jagodnjak</w:t>
      </w:r>
      <w:r w:rsidR="002069B5">
        <w:rPr>
          <w:rFonts w:cs="Times New Roman"/>
          <w:szCs w:val="24"/>
        </w:rPr>
        <w:t>,</w:t>
      </w:r>
      <w:r w:rsidR="002069B5" w:rsidRPr="002069B5">
        <w:rPr>
          <w:rFonts w:cs="Times New Roman"/>
          <w:szCs w:val="24"/>
        </w:rPr>
        <w:t xml:space="preserve"> </w:t>
      </w:r>
      <w:r w:rsidRPr="008318A2">
        <w:rPr>
          <w:rFonts w:cs="Times New Roman"/>
          <w:szCs w:val="24"/>
        </w:rPr>
        <w:t>Peteranec,</w:t>
      </w:r>
      <w:r w:rsidR="002069B5" w:rsidRPr="002069B5">
        <w:rPr>
          <w:rFonts w:cs="Times New Roman"/>
          <w:szCs w:val="24"/>
        </w:rPr>
        <w:t xml:space="preserve"> </w:t>
      </w:r>
      <w:r w:rsidR="00515EAD">
        <w:rPr>
          <w:rFonts w:cs="Times New Roman"/>
          <w:szCs w:val="24"/>
        </w:rPr>
        <w:t xml:space="preserve">Petlovac, </w:t>
      </w:r>
      <w:r w:rsidR="002069B5" w:rsidRPr="002069B5">
        <w:rPr>
          <w:rFonts w:cs="Times New Roman"/>
          <w:szCs w:val="24"/>
        </w:rPr>
        <w:t>Petrinja, Rijeka</w:t>
      </w:r>
      <w:r w:rsidR="00515EAD">
        <w:rPr>
          <w:rFonts w:cs="Times New Roman"/>
          <w:szCs w:val="24"/>
        </w:rPr>
        <w:t xml:space="preserve">, </w:t>
      </w:r>
      <w:r w:rsidR="002069B5" w:rsidRPr="002069B5">
        <w:rPr>
          <w:rFonts w:cs="Times New Roman"/>
          <w:szCs w:val="24"/>
        </w:rPr>
        <w:t>Grad Zagreb</w:t>
      </w:r>
      <w:r w:rsidRPr="008318A2">
        <w:rPr>
          <w:rFonts w:cs="Times New Roman"/>
          <w:szCs w:val="24"/>
        </w:rPr>
        <w:t>), a što uključuje i sanaciju nepropisnog odlaganja krupnog otpada te omogućavanje višeg standarda vodno-komunalne usluge, legalizacij</w:t>
      </w:r>
      <w:r w:rsidR="00440AF1">
        <w:rPr>
          <w:rFonts w:cs="Times New Roman"/>
          <w:szCs w:val="24"/>
        </w:rPr>
        <w:t>u</w:t>
      </w:r>
      <w:r w:rsidRPr="008318A2">
        <w:rPr>
          <w:rFonts w:cs="Times New Roman"/>
          <w:szCs w:val="24"/>
        </w:rPr>
        <w:t xml:space="preserve"> i parcelizacij</w:t>
      </w:r>
      <w:r w:rsidR="00440AF1">
        <w:rPr>
          <w:rFonts w:cs="Times New Roman"/>
          <w:szCs w:val="24"/>
        </w:rPr>
        <w:t>u</w:t>
      </w:r>
      <w:r w:rsidRPr="008318A2">
        <w:rPr>
          <w:rFonts w:cs="Times New Roman"/>
          <w:szCs w:val="24"/>
        </w:rPr>
        <w:t xml:space="preserve"> objekata. Također se ističe </w:t>
      </w:r>
      <w:r w:rsidR="00440AF1">
        <w:rPr>
          <w:rFonts w:cs="Times New Roman"/>
          <w:szCs w:val="24"/>
        </w:rPr>
        <w:t xml:space="preserve">obnova ili izgradnja </w:t>
      </w:r>
      <w:r w:rsidRPr="008318A2">
        <w:rPr>
          <w:rFonts w:cs="Times New Roman"/>
          <w:szCs w:val="24"/>
        </w:rPr>
        <w:t>društvenih domova u kojima se provode programi za pripadnike romske nacionalne manjine, posebice djecu i mlade (</w:t>
      </w:r>
      <w:r w:rsidR="002069B5" w:rsidRPr="002069B5">
        <w:rPr>
          <w:rFonts w:cs="Times New Roman"/>
          <w:szCs w:val="24"/>
        </w:rPr>
        <w:t>Beli Manastir</w:t>
      </w:r>
      <w:r w:rsidR="002069B5">
        <w:rPr>
          <w:rFonts w:cs="Times New Roman"/>
          <w:szCs w:val="24"/>
        </w:rPr>
        <w:t xml:space="preserve">, </w:t>
      </w:r>
      <w:r w:rsidRPr="008318A2">
        <w:rPr>
          <w:rFonts w:cs="Times New Roman"/>
          <w:szCs w:val="24"/>
        </w:rPr>
        <w:t>Kneževi Vinogradi, Slavonski Brod).</w:t>
      </w:r>
      <w:r>
        <w:rPr>
          <w:rFonts w:cs="Times New Roman"/>
          <w:szCs w:val="24"/>
        </w:rPr>
        <w:t xml:space="preserve"> </w:t>
      </w:r>
    </w:p>
    <w:p w14:paraId="23BBB4F7" w14:textId="24CF2B03" w:rsidR="005726C1" w:rsidRPr="008318A2" w:rsidRDefault="005726C1" w:rsidP="005726C1">
      <w:pPr>
        <w:spacing w:line="276" w:lineRule="auto"/>
        <w:jc w:val="both"/>
        <w:rPr>
          <w:rFonts w:cs="Times New Roman"/>
          <w:bCs/>
          <w:szCs w:val="24"/>
        </w:rPr>
      </w:pPr>
      <w:r w:rsidRPr="008318A2">
        <w:rPr>
          <w:rFonts w:cs="Times New Roman"/>
          <w:bCs/>
          <w:szCs w:val="24"/>
        </w:rPr>
        <w:t>Grad Petrinj</w:t>
      </w:r>
      <w:r w:rsidR="00440AF1">
        <w:rPr>
          <w:rFonts w:cs="Times New Roman"/>
          <w:bCs/>
          <w:szCs w:val="24"/>
        </w:rPr>
        <w:t>a</w:t>
      </w:r>
      <w:r w:rsidRPr="008318A2">
        <w:rPr>
          <w:rFonts w:cs="Times New Roman"/>
          <w:bCs/>
          <w:szCs w:val="24"/>
        </w:rPr>
        <w:t xml:space="preserve"> </w:t>
      </w:r>
      <w:r w:rsidR="00440AF1">
        <w:rPr>
          <w:rFonts w:cs="Times New Roman"/>
          <w:bCs/>
          <w:szCs w:val="24"/>
        </w:rPr>
        <w:t xml:space="preserve">izvještava o </w:t>
      </w:r>
      <w:r w:rsidRPr="008318A2">
        <w:rPr>
          <w:rFonts w:cs="Times New Roman"/>
          <w:bCs/>
          <w:szCs w:val="24"/>
        </w:rPr>
        <w:t>uspješno</w:t>
      </w:r>
      <w:r w:rsidR="00440AF1">
        <w:rPr>
          <w:rFonts w:cs="Times New Roman"/>
          <w:bCs/>
          <w:szCs w:val="24"/>
        </w:rPr>
        <w:t>m</w:t>
      </w:r>
      <w:r w:rsidRPr="008318A2">
        <w:rPr>
          <w:rFonts w:cs="Times New Roman"/>
          <w:bCs/>
          <w:szCs w:val="24"/>
        </w:rPr>
        <w:t xml:space="preserve"> rješ</w:t>
      </w:r>
      <w:r w:rsidR="00440AF1">
        <w:rPr>
          <w:rFonts w:cs="Times New Roman"/>
          <w:bCs/>
          <w:szCs w:val="24"/>
        </w:rPr>
        <w:t>avanju</w:t>
      </w:r>
      <w:r w:rsidR="002F7831">
        <w:rPr>
          <w:rFonts w:cs="Times New Roman"/>
          <w:bCs/>
          <w:szCs w:val="24"/>
        </w:rPr>
        <w:t xml:space="preserve"> </w:t>
      </w:r>
      <w:r w:rsidRPr="008318A2">
        <w:rPr>
          <w:rFonts w:cs="Times New Roman"/>
          <w:bCs/>
          <w:szCs w:val="24"/>
        </w:rPr>
        <w:t>problem</w:t>
      </w:r>
      <w:r w:rsidR="00440AF1">
        <w:rPr>
          <w:rFonts w:cs="Times New Roman"/>
          <w:bCs/>
          <w:szCs w:val="24"/>
        </w:rPr>
        <w:t>a</w:t>
      </w:r>
      <w:r w:rsidRPr="008318A2">
        <w:rPr>
          <w:rFonts w:cs="Times New Roman"/>
          <w:bCs/>
          <w:szCs w:val="24"/>
        </w:rPr>
        <w:t xml:space="preserve"> stambenog zbrinjavanja dvi</w:t>
      </w:r>
      <w:r>
        <w:rPr>
          <w:rFonts w:cs="Times New Roman"/>
          <w:bCs/>
          <w:szCs w:val="24"/>
        </w:rPr>
        <w:t>ju</w:t>
      </w:r>
      <w:r w:rsidRPr="008318A2">
        <w:rPr>
          <w:rFonts w:cs="Times New Roman"/>
          <w:bCs/>
          <w:szCs w:val="24"/>
        </w:rPr>
        <w:t xml:space="preserve"> romsk</w:t>
      </w:r>
      <w:r>
        <w:rPr>
          <w:rFonts w:cs="Times New Roman"/>
          <w:bCs/>
          <w:szCs w:val="24"/>
        </w:rPr>
        <w:t>ih</w:t>
      </w:r>
      <w:r w:rsidRPr="008318A2">
        <w:rPr>
          <w:rFonts w:cs="Times New Roman"/>
          <w:bCs/>
          <w:szCs w:val="24"/>
        </w:rPr>
        <w:t xml:space="preserve"> obitelji koje su stradale u petrinjskom potresu: jedna je obitelj smještena u odgovarajuću obiteljsku kuću u Petrinji, a druga je obitelj smještena u državni stan u Popovači.</w:t>
      </w:r>
    </w:p>
    <w:p w14:paraId="731A28FD" w14:textId="77777777" w:rsidR="005726C1" w:rsidRPr="008318A2" w:rsidRDefault="005726C1" w:rsidP="005726C1">
      <w:pPr>
        <w:spacing w:line="276" w:lineRule="auto"/>
        <w:jc w:val="both"/>
        <w:rPr>
          <w:rFonts w:cs="Times New Roman"/>
          <w:szCs w:val="24"/>
        </w:rPr>
      </w:pPr>
      <w:r w:rsidRPr="008318A2">
        <w:rPr>
          <w:rFonts w:cs="Times New Roman"/>
          <w:szCs w:val="24"/>
        </w:rPr>
        <w:t xml:space="preserve">Grad Rijeka smještava socijalno ugrožene korisnike temeljem </w:t>
      </w:r>
      <w:r w:rsidRPr="00A86FA4">
        <w:rPr>
          <w:rFonts w:cs="Times New Roman"/>
          <w:szCs w:val="24"/>
        </w:rPr>
        <w:t>Odluke o davanju nužnih smještaja na korištenje</w:t>
      </w:r>
      <w:r w:rsidRPr="00C809CF">
        <w:rPr>
          <w:rFonts w:cs="Times New Roman"/>
          <w:szCs w:val="24"/>
        </w:rPr>
        <w:t>.</w:t>
      </w:r>
      <w:r w:rsidRPr="008318A2">
        <w:rPr>
          <w:rFonts w:cs="Times New Roman"/>
          <w:szCs w:val="24"/>
        </w:rPr>
        <w:t xml:space="preserve"> Na taj način se najugroženijoj kategoriji građana omogućava stambeno zbrinjavanje po povoljnim uvjetima. Ovaj oblik smještaja trenutno koristi oko 400 osoba, samaca i obitelji i, od navedenog broja korisnika, znatan broj čine korisnici romske populacije.</w:t>
      </w:r>
    </w:p>
    <w:p w14:paraId="13912686" w14:textId="36D8113A" w:rsidR="005726C1" w:rsidRPr="008318A2" w:rsidRDefault="005726C1" w:rsidP="00F915CC">
      <w:pPr>
        <w:spacing w:line="276" w:lineRule="auto"/>
        <w:jc w:val="both"/>
        <w:rPr>
          <w:rFonts w:eastAsia="Times New Roman" w:cs="Times New Roman"/>
          <w:szCs w:val="24"/>
        </w:rPr>
      </w:pPr>
      <w:r w:rsidRPr="008318A2">
        <w:rPr>
          <w:rFonts w:eastAsia="Times New Roman" w:cs="Times New Roman"/>
          <w:szCs w:val="24"/>
        </w:rPr>
        <w:t>Grad Karlovac osigurao je</w:t>
      </w:r>
      <w:r w:rsidR="002F7831">
        <w:rPr>
          <w:rFonts w:eastAsia="Times New Roman" w:cs="Times New Roman"/>
          <w:szCs w:val="24"/>
        </w:rPr>
        <w:t xml:space="preserve"> </w:t>
      </w:r>
      <w:r w:rsidRPr="008318A2">
        <w:rPr>
          <w:rFonts w:eastAsia="Times New Roman" w:cs="Times New Roman"/>
          <w:szCs w:val="24"/>
        </w:rPr>
        <w:t xml:space="preserve">dvije kuće u kojima </w:t>
      </w:r>
      <w:r w:rsidR="00F915CC">
        <w:rPr>
          <w:rFonts w:eastAsia="Times New Roman" w:cs="Times New Roman"/>
          <w:szCs w:val="24"/>
        </w:rPr>
        <w:t>s</w:t>
      </w:r>
      <w:r w:rsidR="00C809CF">
        <w:rPr>
          <w:rFonts w:eastAsia="Times New Roman" w:cs="Times New Roman"/>
          <w:szCs w:val="24"/>
        </w:rPr>
        <w:t>u</w:t>
      </w:r>
      <w:r w:rsidRPr="008318A2">
        <w:rPr>
          <w:rFonts w:eastAsia="Times New Roman" w:cs="Times New Roman"/>
          <w:szCs w:val="24"/>
        </w:rPr>
        <w:t xml:space="preserve"> tijekom 2024. </w:t>
      </w:r>
      <w:r w:rsidR="00F915CC">
        <w:rPr>
          <w:rFonts w:eastAsia="Times New Roman" w:cs="Times New Roman"/>
          <w:szCs w:val="24"/>
        </w:rPr>
        <w:t xml:space="preserve">godine </w:t>
      </w:r>
      <w:r w:rsidRPr="008318A2">
        <w:rPr>
          <w:rFonts w:eastAsia="Times New Roman" w:cs="Times New Roman"/>
          <w:szCs w:val="24"/>
        </w:rPr>
        <w:t>bil</w:t>
      </w:r>
      <w:r w:rsidR="00C809CF">
        <w:rPr>
          <w:rFonts w:eastAsia="Times New Roman" w:cs="Times New Roman"/>
          <w:szCs w:val="24"/>
        </w:rPr>
        <w:t>e</w:t>
      </w:r>
      <w:r w:rsidRPr="008318A2">
        <w:rPr>
          <w:rFonts w:eastAsia="Times New Roman" w:cs="Times New Roman"/>
          <w:szCs w:val="24"/>
        </w:rPr>
        <w:t xml:space="preserve"> smješten</w:t>
      </w:r>
      <w:r w:rsidR="00C809CF">
        <w:rPr>
          <w:rFonts w:eastAsia="Times New Roman" w:cs="Times New Roman"/>
          <w:szCs w:val="24"/>
        </w:rPr>
        <w:t>e</w:t>
      </w:r>
      <w:r w:rsidRPr="008318A2">
        <w:rPr>
          <w:rFonts w:eastAsia="Times New Roman" w:cs="Times New Roman"/>
          <w:szCs w:val="24"/>
        </w:rPr>
        <w:t xml:space="preserve"> četiri romske obitelji</w:t>
      </w:r>
      <w:r>
        <w:rPr>
          <w:rFonts w:eastAsia="Times New Roman" w:cs="Times New Roman"/>
          <w:szCs w:val="24"/>
        </w:rPr>
        <w:t xml:space="preserve"> kojima je Grad Karlovac podmirivao troškove najamnine.</w:t>
      </w:r>
    </w:p>
    <w:p w14:paraId="427F90B0" w14:textId="18E12C9C" w:rsidR="005726C1" w:rsidRPr="008318A2" w:rsidRDefault="005726C1" w:rsidP="005726C1">
      <w:pPr>
        <w:spacing w:after="0" w:line="276" w:lineRule="auto"/>
        <w:jc w:val="both"/>
        <w:rPr>
          <w:rFonts w:eastAsia="Times New Roman" w:cs="Times New Roman"/>
          <w:szCs w:val="24"/>
        </w:rPr>
      </w:pPr>
      <w:r w:rsidRPr="008318A2">
        <w:rPr>
          <w:rFonts w:eastAsia="Times New Roman" w:cs="Times New Roman"/>
          <w:bCs/>
          <w:szCs w:val="24"/>
        </w:rPr>
        <w:t>Grad Zagreb, s</w:t>
      </w:r>
      <w:r w:rsidRPr="008318A2">
        <w:rPr>
          <w:rFonts w:eastAsia="Times New Roman" w:cs="Times New Roman"/>
          <w:szCs w:val="24"/>
        </w:rPr>
        <w:t xml:space="preserve">ukladno Odluci o socijalnoj skrbi, obiteljima s maloljetnom djecom kojima je zbog krizne situacije ugrožen život, zdravlje ili dobrobit, a koje nisu u mogućnosti same osigurati smještaj, ostvaruju pravo na smještaj u stambenim prostorima na korištenju ili u vlasništvu Grada Zagreba, osim u prihvatilištu ili prenoćištu. U objektu Hrvatskog Crvenog križa, Gradskog društva Crvenog križa Zagreb, tijekom 2024. </w:t>
      </w:r>
      <w:r w:rsidR="00F915CC">
        <w:rPr>
          <w:rFonts w:eastAsia="Times New Roman" w:cs="Times New Roman"/>
          <w:szCs w:val="24"/>
        </w:rPr>
        <w:t xml:space="preserve">godine </w:t>
      </w:r>
      <w:r w:rsidRPr="008318A2">
        <w:rPr>
          <w:rFonts w:eastAsia="Times New Roman" w:cs="Times New Roman"/>
          <w:szCs w:val="24"/>
        </w:rPr>
        <w:t>osiguran je krizni smještaj za ukupno 18 pripadnika romske nacionalne manjine. U Hostelu Arena Zagreb osiguran je krizni smještaj za 7 pripadnika. Trošak smještaja snosi Grad Zagreb.</w:t>
      </w:r>
    </w:p>
    <w:p w14:paraId="32DE77A5" w14:textId="77810952" w:rsidR="005726C1" w:rsidRPr="008318A2" w:rsidRDefault="005726C1" w:rsidP="00F915CC">
      <w:pPr>
        <w:spacing w:line="276" w:lineRule="auto"/>
        <w:jc w:val="both"/>
        <w:rPr>
          <w:rFonts w:eastAsia="Times New Roman" w:cs="Times New Roman"/>
          <w:bCs/>
          <w:szCs w:val="24"/>
        </w:rPr>
      </w:pPr>
      <w:r w:rsidRPr="008318A2">
        <w:rPr>
          <w:rFonts w:eastAsia="Times New Roman" w:cs="Times New Roman"/>
          <w:szCs w:val="24"/>
        </w:rPr>
        <w:t>Djelatnici Grada Zagreba redovito obilaze ove obitelji te s Gradskim društvom Crvenog križa Zagreb, Hostelom Arena, Udrugom Ambidekster</w:t>
      </w:r>
      <w:r w:rsidR="00C809CF">
        <w:rPr>
          <w:rFonts w:eastAsia="Times New Roman" w:cs="Times New Roman"/>
          <w:szCs w:val="24"/>
        </w:rPr>
        <w:t xml:space="preserve"> i</w:t>
      </w:r>
      <w:r w:rsidRPr="008318A2">
        <w:rPr>
          <w:rFonts w:eastAsia="Times New Roman" w:cs="Times New Roman"/>
          <w:szCs w:val="24"/>
        </w:rPr>
        <w:t xml:space="preserve"> Vijećem romske nacionalne manjine surađuj</w:t>
      </w:r>
      <w:r w:rsidR="00C809CF">
        <w:rPr>
          <w:rFonts w:eastAsia="Times New Roman" w:cs="Times New Roman"/>
          <w:szCs w:val="24"/>
        </w:rPr>
        <w:t>e</w:t>
      </w:r>
      <w:r w:rsidRPr="008318A2">
        <w:rPr>
          <w:rFonts w:eastAsia="Times New Roman" w:cs="Times New Roman"/>
          <w:szCs w:val="24"/>
        </w:rPr>
        <w:t xml:space="preserve"> na iznalaženju rješenja za tekuće probleme korisnika. Za potrebe smještaja u 2024. </w:t>
      </w:r>
      <w:r w:rsidR="00F915CC">
        <w:rPr>
          <w:rFonts w:cs="Times New Roman"/>
          <w:szCs w:val="24"/>
        </w:rPr>
        <w:t xml:space="preserve">godini </w:t>
      </w:r>
      <w:r w:rsidRPr="008318A2">
        <w:rPr>
          <w:rFonts w:eastAsia="Times New Roman" w:cs="Times New Roman"/>
          <w:szCs w:val="24"/>
        </w:rPr>
        <w:t xml:space="preserve">utrošeno je 77.958,00 </w:t>
      </w:r>
      <w:r w:rsidR="002F7831">
        <w:rPr>
          <w:rFonts w:eastAsia="Times New Roman" w:cs="Times New Roman"/>
          <w:szCs w:val="24"/>
        </w:rPr>
        <w:t>EUR</w:t>
      </w:r>
      <w:r w:rsidRPr="008318A2">
        <w:rPr>
          <w:rFonts w:eastAsia="Times New Roman" w:cs="Times New Roman"/>
          <w:szCs w:val="24"/>
        </w:rPr>
        <w:t xml:space="preserve">. </w:t>
      </w:r>
    </w:p>
    <w:p w14:paraId="1BA0C844" w14:textId="35044675" w:rsidR="005726C1" w:rsidRDefault="005726C1">
      <w:pPr>
        <w:spacing w:after="0" w:line="276" w:lineRule="auto"/>
        <w:jc w:val="both"/>
        <w:rPr>
          <w:rFonts w:eastAsia="Times New Roman" w:cs="Times New Roman"/>
          <w:szCs w:val="24"/>
        </w:rPr>
      </w:pPr>
      <w:r w:rsidRPr="008318A2">
        <w:rPr>
          <w:rFonts w:eastAsia="Times New Roman" w:cs="Times New Roman"/>
          <w:szCs w:val="24"/>
        </w:rPr>
        <w:t>Zagrebačka županija kontinuirano ulaže u izgradnju novih škola i sportskih dvorana, uređenje komunalne infrastrukture i vodoopskrbnog sustava</w:t>
      </w:r>
      <w:r w:rsidR="00F915CC">
        <w:rPr>
          <w:rFonts w:eastAsia="Times New Roman" w:cs="Times New Roman"/>
          <w:szCs w:val="24"/>
        </w:rPr>
        <w:t>.</w:t>
      </w:r>
      <w:r w:rsidRPr="008318A2">
        <w:rPr>
          <w:rFonts w:eastAsia="Times New Roman" w:cs="Times New Roman"/>
          <w:szCs w:val="24"/>
        </w:rPr>
        <w:t xml:space="preserve"> Navedeni projekti provode se s ciljem ravnomjernog razvoja svih dijelova Zagrebačke županije i namijenjeni su povećanju kvalitete života svih njenih stanovnika, a tako i pripadnika romske nacionalne manjine.</w:t>
      </w:r>
    </w:p>
    <w:p w14:paraId="022F8B95" w14:textId="77777777" w:rsidR="005726C1" w:rsidRPr="008318A2" w:rsidRDefault="005726C1">
      <w:pPr>
        <w:spacing w:after="0" w:line="276" w:lineRule="auto"/>
        <w:jc w:val="both"/>
        <w:rPr>
          <w:rFonts w:eastAsia="Times New Roman" w:cs="Times New Roman"/>
          <w:szCs w:val="24"/>
        </w:rPr>
      </w:pPr>
    </w:p>
    <w:p w14:paraId="750A936A" w14:textId="77777777" w:rsidR="005726C1" w:rsidRPr="008318A2" w:rsidRDefault="005726C1" w:rsidP="00A86FA4">
      <w:pPr>
        <w:spacing w:line="276" w:lineRule="auto"/>
        <w:jc w:val="both"/>
        <w:rPr>
          <w:rFonts w:cs="Times New Roman"/>
          <w:bCs/>
          <w:szCs w:val="24"/>
        </w:rPr>
      </w:pPr>
      <w:r w:rsidRPr="0069173E">
        <w:rPr>
          <w:rFonts w:cs="Times New Roman"/>
          <w:b/>
          <w:bCs/>
          <w:i/>
          <w:iCs/>
          <w:szCs w:val="24"/>
        </w:rPr>
        <w:t>Preporuke jedinica lokalne i područne (regionalne) samouprave</w:t>
      </w:r>
      <w:r w:rsidRPr="008318A2">
        <w:rPr>
          <w:rFonts w:cs="Times New Roman"/>
          <w:szCs w:val="24"/>
        </w:rPr>
        <w:t xml:space="preserve"> gotovo jednoglasno naznačuju da </w:t>
      </w:r>
      <w:r w:rsidRPr="008318A2">
        <w:rPr>
          <w:rFonts w:cs="Times New Roman"/>
          <w:bCs/>
          <w:szCs w:val="24"/>
        </w:rPr>
        <w:t>mjere i aktivnosti javnih politika na lokalnoj</w:t>
      </w:r>
      <w:r>
        <w:rPr>
          <w:rFonts w:cs="Times New Roman"/>
          <w:bCs/>
          <w:szCs w:val="24"/>
        </w:rPr>
        <w:t xml:space="preserve"> i </w:t>
      </w:r>
      <w:r w:rsidRPr="008318A2">
        <w:rPr>
          <w:rFonts w:cs="Times New Roman"/>
          <w:bCs/>
          <w:szCs w:val="24"/>
        </w:rPr>
        <w:t>područnoj</w:t>
      </w:r>
      <w:r>
        <w:rPr>
          <w:rFonts w:cs="Times New Roman"/>
          <w:bCs/>
          <w:szCs w:val="24"/>
        </w:rPr>
        <w:t xml:space="preserve"> (regionalnoj)</w:t>
      </w:r>
      <w:r w:rsidRPr="008318A2">
        <w:rPr>
          <w:rFonts w:cs="Times New Roman"/>
          <w:bCs/>
          <w:szCs w:val="24"/>
        </w:rPr>
        <w:t xml:space="preserve"> razini </w:t>
      </w:r>
      <w:r w:rsidRPr="008318A2">
        <w:rPr>
          <w:rFonts w:cs="Times New Roman"/>
          <w:bCs/>
          <w:szCs w:val="24"/>
        </w:rPr>
        <w:lastRenderedPageBreak/>
        <w:t xml:space="preserve">moraju biti usmjerene na integraciju pripadnika romske nacionalne manjine u društvo kako bi se poboljšao njihov položaj. </w:t>
      </w:r>
    </w:p>
    <w:p w14:paraId="31C643DF" w14:textId="48E09FD6" w:rsidR="005726C1" w:rsidRPr="008318A2" w:rsidRDefault="005726C1" w:rsidP="00A86FA4">
      <w:pPr>
        <w:spacing w:line="276" w:lineRule="auto"/>
        <w:jc w:val="both"/>
        <w:rPr>
          <w:rFonts w:cs="Times New Roman"/>
          <w:bCs/>
          <w:iCs/>
          <w:szCs w:val="24"/>
        </w:rPr>
      </w:pPr>
      <w:r w:rsidRPr="008318A2">
        <w:rPr>
          <w:rFonts w:cs="Times New Roman"/>
          <w:bCs/>
          <w:szCs w:val="24"/>
        </w:rPr>
        <w:t xml:space="preserve">Navedeno najviše </w:t>
      </w:r>
      <w:r w:rsidR="00FE7B55">
        <w:rPr>
          <w:rFonts w:cs="Times New Roman"/>
          <w:bCs/>
          <w:szCs w:val="24"/>
        </w:rPr>
        <w:t>JLP(R)S</w:t>
      </w:r>
      <w:r w:rsidRPr="008318A2">
        <w:rPr>
          <w:rFonts w:cs="Times New Roman"/>
          <w:bCs/>
          <w:szCs w:val="24"/>
        </w:rPr>
        <w:t xml:space="preserve"> vide kroz ulaganje u </w:t>
      </w:r>
      <w:r>
        <w:rPr>
          <w:rFonts w:cs="Times New Roman"/>
          <w:bCs/>
          <w:szCs w:val="24"/>
        </w:rPr>
        <w:t xml:space="preserve">kvalitetno </w:t>
      </w:r>
      <w:r w:rsidRPr="008318A2">
        <w:rPr>
          <w:rFonts w:cs="Times New Roman"/>
          <w:bCs/>
          <w:szCs w:val="24"/>
        </w:rPr>
        <w:t xml:space="preserve">obrazovanje i učenje hrvatskog jezika od najranije dobi, </w:t>
      </w:r>
      <w:r w:rsidRPr="008318A2">
        <w:rPr>
          <w:rFonts w:cs="Times New Roman"/>
          <w:bCs/>
          <w:iCs/>
          <w:szCs w:val="24"/>
        </w:rPr>
        <w:t>produženi boravak u školi, pružanje pomoći i podrške u učenju i pisanju zadaće te stjecanje zdravih prehrambenih navika kroz osigurani topli obrok u školi. Jedino pravovremeno ulaganje u kvalitetno obrazovanje može dovesti do podizanja razine zaposlenosti kod romske manjine (Petrijanec, Đurđevac, Belišće, Kneževi Vinogradi, Popovača, Mag</w:t>
      </w:r>
      <w:r>
        <w:rPr>
          <w:rFonts w:cs="Times New Roman"/>
          <w:bCs/>
          <w:iCs/>
          <w:szCs w:val="24"/>
        </w:rPr>
        <w:t>a</w:t>
      </w:r>
      <w:r w:rsidRPr="008318A2">
        <w:rPr>
          <w:rFonts w:cs="Times New Roman"/>
          <w:bCs/>
          <w:iCs/>
          <w:szCs w:val="24"/>
        </w:rPr>
        <w:t>denovac, Jagodnjak)</w:t>
      </w:r>
      <w:r>
        <w:rPr>
          <w:rFonts w:cs="Times New Roman"/>
          <w:bCs/>
          <w:iCs/>
          <w:szCs w:val="24"/>
        </w:rPr>
        <w:t>, a time i podizanja opće kvalitete životnih uvjeta, odnosno zadovoljenje ne samo osnovnih životnih potreba</w:t>
      </w:r>
      <w:r w:rsidRPr="008318A2">
        <w:rPr>
          <w:rFonts w:cs="Times New Roman"/>
          <w:bCs/>
          <w:iCs/>
          <w:szCs w:val="24"/>
        </w:rPr>
        <w:t>.</w:t>
      </w:r>
    </w:p>
    <w:p w14:paraId="1E267DE2" w14:textId="000FC99B" w:rsidR="005726C1" w:rsidRPr="008318A2" w:rsidRDefault="005726C1" w:rsidP="00A86FA4">
      <w:pPr>
        <w:spacing w:line="276" w:lineRule="auto"/>
        <w:jc w:val="both"/>
        <w:rPr>
          <w:rFonts w:cs="Times New Roman"/>
          <w:szCs w:val="24"/>
        </w:rPr>
      </w:pPr>
      <w:r w:rsidRPr="008318A2">
        <w:rPr>
          <w:rFonts w:cs="Times New Roman"/>
          <w:szCs w:val="24"/>
        </w:rPr>
        <w:t>Grad Karlovac navodi da bi se poboljšanje položaja pripadnika romske nacionalne manjine trebalo provoditi kroz različite socijalne programe i oblike pomoći kao što su subvencioniranje troškova stanovanja i drugih prava iz područja socijalne skrbi, naknade za prijevoz socijalno ugroženim osobama, novčane pomoći za novorođenu djecu, jednokratne novčane pomoći, pomoći u hrani/paketi hrane ili jedan topli obrok dnevno, poticanjem politike zapošljavanja radno i zdravstveno sposobnih Roma, sufinanciranjem pripreme i provedbe projekata neprofitnih organizacija i udruga koje bi djelovale s ciljem unapređenja kvalitete života Roma.</w:t>
      </w:r>
    </w:p>
    <w:p w14:paraId="45B7FF99" w14:textId="0B047CDD" w:rsidR="005726C1" w:rsidRPr="008318A2" w:rsidRDefault="003713EB" w:rsidP="00A86FA4">
      <w:pPr>
        <w:spacing w:line="276" w:lineRule="auto"/>
        <w:jc w:val="both"/>
        <w:rPr>
          <w:rFonts w:cs="Times New Roman"/>
          <w:szCs w:val="24"/>
        </w:rPr>
      </w:pPr>
      <w:r>
        <w:rPr>
          <w:rFonts w:cs="Times New Roman"/>
          <w:szCs w:val="24"/>
        </w:rPr>
        <w:t>Također</w:t>
      </w:r>
      <w:r w:rsidR="005726C1" w:rsidRPr="008318A2">
        <w:rPr>
          <w:rFonts w:cs="Times New Roman"/>
          <w:szCs w:val="24"/>
        </w:rPr>
        <w:t xml:space="preserve"> upućuju na podizanje svijesti o postojanju diskriminacije pripadnika romske nacionalne manjine u zajednici, što se mora zamijeniti otvorenošću i prihvaćanjem različitosti, održavanjem informativnih programa putem lokalnih medija, podizanjem svijesti u školama i obrazovnim institucijama kroz školske i vanškolske programe te osposobljavanjem službenika i drugih dionika da prepoznaju navedene probleme i porade na rješenjima, smanjivanju siromaštva i povećanju socijalne inkluzije pripadnika romske nacionalne manjine kako bi se smanjio jaz između Roma i ostalih stanovnika.</w:t>
      </w:r>
    </w:p>
    <w:p w14:paraId="3ED568C6" w14:textId="6C60A54A" w:rsidR="005726C1" w:rsidRPr="008318A2" w:rsidRDefault="005726C1" w:rsidP="00A86FA4">
      <w:pPr>
        <w:spacing w:line="276" w:lineRule="auto"/>
        <w:jc w:val="both"/>
        <w:rPr>
          <w:rFonts w:cs="Times New Roman"/>
          <w:szCs w:val="24"/>
        </w:rPr>
      </w:pPr>
      <w:r w:rsidRPr="008318A2">
        <w:rPr>
          <w:rFonts w:cs="Times New Roman"/>
          <w:szCs w:val="24"/>
        </w:rPr>
        <w:t xml:space="preserve">Međimurska županija navodi da većina pripadnika romske nacionalne manjine obitava u depriviranim romskim naseljima čija geografska izdvojenost te izostanak pristupačnosti sadržajima nužnim za ostvarenje kvalitetnog života, otežavaju cjelokupnu integraciju romske nacionalne manjine u društvenu cjelinu. Kontinuirana povećanost nezakonite gradnje u romskim naseljima predstavlja problematiku koju obuhvaća trošak proračuna </w:t>
      </w:r>
      <w:r w:rsidR="00FE7B55">
        <w:rPr>
          <w:rFonts w:cs="Times New Roman"/>
          <w:szCs w:val="24"/>
        </w:rPr>
        <w:t>JLP(R)S</w:t>
      </w:r>
      <w:r w:rsidRPr="008318A2">
        <w:rPr>
          <w:rFonts w:cs="Times New Roman"/>
          <w:szCs w:val="24"/>
        </w:rPr>
        <w:t xml:space="preserve">. Iako zakonske osnove postoje te onemogućavaju navedeno, nedovoljna učinkovita djelotvornost provedbe istih </w:t>
      </w:r>
      <w:r w:rsidR="003713EB">
        <w:rPr>
          <w:rFonts w:cs="Times New Roman"/>
          <w:szCs w:val="24"/>
        </w:rPr>
        <w:t xml:space="preserve">dovodi do </w:t>
      </w:r>
      <w:r w:rsidRPr="008318A2">
        <w:rPr>
          <w:rFonts w:cs="Times New Roman"/>
          <w:szCs w:val="24"/>
        </w:rPr>
        <w:t>neprekinuto</w:t>
      </w:r>
      <w:r w:rsidR="003713EB">
        <w:rPr>
          <w:rFonts w:cs="Times New Roman"/>
          <w:szCs w:val="24"/>
        </w:rPr>
        <w:t>g</w:t>
      </w:r>
      <w:r w:rsidRPr="008318A2">
        <w:rPr>
          <w:rFonts w:cs="Times New Roman"/>
          <w:szCs w:val="24"/>
        </w:rPr>
        <w:t xml:space="preserve"> širenj</w:t>
      </w:r>
      <w:r w:rsidR="003713EB">
        <w:rPr>
          <w:rFonts w:cs="Times New Roman"/>
          <w:szCs w:val="24"/>
        </w:rPr>
        <w:t>a</w:t>
      </w:r>
      <w:r w:rsidRPr="008318A2">
        <w:rPr>
          <w:rFonts w:cs="Times New Roman"/>
          <w:szCs w:val="24"/>
        </w:rPr>
        <w:t xml:space="preserve"> romskih naselja.</w:t>
      </w:r>
    </w:p>
    <w:p w14:paraId="437DBE14" w14:textId="0EB15693" w:rsidR="005726C1" w:rsidRPr="008318A2" w:rsidRDefault="005726C1" w:rsidP="00A86FA4">
      <w:pPr>
        <w:spacing w:line="276" w:lineRule="auto"/>
        <w:jc w:val="both"/>
        <w:rPr>
          <w:rFonts w:cs="Times New Roman"/>
          <w:szCs w:val="24"/>
        </w:rPr>
      </w:pPr>
      <w:r w:rsidRPr="008318A2">
        <w:rPr>
          <w:rFonts w:cs="Times New Roman"/>
          <w:szCs w:val="24"/>
        </w:rPr>
        <w:t xml:space="preserve">Ističu da </w:t>
      </w:r>
      <w:r>
        <w:rPr>
          <w:rFonts w:cs="Times New Roman"/>
          <w:szCs w:val="24"/>
        </w:rPr>
        <w:t xml:space="preserve">je </w:t>
      </w:r>
      <w:r w:rsidRPr="008318A2">
        <w:rPr>
          <w:rFonts w:cs="Times New Roman"/>
          <w:szCs w:val="24"/>
        </w:rPr>
        <w:t>poboljšanje položaja pripadnika romske nacionalne manjine jedino moguć</w:t>
      </w:r>
      <w:r w:rsidR="003713EB">
        <w:rPr>
          <w:rFonts w:cs="Times New Roman"/>
          <w:szCs w:val="24"/>
        </w:rPr>
        <w:t>e</w:t>
      </w:r>
      <w:r w:rsidRPr="008318A2">
        <w:rPr>
          <w:rFonts w:cs="Times New Roman"/>
          <w:szCs w:val="24"/>
        </w:rPr>
        <w:t xml:space="preserve"> pristupom desegregiranom stanovanju koji je ključan za prekidanje kruga međugeneracijskog siromaštva i socijalne isključenosti, a kreiranje mjera koje pridonose desegregiranom stanovanju moguće je ostvariti isključivo na nacionalnoj razini</w:t>
      </w:r>
      <w:r w:rsidR="003713EB">
        <w:rPr>
          <w:rFonts w:cs="Times New Roman"/>
          <w:szCs w:val="24"/>
        </w:rPr>
        <w:t>,</w:t>
      </w:r>
      <w:r w:rsidRPr="008318A2">
        <w:rPr>
          <w:rFonts w:cs="Times New Roman"/>
          <w:szCs w:val="24"/>
        </w:rPr>
        <w:t xml:space="preserve"> u suradnji s </w:t>
      </w:r>
      <w:r w:rsidR="00FE7B55">
        <w:rPr>
          <w:rFonts w:cs="Times New Roman"/>
          <w:szCs w:val="24"/>
        </w:rPr>
        <w:t>JLP(R)S</w:t>
      </w:r>
      <w:r w:rsidRPr="008318A2">
        <w:rPr>
          <w:rFonts w:cs="Times New Roman"/>
          <w:szCs w:val="24"/>
        </w:rPr>
        <w:t>.</w:t>
      </w:r>
      <w:r w:rsidR="003713EB">
        <w:rPr>
          <w:rFonts w:cs="Times New Roman"/>
          <w:szCs w:val="24"/>
        </w:rPr>
        <w:t xml:space="preserve"> </w:t>
      </w:r>
      <w:r w:rsidR="003713EB" w:rsidRPr="008318A2">
        <w:rPr>
          <w:rFonts w:cs="Times New Roman"/>
          <w:szCs w:val="24"/>
        </w:rPr>
        <w:t xml:space="preserve">Kao jedno od mogućih rješenja stambenog pitanja predlažu razmatranje dodjele napuštenih objekata u vlasništvu Republike Hrvatske te omogućavanje dodjele državnog zemljišta za novu gradnju. </w:t>
      </w:r>
      <w:r w:rsidRPr="008318A2">
        <w:rPr>
          <w:rFonts w:cs="Times New Roman"/>
          <w:szCs w:val="24"/>
        </w:rPr>
        <w:t xml:space="preserve">Isključivo </w:t>
      </w:r>
      <w:r>
        <w:rPr>
          <w:rFonts w:cs="Times New Roman"/>
          <w:szCs w:val="24"/>
        </w:rPr>
        <w:t>sinergijskim</w:t>
      </w:r>
      <w:r w:rsidRPr="008318A2">
        <w:rPr>
          <w:rFonts w:cs="Times New Roman"/>
          <w:szCs w:val="24"/>
        </w:rPr>
        <w:t xml:space="preserve"> djelovanjem relevantnih dionika te dosljednosti u djelovanju na svim razinama ostvarivo je poboljšanje pripadnika romske nacionalne manjine. </w:t>
      </w:r>
    </w:p>
    <w:p w14:paraId="5C0F22C0" w14:textId="4D7CBE2B" w:rsidR="005726C1" w:rsidRPr="008318A2" w:rsidRDefault="005726C1" w:rsidP="00A86FA4">
      <w:pPr>
        <w:spacing w:line="276" w:lineRule="auto"/>
        <w:jc w:val="both"/>
        <w:rPr>
          <w:rFonts w:cs="Times New Roman"/>
          <w:szCs w:val="24"/>
        </w:rPr>
      </w:pPr>
      <w:r w:rsidRPr="008318A2">
        <w:rPr>
          <w:rFonts w:cs="Times New Roman"/>
          <w:szCs w:val="24"/>
        </w:rPr>
        <w:t>Grad Ludbreg smatra da je sustav socijalne skrbi iznimno važan u smanjenju siromaštva romske populacije. Navode da je potrebno podići razinu kvalitete života unutar romskih obitelji s posebnim naglaskom na prava i dobrobit djece i mladih</w:t>
      </w:r>
      <w:r w:rsidR="003713EB">
        <w:rPr>
          <w:rFonts w:cs="Times New Roman"/>
          <w:szCs w:val="24"/>
        </w:rPr>
        <w:t xml:space="preserve"> što</w:t>
      </w:r>
      <w:r w:rsidRPr="008318A2">
        <w:rPr>
          <w:rFonts w:cs="Times New Roman"/>
          <w:szCs w:val="24"/>
        </w:rPr>
        <w:t xml:space="preserve"> definira</w:t>
      </w:r>
      <w:r w:rsidR="003713EB">
        <w:rPr>
          <w:rFonts w:cs="Times New Roman"/>
          <w:szCs w:val="24"/>
        </w:rPr>
        <w:t>ju</w:t>
      </w:r>
      <w:r w:rsidRPr="008318A2">
        <w:rPr>
          <w:rFonts w:cs="Times New Roman"/>
          <w:szCs w:val="24"/>
        </w:rPr>
        <w:t xml:space="preserve"> kao „podizanje svijesti, </w:t>
      </w:r>
      <w:r w:rsidRPr="008318A2">
        <w:rPr>
          <w:rFonts w:cs="Times New Roman"/>
          <w:szCs w:val="24"/>
        </w:rPr>
        <w:lastRenderedPageBreak/>
        <w:t>edukacija i osnaživanje pripadnika romske populacije, obitelji i mladih za kvalitetniji život unutar obitelji te bolju skrb o djeci i kvalitetno roditeljstvo.</w:t>
      </w:r>
      <w:r>
        <w:rPr>
          <w:rFonts w:cs="Times New Roman"/>
          <w:szCs w:val="24"/>
        </w:rPr>
        <w:t>“</w:t>
      </w:r>
    </w:p>
    <w:p w14:paraId="7B75A964" w14:textId="1C33CCF5" w:rsidR="005726C1" w:rsidRPr="008318A2" w:rsidRDefault="005726C1" w:rsidP="00A86FA4">
      <w:pPr>
        <w:spacing w:line="276" w:lineRule="auto"/>
        <w:jc w:val="both"/>
        <w:rPr>
          <w:rFonts w:cs="Times New Roman"/>
          <w:szCs w:val="24"/>
        </w:rPr>
      </w:pPr>
      <w:r w:rsidRPr="008318A2">
        <w:rPr>
          <w:rFonts w:cs="Times New Roman"/>
          <w:szCs w:val="24"/>
        </w:rPr>
        <w:t>Grad Zagreb je u postupku izrade Socijalnog plana Grada Zagreba za razdoblje od 2025. do 2027. godine. Izrada Socijalnog plana sufinancirana je iz Europskog socijalnog fonda plus</w:t>
      </w:r>
      <w:r w:rsidR="007B3EB4">
        <w:rPr>
          <w:rFonts w:cs="Times New Roman"/>
          <w:szCs w:val="24"/>
        </w:rPr>
        <w:t xml:space="preserve"> kroz Program </w:t>
      </w:r>
      <w:r w:rsidR="009C4B7C">
        <w:rPr>
          <w:rFonts w:cs="Times New Roman"/>
          <w:szCs w:val="24"/>
        </w:rPr>
        <w:t>„</w:t>
      </w:r>
      <w:r w:rsidR="007B3EB4">
        <w:rPr>
          <w:rFonts w:cs="Times New Roman"/>
          <w:szCs w:val="24"/>
        </w:rPr>
        <w:t>Učinkoviti ljudski potencijali 2021.</w:t>
      </w:r>
      <w:r w:rsidR="009C4B7C">
        <w:rPr>
          <w:rFonts w:cs="Times New Roman"/>
          <w:szCs w:val="24"/>
        </w:rPr>
        <w:t xml:space="preserve"> </w:t>
      </w:r>
      <w:r w:rsidR="007B3EB4">
        <w:rPr>
          <w:rFonts w:cs="Times New Roman"/>
          <w:szCs w:val="24"/>
        </w:rPr>
        <w:t>-</w:t>
      </w:r>
      <w:r w:rsidR="009C4B7C">
        <w:rPr>
          <w:rFonts w:cs="Times New Roman"/>
          <w:szCs w:val="24"/>
        </w:rPr>
        <w:t xml:space="preserve"> </w:t>
      </w:r>
      <w:r w:rsidR="007B3EB4">
        <w:rPr>
          <w:rFonts w:cs="Times New Roman"/>
          <w:szCs w:val="24"/>
        </w:rPr>
        <w:t>2027.</w:t>
      </w:r>
      <w:r w:rsidR="009C4B7C">
        <w:rPr>
          <w:rFonts w:cs="Times New Roman"/>
          <w:szCs w:val="24"/>
        </w:rPr>
        <w:t>“.</w:t>
      </w:r>
      <w:r w:rsidR="002F7831">
        <w:rPr>
          <w:rFonts w:cs="Times New Roman"/>
          <w:szCs w:val="24"/>
        </w:rPr>
        <w:t xml:space="preserve"> </w:t>
      </w:r>
      <w:r w:rsidRPr="008318A2">
        <w:rPr>
          <w:rFonts w:cs="Times New Roman"/>
          <w:szCs w:val="24"/>
        </w:rPr>
        <w:t xml:space="preserve">Kroz postupak izrade dokumenta izvršit će se procjena potreba i dostupnosti socijalnih usluga na području Grada Zagreba te područja i prioriteta za razvoj postojećih i novih socijalnih usluga za korisničke skupine u većem riziku od socijalne isključenosti, a u koju pripadaju i predstavnici romske nacionalne manjine. </w:t>
      </w:r>
    </w:p>
    <w:p w14:paraId="6BF05FF4" w14:textId="0ABD6750" w:rsidR="005726C1" w:rsidRPr="008318A2" w:rsidRDefault="005726C1" w:rsidP="00A86FA4">
      <w:pPr>
        <w:spacing w:line="276" w:lineRule="auto"/>
        <w:jc w:val="both"/>
        <w:rPr>
          <w:rFonts w:cs="Times New Roman"/>
          <w:szCs w:val="24"/>
        </w:rPr>
      </w:pPr>
      <w:r w:rsidRPr="008318A2">
        <w:rPr>
          <w:rFonts w:cs="Times New Roman"/>
          <w:iCs/>
          <w:szCs w:val="24"/>
        </w:rPr>
        <w:t xml:space="preserve">Gradska skupština Grada Zagreba donijela je u prosincu 2024. Akcijski plan Grada Zagreba za 2025. </w:t>
      </w:r>
      <w:r w:rsidR="00F01A18">
        <w:rPr>
          <w:rFonts w:cs="Times New Roman"/>
          <w:iCs/>
          <w:szCs w:val="24"/>
        </w:rPr>
        <w:t>-</w:t>
      </w:r>
      <w:r w:rsidRPr="008318A2">
        <w:rPr>
          <w:rFonts w:cs="Times New Roman"/>
          <w:iCs/>
          <w:szCs w:val="24"/>
        </w:rPr>
        <w:t xml:space="preserve"> 2027. godinu za provedbu Nacionalnog plana za uključivanje Roma, za razdoblje od 2021. do 2027. </w:t>
      </w:r>
      <w:r w:rsidRPr="008318A2">
        <w:rPr>
          <w:rFonts w:cs="Times New Roman"/>
          <w:szCs w:val="24"/>
        </w:rPr>
        <w:t>Opći cilj Akcijskog plana je poboljšati položaj pripadnika romske zajednice u Zagrebu smanjivanjem jaza u svim područjima života u odnosu na ostalo stanovništvo i njihovo</w:t>
      </w:r>
      <w:r w:rsidR="002F7831">
        <w:rPr>
          <w:rFonts w:cs="Times New Roman"/>
          <w:szCs w:val="24"/>
        </w:rPr>
        <w:t xml:space="preserve"> </w:t>
      </w:r>
      <w:r w:rsidRPr="008318A2">
        <w:rPr>
          <w:rFonts w:cs="Times New Roman"/>
          <w:szCs w:val="24"/>
        </w:rPr>
        <w:t>uključivanje u hrvatsko društvo. Sadrži sedam ciljeva (područje diskriminacije, siromaštva, socijalne isključenosti, participaciju, područje obrazovanja, zapošljavanja, zdravlja i socijalne skrbi te stanovanja) i 39 mjera</w:t>
      </w:r>
      <w:r w:rsidRPr="008318A2">
        <w:rPr>
          <w:rFonts w:cs="Times New Roman"/>
          <w:bCs/>
          <w:szCs w:val="24"/>
        </w:rPr>
        <w:t xml:space="preserve"> unutar kojih su definirane aktivnosti za poboljšanje položaja Roma u društvu</w:t>
      </w:r>
      <w:r w:rsidRPr="008318A2">
        <w:rPr>
          <w:rFonts w:cs="Times New Roman"/>
          <w:szCs w:val="24"/>
        </w:rPr>
        <w:t xml:space="preserve">. </w:t>
      </w:r>
    </w:p>
    <w:p w14:paraId="7F9E12F1" w14:textId="77777777" w:rsidR="005726C1" w:rsidRPr="008318A2" w:rsidRDefault="005726C1" w:rsidP="00A86FA4">
      <w:pPr>
        <w:spacing w:line="276" w:lineRule="auto"/>
        <w:jc w:val="both"/>
        <w:rPr>
          <w:rFonts w:cs="Times New Roman"/>
          <w:szCs w:val="24"/>
        </w:rPr>
      </w:pPr>
      <w:r w:rsidRPr="008318A2">
        <w:rPr>
          <w:rFonts w:cs="Times New Roman"/>
          <w:szCs w:val="24"/>
        </w:rPr>
        <w:t xml:space="preserve">Novom gradskom Odlukom o najmu stanova donesenom u siječnju 2025., zbog činjenice da je prijava prebivališta romske nacionalne manjine uočena kao najveći problem u ostvarivanju prava na stambeno zbrinjavanje gradskim stanom, osim što je uvjet duljine prebivanja skraćen s deset na tri godine, omogućeno je dokazivanje prebivanja u Gradu Zagrebu ne samo Uvjerenjem o prebivalištu već i drugim dokazima. </w:t>
      </w:r>
    </w:p>
    <w:p w14:paraId="187682BA" w14:textId="5E025606" w:rsidR="005726C1" w:rsidRPr="00A86FA4" w:rsidRDefault="005726C1" w:rsidP="00A86FA4">
      <w:pPr>
        <w:spacing w:line="276" w:lineRule="auto"/>
        <w:jc w:val="both"/>
        <w:rPr>
          <w:rFonts w:cs="Times New Roman"/>
          <w:iCs/>
          <w:szCs w:val="24"/>
        </w:rPr>
      </w:pPr>
      <w:r w:rsidRPr="00A86FA4">
        <w:rPr>
          <w:rFonts w:cs="Times New Roman"/>
          <w:iCs/>
          <w:szCs w:val="24"/>
        </w:rPr>
        <w:t>Zaključno, nužna je kontinuirana suradnja i razmjena informacija između svih ključnih dionika od nacionalne do lokalne i županijske razine koji bi trebali sudjelovati u rješavanju svih pitanja od interesa za romsku nacionalnu manjinu i unaprjeđivanje njihovog položaja u zajednici kao i kontinuirano širenje svijesti na lokalnoj i regionalnoj razini o potrebi poduzimanja mjera i aktivnosti u cilju postizanja jednakog vrednovanja te uključivanja i sudjelovanja pripadnika romske nacionalne manjine u javni i politički život kao potpuno integriranog stanovništva Republike Hrvatske.</w:t>
      </w:r>
      <w:bookmarkEnd w:id="59"/>
      <w:r w:rsidR="002F7831" w:rsidRPr="00A86FA4">
        <w:rPr>
          <w:rFonts w:cs="Times New Roman"/>
          <w:iCs/>
          <w:szCs w:val="24"/>
        </w:rPr>
        <w:t xml:space="preserve"> </w:t>
      </w:r>
    </w:p>
    <w:sectPr w:rsidR="005726C1" w:rsidRPr="00A86FA4" w:rsidSect="00AE3492">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930BB7" w16cex:dateUtc="2025-04-03T12:42:00Z"/>
  <w16cex:commentExtensible w16cex:durableId="3A25B715" w16cex:dateUtc="2025-04-03T12:43:00Z"/>
  <w16cex:commentExtensible w16cex:durableId="3BD2680A" w16cex:dateUtc="2025-04-03T12:50:00Z"/>
  <w16cex:commentExtensible w16cex:durableId="4C134067" w16cex:dateUtc="2025-04-03T12:51:00Z"/>
  <w16cex:commentExtensible w16cex:durableId="531F5D85" w16cex:dateUtc="2025-04-03T13:16:00Z"/>
  <w16cex:commentExtensible w16cex:durableId="60B9A548" w16cex:dateUtc="2025-04-03T13:19:00Z"/>
  <w16cex:commentExtensible w16cex:durableId="13DF164A" w16cex:dateUtc="2025-04-03T1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648D6" w14:textId="77777777" w:rsidR="00E95A61" w:rsidRDefault="00E95A61" w:rsidP="00977E17">
      <w:pPr>
        <w:spacing w:after="0" w:line="240" w:lineRule="auto"/>
      </w:pPr>
      <w:r>
        <w:separator/>
      </w:r>
    </w:p>
  </w:endnote>
  <w:endnote w:type="continuationSeparator" w:id="0">
    <w:p w14:paraId="198F1F6D" w14:textId="77777777" w:rsidR="00E95A61" w:rsidRDefault="00E95A61" w:rsidP="009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Droid Sans Fallback">
    <w:altName w:val="MS Gothic"/>
    <w:charset w:val="80"/>
    <w:family w:val="auto"/>
    <w:pitch w:val="variable"/>
    <w:sig w:usb0="00000000" w:usb1="08070000" w:usb2="00000010" w:usb3="00000000" w:csb0="00020000" w:csb1="00000000"/>
  </w:font>
  <w:font w:name="+mn-e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Raleway SemiBold">
    <w:altName w:val="Times New Roman"/>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46045"/>
      <w:docPartObj>
        <w:docPartGallery w:val="Page Numbers (Bottom of Page)"/>
        <w:docPartUnique/>
      </w:docPartObj>
    </w:sdtPr>
    <w:sdtEndPr>
      <w:rPr>
        <w:rFonts w:cs="Times New Roman"/>
        <w:noProof/>
      </w:rPr>
    </w:sdtEndPr>
    <w:sdtContent>
      <w:p w14:paraId="129327EE" w14:textId="626AA0E3" w:rsidR="00571464" w:rsidRPr="00E83ECB" w:rsidRDefault="00571464">
        <w:pPr>
          <w:pStyle w:val="Footer"/>
          <w:jc w:val="right"/>
          <w:rPr>
            <w:rFonts w:cs="Times New Roman"/>
          </w:rPr>
        </w:pPr>
        <w:r w:rsidRPr="00E83ECB">
          <w:rPr>
            <w:rFonts w:cs="Times New Roman"/>
          </w:rPr>
          <w:fldChar w:fldCharType="begin"/>
        </w:r>
        <w:r w:rsidRPr="00E83ECB">
          <w:rPr>
            <w:rFonts w:cs="Times New Roman"/>
          </w:rPr>
          <w:instrText xml:space="preserve"> PAGE   \* MERGEFORMAT </w:instrText>
        </w:r>
        <w:r w:rsidRPr="00E83ECB">
          <w:rPr>
            <w:rFonts w:cs="Times New Roman"/>
          </w:rPr>
          <w:fldChar w:fldCharType="separate"/>
        </w:r>
        <w:r>
          <w:rPr>
            <w:rFonts w:cs="Times New Roman"/>
            <w:noProof/>
          </w:rPr>
          <w:t>19</w:t>
        </w:r>
        <w:r w:rsidRPr="00E83ECB">
          <w:rPr>
            <w:rFonts w:cs="Times New Roman"/>
            <w:noProof/>
          </w:rPr>
          <w:fldChar w:fldCharType="end"/>
        </w:r>
      </w:p>
    </w:sdtContent>
  </w:sdt>
  <w:p w14:paraId="1DAEAA5A" w14:textId="166BCC33" w:rsidR="00571464" w:rsidRDefault="00571464" w:rsidP="00A9150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27B8" w14:textId="20AEB8C0" w:rsidR="00571464" w:rsidRDefault="00571464">
    <w:pPr>
      <w:pStyle w:val="Footer"/>
      <w:jc w:val="right"/>
    </w:pPr>
  </w:p>
  <w:p w14:paraId="5F73F307" w14:textId="77777777" w:rsidR="00571464" w:rsidRDefault="0057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B7B4" w14:textId="77777777" w:rsidR="00E95A61" w:rsidRDefault="00E95A61" w:rsidP="00977E17">
      <w:pPr>
        <w:spacing w:after="0" w:line="240" w:lineRule="auto"/>
      </w:pPr>
      <w:r>
        <w:separator/>
      </w:r>
    </w:p>
  </w:footnote>
  <w:footnote w:type="continuationSeparator" w:id="0">
    <w:p w14:paraId="11CBB35B" w14:textId="77777777" w:rsidR="00E95A61" w:rsidRDefault="00E95A61" w:rsidP="00977E17">
      <w:pPr>
        <w:spacing w:after="0" w:line="240" w:lineRule="auto"/>
      </w:pPr>
      <w:r>
        <w:continuationSeparator/>
      </w:r>
    </w:p>
  </w:footnote>
  <w:footnote w:id="1">
    <w:p w14:paraId="068B892D" w14:textId="77777777" w:rsidR="00571464" w:rsidRPr="00812793" w:rsidRDefault="00571464" w:rsidP="00C053C7">
      <w:pPr>
        <w:pStyle w:val="FootnoteText"/>
      </w:pPr>
      <w:r w:rsidRPr="00812793">
        <w:rPr>
          <w:rStyle w:val="FootnoteReference"/>
        </w:rPr>
        <w:footnoteRef/>
      </w:r>
      <w:hyperlink r:id="rId1" w:history="1">
        <w:r w:rsidRPr="00812793">
          <w:rPr>
            <w:rStyle w:val="Hyperlink"/>
          </w:rPr>
          <w:t>https://pravamanjina.gov.hr/UserDocsImages/dokumenti/Operativni%20programi%20nacionalnih%20manjina%20za%20razdoblje%202024.-%202028..pdf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9AEC" w14:textId="5DCB971C" w:rsidR="00571464" w:rsidRPr="00D56381" w:rsidRDefault="00571464" w:rsidP="00D56381">
    <w:pPr>
      <w:pStyle w:val="Header"/>
      <w:jc w:val="both"/>
      <w:rPr>
        <w:rFonts w:ascii="Raleway SemiBold" w:hAnsi="Raleway SemiBold" w:cs="Times New Roman"/>
        <w:sz w:val="18"/>
        <w:szCs w:val="18"/>
      </w:rPr>
    </w:pPr>
    <w:r w:rsidRPr="00D56381">
      <w:rPr>
        <w:rFonts w:ascii="Raleway SemiBold" w:hAnsi="Raleway SemiBold" w:cs="Times New Roman"/>
        <w:noProof/>
        <w:sz w:val="18"/>
        <w:szCs w:val="18"/>
        <w:lang w:val="en-US"/>
      </w:rPr>
      <w:drawing>
        <wp:anchor distT="0" distB="0" distL="114300" distR="114300" simplePos="0" relativeHeight="251658240" behindDoc="1" locked="0" layoutInCell="1" allowOverlap="1" wp14:anchorId="58B28BD3" wp14:editId="5FEABB3B">
          <wp:simplePos x="0" y="0"/>
          <wp:positionH relativeFrom="column">
            <wp:posOffset>-4445</wp:posOffset>
          </wp:positionH>
          <wp:positionV relativeFrom="paragraph">
            <wp:posOffset>-1905</wp:posOffset>
          </wp:positionV>
          <wp:extent cx="254965" cy="252000"/>
          <wp:effectExtent l="0" t="0" r="0" b="0"/>
          <wp:wrapTight wrapText="bothSides">
            <wp:wrapPolygon edited="0">
              <wp:start x="1616" y="0"/>
              <wp:lineTo x="0" y="4909"/>
              <wp:lineTo x="0" y="16364"/>
              <wp:lineTo x="1616" y="19636"/>
              <wp:lineTo x="17776" y="19636"/>
              <wp:lineTo x="19392" y="16364"/>
              <wp:lineTo x="19392" y="4909"/>
              <wp:lineTo x="17776" y="0"/>
              <wp:lineTo x="161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ljucivanje-roma_boja_hr.png"/>
                  <pic:cNvPicPr/>
                </pic:nvPicPr>
                <pic:blipFill rotWithShape="1">
                  <a:blip r:embed="rId1" cstate="print">
                    <a:extLst>
                      <a:ext uri="{28A0092B-C50C-407E-A947-70E740481C1C}">
                        <a14:useLocalDpi xmlns:a14="http://schemas.microsoft.com/office/drawing/2010/main" val="0"/>
                      </a:ext>
                    </a:extLst>
                  </a:blip>
                  <a:srcRect t="-2" r="66753" b="-3"/>
                  <a:stretch/>
                </pic:blipFill>
                <pic:spPr bwMode="auto">
                  <a:xfrm>
                    <a:off x="0" y="0"/>
                    <a:ext cx="254965" cy="2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6381">
      <w:rPr>
        <w:rFonts w:ascii="Raleway SemiBold" w:hAnsi="Raleway SemiBold" w:cs="Times New Roman"/>
        <w:sz w:val="18"/>
        <w:szCs w:val="18"/>
      </w:rPr>
      <w:t>Izvješće o prov</w:t>
    </w:r>
    <w:r>
      <w:rPr>
        <w:rFonts w:ascii="Raleway SemiBold" w:hAnsi="Raleway SemiBold" w:cs="Times New Roman"/>
        <w:sz w:val="18"/>
        <w:szCs w:val="18"/>
      </w:rPr>
      <w:t>ođenju</w:t>
    </w:r>
    <w:r w:rsidRPr="00D56381">
      <w:rPr>
        <w:rFonts w:ascii="Raleway SemiBold" w:hAnsi="Raleway SemiBold" w:cs="Times New Roman"/>
        <w:sz w:val="18"/>
        <w:szCs w:val="18"/>
      </w:rPr>
      <w:t xml:space="preserve"> Akcijskog plana za provedbu Nacionalnog plana za uključivanje Roma, za razdoblje od 2021. do 2027.</w:t>
    </w:r>
    <w:r>
      <w:rPr>
        <w:rFonts w:ascii="Raleway SemiBold" w:hAnsi="Raleway SemiBold" w:cs="Times New Roman"/>
        <w:sz w:val="18"/>
        <w:szCs w:val="18"/>
      </w:rPr>
      <w:t xml:space="preserve"> godine</w:t>
    </w:r>
    <w:r w:rsidRPr="00D56381">
      <w:rPr>
        <w:rFonts w:ascii="Raleway SemiBold" w:hAnsi="Raleway SemiBold" w:cs="Times New Roman"/>
        <w:sz w:val="18"/>
        <w:szCs w:val="18"/>
      </w:rPr>
      <w:t>, za 202</w:t>
    </w:r>
    <w:r>
      <w:rPr>
        <w:rFonts w:ascii="Raleway SemiBold" w:hAnsi="Raleway SemiBold" w:cs="Times New Roman"/>
        <w:sz w:val="18"/>
        <w:szCs w:val="18"/>
      </w:rPr>
      <w:t>4</w:t>
    </w:r>
    <w:r w:rsidRPr="00D56381">
      <w:rPr>
        <w:rFonts w:ascii="Raleway SemiBold" w:hAnsi="Raleway SemiBold" w:cs="Times New Roman"/>
        <w:sz w:val="18"/>
        <w:szCs w:val="18"/>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E1B"/>
    <w:multiLevelType w:val="multilevel"/>
    <w:tmpl w:val="2BF844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D57E97"/>
    <w:multiLevelType w:val="hybridMultilevel"/>
    <w:tmpl w:val="7362E6D0"/>
    <w:lvl w:ilvl="0" w:tplc="535C4F00">
      <w:start w:val="1"/>
      <w:numFmt w:val="bullet"/>
      <w:lvlText w:val="-"/>
      <w:lvlJc w:val="left"/>
      <w:pPr>
        <w:ind w:left="502" w:hanging="360"/>
      </w:pPr>
      <w:rPr>
        <w:rFonts w:ascii="Times New Roman" w:eastAsiaTheme="minorHAns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 w15:restartNumberingAfterBreak="0">
    <w:nsid w:val="06FC26CD"/>
    <w:multiLevelType w:val="hybridMultilevel"/>
    <w:tmpl w:val="6D12BD88"/>
    <w:lvl w:ilvl="0" w:tplc="4A16BB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A65153"/>
    <w:multiLevelType w:val="hybridMultilevel"/>
    <w:tmpl w:val="A3DA7630"/>
    <w:lvl w:ilvl="0" w:tplc="C1A0A9E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C124CCF"/>
    <w:multiLevelType w:val="hybridMultilevel"/>
    <w:tmpl w:val="E24E6C84"/>
    <w:lvl w:ilvl="0" w:tplc="31747CF2">
      <w:start w:val="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B4993"/>
    <w:multiLevelType w:val="hybridMultilevel"/>
    <w:tmpl w:val="5BFAE7BE"/>
    <w:lvl w:ilvl="0" w:tplc="0CA4325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51033A"/>
    <w:multiLevelType w:val="multilevel"/>
    <w:tmpl w:val="3C10A186"/>
    <w:lvl w:ilvl="0">
      <w:start w:val="1"/>
      <w:numFmt w:val="decimal"/>
      <w:lvlText w:val="%1."/>
      <w:lvlJc w:val="left"/>
      <w:pPr>
        <w:ind w:left="360" w:hanging="360"/>
      </w:pPr>
      <w:rPr>
        <w:b w:val="0"/>
        <w:sz w:val="24"/>
        <w:szCs w:val="24"/>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4F33A8"/>
    <w:multiLevelType w:val="hybridMultilevel"/>
    <w:tmpl w:val="067AD82A"/>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6478F0"/>
    <w:multiLevelType w:val="hybridMultilevel"/>
    <w:tmpl w:val="C302C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B5001"/>
    <w:multiLevelType w:val="hybridMultilevel"/>
    <w:tmpl w:val="F774E4E0"/>
    <w:lvl w:ilvl="0" w:tplc="1F009364">
      <w:start w:val="1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4A38CE"/>
    <w:multiLevelType w:val="hybridMultilevel"/>
    <w:tmpl w:val="77044FA2"/>
    <w:lvl w:ilvl="0" w:tplc="08090001">
      <w:start w:val="1"/>
      <w:numFmt w:val="bullet"/>
      <w:lvlText w:val=""/>
      <w:lvlJc w:val="left"/>
      <w:pPr>
        <w:ind w:left="720" w:hanging="360"/>
      </w:pPr>
      <w:rPr>
        <w:rFonts w:ascii="Symbol" w:hAnsi="Symbol" w:hint="default"/>
      </w:rPr>
    </w:lvl>
    <w:lvl w:ilvl="1" w:tplc="615C894C">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60FAF"/>
    <w:multiLevelType w:val="hybridMultilevel"/>
    <w:tmpl w:val="F2AA0342"/>
    <w:lvl w:ilvl="0" w:tplc="1918EB86">
      <w:start w:val="1"/>
      <w:numFmt w:val="decimal"/>
      <w:lvlText w:val="%1."/>
      <w:lvlJc w:val="left"/>
      <w:pPr>
        <w:ind w:left="720" w:hanging="360"/>
      </w:pPr>
      <w:rPr>
        <w:rFonts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F24812"/>
    <w:multiLevelType w:val="hybridMultilevel"/>
    <w:tmpl w:val="E396A9E6"/>
    <w:lvl w:ilvl="0" w:tplc="01EAB45C">
      <w:start w:val="166"/>
      <w:numFmt w:val="bullet"/>
      <w:lvlText w:val="-"/>
      <w:lvlJc w:val="left"/>
      <w:pPr>
        <w:ind w:left="720" w:hanging="360"/>
      </w:pPr>
      <w:rPr>
        <w:rFonts w:ascii="TimesNewRomanPS-BoldMT" w:eastAsia="Times New Roman" w:hAnsi="TimesNewRomanPS-Bold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473810"/>
    <w:multiLevelType w:val="hybridMultilevel"/>
    <w:tmpl w:val="EFC4C4F6"/>
    <w:lvl w:ilvl="0" w:tplc="A9F82D80">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D50CEA"/>
    <w:multiLevelType w:val="hybridMultilevel"/>
    <w:tmpl w:val="5A2249F8"/>
    <w:lvl w:ilvl="0" w:tplc="A9F82D80">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064930"/>
    <w:multiLevelType w:val="hybridMultilevel"/>
    <w:tmpl w:val="029EA22A"/>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58620C"/>
    <w:multiLevelType w:val="multilevel"/>
    <w:tmpl w:val="6688ED98"/>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color w:val="auto"/>
        <w:sz w:val="26"/>
        <w:szCs w:val="26"/>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31DF7D8A"/>
    <w:multiLevelType w:val="hybridMultilevel"/>
    <w:tmpl w:val="9D16E51A"/>
    <w:lvl w:ilvl="0" w:tplc="3C0873F2">
      <w:start w:val="1"/>
      <w:numFmt w:val="decimal"/>
      <w:lvlText w:val="%1."/>
      <w:lvlJc w:val="left"/>
      <w:pPr>
        <w:ind w:left="720" w:hanging="360"/>
      </w:pPr>
      <w:rPr>
        <w:rFonts w:ascii="Times New Roman" w:eastAsiaTheme="minorHAnsi" w:hAnsi="Times New Roman" w:cs="Times New Roman" w:hint="default"/>
        <w:color w:val="0563C1" w:themeColor="hyperlink"/>
        <w:sz w:val="24"/>
        <w:u w:val="singl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840B2E"/>
    <w:multiLevelType w:val="hybridMultilevel"/>
    <w:tmpl w:val="756AF306"/>
    <w:lvl w:ilvl="0" w:tplc="373EC60C">
      <w:start w:val="363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2129A2"/>
    <w:multiLevelType w:val="hybridMultilevel"/>
    <w:tmpl w:val="B5BA5214"/>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8C767B"/>
    <w:multiLevelType w:val="multilevel"/>
    <w:tmpl w:val="4D9A6820"/>
    <w:lvl w:ilvl="0">
      <w:start w:val="1"/>
      <w:numFmt w:val="decimal"/>
      <w:pStyle w:val="Heading1"/>
      <w:lvlText w:val="%1."/>
      <w:lvlJc w:val="left"/>
      <w:pPr>
        <w:ind w:left="764"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E54B9D"/>
    <w:multiLevelType w:val="hybridMultilevel"/>
    <w:tmpl w:val="442E2BBC"/>
    <w:lvl w:ilvl="0" w:tplc="6AF8470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D13590"/>
    <w:multiLevelType w:val="hybridMultilevel"/>
    <w:tmpl w:val="26F86BBC"/>
    <w:lvl w:ilvl="0" w:tplc="041A000F">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FC326DF"/>
    <w:multiLevelType w:val="hybridMultilevel"/>
    <w:tmpl w:val="C01CA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777"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863E6"/>
    <w:multiLevelType w:val="hybridMultilevel"/>
    <w:tmpl w:val="52063FE0"/>
    <w:lvl w:ilvl="0" w:tplc="459279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4130CF"/>
    <w:multiLevelType w:val="hybridMultilevel"/>
    <w:tmpl w:val="969ED166"/>
    <w:lvl w:ilvl="0" w:tplc="5CBAB5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1535F"/>
    <w:multiLevelType w:val="hybridMultilevel"/>
    <w:tmpl w:val="7612308A"/>
    <w:lvl w:ilvl="0" w:tplc="D4FA1B48">
      <w:start w:val="3631"/>
      <w:numFmt w:val="bullet"/>
      <w:lvlText w:val="-"/>
      <w:lvlJc w:val="left"/>
      <w:pPr>
        <w:ind w:left="360" w:hanging="360"/>
      </w:pPr>
      <w:rPr>
        <w:rFonts w:ascii="Calibri" w:eastAsiaTheme="minorHAnsi" w:hAnsi="Calibri" w:cs="Calibri"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93328D9"/>
    <w:multiLevelType w:val="hybridMultilevel"/>
    <w:tmpl w:val="D46E1EEA"/>
    <w:lvl w:ilvl="0" w:tplc="9A2AB77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9B3823"/>
    <w:multiLevelType w:val="hybridMultilevel"/>
    <w:tmpl w:val="AAB428E6"/>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512C93"/>
    <w:multiLevelType w:val="hybridMultilevel"/>
    <w:tmpl w:val="8A5E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C68B2"/>
    <w:multiLevelType w:val="hybridMultilevel"/>
    <w:tmpl w:val="6CBA7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7"/>
  </w:num>
  <w:num w:numId="4">
    <w:abstractNumId w:val="11"/>
  </w:num>
  <w:num w:numId="5">
    <w:abstractNumId w:val="13"/>
  </w:num>
  <w:num w:numId="6">
    <w:abstractNumId w:val="6"/>
  </w:num>
  <w:num w:numId="7">
    <w:abstractNumId w:val="22"/>
  </w:num>
  <w:num w:numId="8">
    <w:abstractNumId w:val="28"/>
  </w:num>
  <w:num w:numId="9">
    <w:abstractNumId w:val="1"/>
  </w:num>
  <w:num w:numId="10">
    <w:abstractNumId w:val="12"/>
  </w:num>
  <w:num w:numId="11">
    <w:abstractNumId w:val="17"/>
  </w:num>
  <w:num w:numId="12">
    <w:abstractNumId w:val="26"/>
  </w:num>
  <w:num w:numId="13">
    <w:abstractNumId w:val="15"/>
  </w:num>
  <w:num w:numId="14">
    <w:abstractNumId w:val="14"/>
  </w:num>
  <w:num w:numId="15">
    <w:abstractNumId w:val="5"/>
  </w:num>
  <w:num w:numId="16">
    <w:abstractNumId w:val="24"/>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
  </w:num>
  <w:num w:numId="31">
    <w:abstractNumId w:val="29"/>
  </w:num>
  <w:num w:numId="32">
    <w:abstractNumId w:val="25"/>
  </w:num>
  <w:num w:numId="33">
    <w:abstractNumId w:val="18"/>
  </w:num>
  <w:num w:numId="34">
    <w:abstractNumId w:val="2"/>
  </w:num>
  <w:num w:numId="35">
    <w:abstractNumId w:val="9"/>
  </w:num>
  <w:num w:numId="36">
    <w:abstractNumId w:val="10"/>
  </w:num>
  <w:num w:numId="37">
    <w:abstractNumId w:val="8"/>
  </w:num>
  <w:num w:numId="38">
    <w:abstractNumId w:val="23"/>
  </w:num>
  <w:num w:numId="39">
    <w:abstractNumId w:val="27"/>
  </w:num>
  <w:num w:numId="40">
    <w:abstractNumId w:val="16"/>
  </w:num>
  <w:num w:numId="41">
    <w:abstractNumId w:val="21"/>
  </w:num>
  <w:num w:numId="4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C5"/>
    <w:rsid w:val="00000B50"/>
    <w:rsid w:val="0000104E"/>
    <w:rsid w:val="00001246"/>
    <w:rsid w:val="000029E9"/>
    <w:rsid w:val="00002CA6"/>
    <w:rsid w:val="000034C9"/>
    <w:rsid w:val="00003560"/>
    <w:rsid w:val="00004B94"/>
    <w:rsid w:val="000058CE"/>
    <w:rsid w:val="00005D9B"/>
    <w:rsid w:val="00006298"/>
    <w:rsid w:val="00006799"/>
    <w:rsid w:val="0000683B"/>
    <w:rsid w:val="00006C69"/>
    <w:rsid w:val="00007922"/>
    <w:rsid w:val="00007DA8"/>
    <w:rsid w:val="00007F0E"/>
    <w:rsid w:val="000103D4"/>
    <w:rsid w:val="00010D65"/>
    <w:rsid w:val="00010F42"/>
    <w:rsid w:val="0001101B"/>
    <w:rsid w:val="00011DEC"/>
    <w:rsid w:val="00012382"/>
    <w:rsid w:val="00012E34"/>
    <w:rsid w:val="00013413"/>
    <w:rsid w:val="00013990"/>
    <w:rsid w:val="00013FCB"/>
    <w:rsid w:val="00015092"/>
    <w:rsid w:val="00015153"/>
    <w:rsid w:val="00016489"/>
    <w:rsid w:val="000165B7"/>
    <w:rsid w:val="00016644"/>
    <w:rsid w:val="000167F5"/>
    <w:rsid w:val="00017921"/>
    <w:rsid w:val="00017C95"/>
    <w:rsid w:val="000216D2"/>
    <w:rsid w:val="000228D0"/>
    <w:rsid w:val="00022DDB"/>
    <w:rsid w:val="00022F58"/>
    <w:rsid w:val="000237A2"/>
    <w:rsid w:val="00023A7D"/>
    <w:rsid w:val="00023F92"/>
    <w:rsid w:val="00024EF9"/>
    <w:rsid w:val="00025132"/>
    <w:rsid w:val="000252AC"/>
    <w:rsid w:val="0002532C"/>
    <w:rsid w:val="00026107"/>
    <w:rsid w:val="00030B65"/>
    <w:rsid w:val="00030FFE"/>
    <w:rsid w:val="0003148D"/>
    <w:rsid w:val="00031572"/>
    <w:rsid w:val="000322D8"/>
    <w:rsid w:val="000326C4"/>
    <w:rsid w:val="00032C43"/>
    <w:rsid w:val="00033791"/>
    <w:rsid w:val="000340FD"/>
    <w:rsid w:val="0003435A"/>
    <w:rsid w:val="00034884"/>
    <w:rsid w:val="00034E04"/>
    <w:rsid w:val="00034FCD"/>
    <w:rsid w:val="00035F44"/>
    <w:rsid w:val="00036015"/>
    <w:rsid w:val="00036D37"/>
    <w:rsid w:val="000379CB"/>
    <w:rsid w:val="00040E06"/>
    <w:rsid w:val="0004140C"/>
    <w:rsid w:val="00041B5A"/>
    <w:rsid w:val="00042844"/>
    <w:rsid w:val="00043959"/>
    <w:rsid w:val="00043A03"/>
    <w:rsid w:val="00043FC5"/>
    <w:rsid w:val="00044BCB"/>
    <w:rsid w:val="00044F90"/>
    <w:rsid w:val="000452E1"/>
    <w:rsid w:val="00045A4A"/>
    <w:rsid w:val="00045B57"/>
    <w:rsid w:val="00046559"/>
    <w:rsid w:val="00046895"/>
    <w:rsid w:val="00046DDC"/>
    <w:rsid w:val="000470E7"/>
    <w:rsid w:val="0004756D"/>
    <w:rsid w:val="00050A9D"/>
    <w:rsid w:val="00051256"/>
    <w:rsid w:val="00051EB6"/>
    <w:rsid w:val="00051ED6"/>
    <w:rsid w:val="000528A3"/>
    <w:rsid w:val="00052C6C"/>
    <w:rsid w:val="00053ED2"/>
    <w:rsid w:val="00054DFB"/>
    <w:rsid w:val="0005628E"/>
    <w:rsid w:val="00056BCB"/>
    <w:rsid w:val="00057455"/>
    <w:rsid w:val="000574AC"/>
    <w:rsid w:val="00060B0A"/>
    <w:rsid w:val="00060B3B"/>
    <w:rsid w:val="0006183A"/>
    <w:rsid w:val="000625D5"/>
    <w:rsid w:val="000635E0"/>
    <w:rsid w:val="00064343"/>
    <w:rsid w:val="000657DD"/>
    <w:rsid w:val="00066AF7"/>
    <w:rsid w:val="0006709F"/>
    <w:rsid w:val="0006733F"/>
    <w:rsid w:val="0006735A"/>
    <w:rsid w:val="000673FF"/>
    <w:rsid w:val="00067B6C"/>
    <w:rsid w:val="00067FEC"/>
    <w:rsid w:val="0007036C"/>
    <w:rsid w:val="000706D1"/>
    <w:rsid w:val="000711F9"/>
    <w:rsid w:val="000715EC"/>
    <w:rsid w:val="000720F5"/>
    <w:rsid w:val="00072E42"/>
    <w:rsid w:val="00072EFF"/>
    <w:rsid w:val="00073FB5"/>
    <w:rsid w:val="0007469D"/>
    <w:rsid w:val="000747C8"/>
    <w:rsid w:val="00074E84"/>
    <w:rsid w:val="0007513B"/>
    <w:rsid w:val="000776DF"/>
    <w:rsid w:val="000804A4"/>
    <w:rsid w:val="00080FCC"/>
    <w:rsid w:val="000815D9"/>
    <w:rsid w:val="000817E3"/>
    <w:rsid w:val="00082E76"/>
    <w:rsid w:val="00083859"/>
    <w:rsid w:val="00083C25"/>
    <w:rsid w:val="00083E0D"/>
    <w:rsid w:val="00084357"/>
    <w:rsid w:val="000847C5"/>
    <w:rsid w:val="00086772"/>
    <w:rsid w:val="000902FD"/>
    <w:rsid w:val="000911F3"/>
    <w:rsid w:val="00091BDB"/>
    <w:rsid w:val="00091C27"/>
    <w:rsid w:val="00091FBD"/>
    <w:rsid w:val="000926C2"/>
    <w:rsid w:val="00093942"/>
    <w:rsid w:val="0009396B"/>
    <w:rsid w:val="00093E37"/>
    <w:rsid w:val="000950C2"/>
    <w:rsid w:val="000969FA"/>
    <w:rsid w:val="00097FD7"/>
    <w:rsid w:val="000A04D0"/>
    <w:rsid w:val="000A1F05"/>
    <w:rsid w:val="000A2629"/>
    <w:rsid w:val="000A2BFD"/>
    <w:rsid w:val="000A2C7A"/>
    <w:rsid w:val="000A3526"/>
    <w:rsid w:val="000A4451"/>
    <w:rsid w:val="000A48D6"/>
    <w:rsid w:val="000A4DFE"/>
    <w:rsid w:val="000A5928"/>
    <w:rsid w:val="000A64CF"/>
    <w:rsid w:val="000A7646"/>
    <w:rsid w:val="000B0B51"/>
    <w:rsid w:val="000B0BF7"/>
    <w:rsid w:val="000B152A"/>
    <w:rsid w:val="000B1B98"/>
    <w:rsid w:val="000B1FA9"/>
    <w:rsid w:val="000B3C8A"/>
    <w:rsid w:val="000B56A0"/>
    <w:rsid w:val="000B5728"/>
    <w:rsid w:val="000B58C0"/>
    <w:rsid w:val="000B5919"/>
    <w:rsid w:val="000B60ED"/>
    <w:rsid w:val="000B764D"/>
    <w:rsid w:val="000C0761"/>
    <w:rsid w:val="000C2398"/>
    <w:rsid w:val="000C3762"/>
    <w:rsid w:val="000C48F3"/>
    <w:rsid w:val="000C5D71"/>
    <w:rsid w:val="000C6A7B"/>
    <w:rsid w:val="000C6C86"/>
    <w:rsid w:val="000C70C3"/>
    <w:rsid w:val="000C729C"/>
    <w:rsid w:val="000C785A"/>
    <w:rsid w:val="000C7DB3"/>
    <w:rsid w:val="000D075B"/>
    <w:rsid w:val="000D132E"/>
    <w:rsid w:val="000D169E"/>
    <w:rsid w:val="000D1757"/>
    <w:rsid w:val="000D4368"/>
    <w:rsid w:val="000D4A20"/>
    <w:rsid w:val="000D4C3D"/>
    <w:rsid w:val="000D5964"/>
    <w:rsid w:val="000E06A5"/>
    <w:rsid w:val="000E087B"/>
    <w:rsid w:val="000E0A13"/>
    <w:rsid w:val="000E0B6B"/>
    <w:rsid w:val="000E0FB7"/>
    <w:rsid w:val="000E20C8"/>
    <w:rsid w:val="000E2E96"/>
    <w:rsid w:val="000E4693"/>
    <w:rsid w:val="000E4B03"/>
    <w:rsid w:val="000E59EB"/>
    <w:rsid w:val="000E5DD1"/>
    <w:rsid w:val="000E78C4"/>
    <w:rsid w:val="000E78D0"/>
    <w:rsid w:val="000F15CF"/>
    <w:rsid w:val="000F2491"/>
    <w:rsid w:val="000F2706"/>
    <w:rsid w:val="000F2F02"/>
    <w:rsid w:val="000F300F"/>
    <w:rsid w:val="000F31D3"/>
    <w:rsid w:val="000F404B"/>
    <w:rsid w:val="000F4366"/>
    <w:rsid w:val="000F497A"/>
    <w:rsid w:val="000F4C39"/>
    <w:rsid w:val="000F5018"/>
    <w:rsid w:val="000F6CCE"/>
    <w:rsid w:val="000F7805"/>
    <w:rsid w:val="000F79B0"/>
    <w:rsid w:val="000F7F2B"/>
    <w:rsid w:val="00100A7C"/>
    <w:rsid w:val="00101C78"/>
    <w:rsid w:val="00101EB2"/>
    <w:rsid w:val="001025D2"/>
    <w:rsid w:val="00102699"/>
    <w:rsid w:val="00102FBE"/>
    <w:rsid w:val="00103011"/>
    <w:rsid w:val="00103AA1"/>
    <w:rsid w:val="00103CBA"/>
    <w:rsid w:val="001049FA"/>
    <w:rsid w:val="00105847"/>
    <w:rsid w:val="00105F48"/>
    <w:rsid w:val="00106EC1"/>
    <w:rsid w:val="001103A1"/>
    <w:rsid w:val="00110AFF"/>
    <w:rsid w:val="00110BF0"/>
    <w:rsid w:val="00110ED1"/>
    <w:rsid w:val="001110EE"/>
    <w:rsid w:val="00112E9E"/>
    <w:rsid w:val="00113304"/>
    <w:rsid w:val="001142DC"/>
    <w:rsid w:val="00114608"/>
    <w:rsid w:val="00114AB9"/>
    <w:rsid w:val="00115FB4"/>
    <w:rsid w:val="001162D2"/>
    <w:rsid w:val="00116CC6"/>
    <w:rsid w:val="001200B6"/>
    <w:rsid w:val="0012024A"/>
    <w:rsid w:val="0012026D"/>
    <w:rsid w:val="0012140A"/>
    <w:rsid w:val="0012183D"/>
    <w:rsid w:val="00122065"/>
    <w:rsid w:val="0012364D"/>
    <w:rsid w:val="00124721"/>
    <w:rsid w:val="001248F2"/>
    <w:rsid w:val="00125194"/>
    <w:rsid w:val="00126AA5"/>
    <w:rsid w:val="00127089"/>
    <w:rsid w:val="00127478"/>
    <w:rsid w:val="00130A46"/>
    <w:rsid w:val="0013369E"/>
    <w:rsid w:val="00133E88"/>
    <w:rsid w:val="001345D0"/>
    <w:rsid w:val="001418C0"/>
    <w:rsid w:val="0014199F"/>
    <w:rsid w:val="00141D0A"/>
    <w:rsid w:val="001424F7"/>
    <w:rsid w:val="00142B9A"/>
    <w:rsid w:val="00142EE0"/>
    <w:rsid w:val="001440A8"/>
    <w:rsid w:val="001457C4"/>
    <w:rsid w:val="00146523"/>
    <w:rsid w:val="001465EB"/>
    <w:rsid w:val="00146B4C"/>
    <w:rsid w:val="00147309"/>
    <w:rsid w:val="00147494"/>
    <w:rsid w:val="001477ED"/>
    <w:rsid w:val="001514EB"/>
    <w:rsid w:val="00151AFA"/>
    <w:rsid w:val="001529B9"/>
    <w:rsid w:val="00153288"/>
    <w:rsid w:val="001539B1"/>
    <w:rsid w:val="00154419"/>
    <w:rsid w:val="001545FE"/>
    <w:rsid w:val="001548D1"/>
    <w:rsid w:val="00154C6C"/>
    <w:rsid w:val="00155B00"/>
    <w:rsid w:val="00157491"/>
    <w:rsid w:val="00157627"/>
    <w:rsid w:val="00157FFC"/>
    <w:rsid w:val="00160618"/>
    <w:rsid w:val="0016100B"/>
    <w:rsid w:val="0016191C"/>
    <w:rsid w:val="00161B00"/>
    <w:rsid w:val="00162EED"/>
    <w:rsid w:val="00162F54"/>
    <w:rsid w:val="0016441C"/>
    <w:rsid w:val="001654B1"/>
    <w:rsid w:val="00165D99"/>
    <w:rsid w:val="00166086"/>
    <w:rsid w:val="001671E0"/>
    <w:rsid w:val="00167A9E"/>
    <w:rsid w:val="0017024D"/>
    <w:rsid w:val="0017269E"/>
    <w:rsid w:val="001726BB"/>
    <w:rsid w:val="00172928"/>
    <w:rsid w:val="00173B4F"/>
    <w:rsid w:val="00174A01"/>
    <w:rsid w:val="00175986"/>
    <w:rsid w:val="00176518"/>
    <w:rsid w:val="001767F7"/>
    <w:rsid w:val="00176B7E"/>
    <w:rsid w:val="00177831"/>
    <w:rsid w:val="00177BFA"/>
    <w:rsid w:val="0018104B"/>
    <w:rsid w:val="00181590"/>
    <w:rsid w:val="00181A72"/>
    <w:rsid w:val="00181AFC"/>
    <w:rsid w:val="00181B41"/>
    <w:rsid w:val="00181CD8"/>
    <w:rsid w:val="00181EDA"/>
    <w:rsid w:val="00183B0B"/>
    <w:rsid w:val="00183CB1"/>
    <w:rsid w:val="0018416B"/>
    <w:rsid w:val="00184C84"/>
    <w:rsid w:val="00185158"/>
    <w:rsid w:val="00186262"/>
    <w:rsid w:val="00186749"/>
    <w:rsid w:val="001878FE"/>
    <w:rsid w:val="00187A13"/>
    <w:rsid w:val="00187B66"/>
    <w:rsid w:val="00190175"/>
    <w:rsid w:val="001902CA"/>
    <w:rsid w:val="0019031B"/>
    <w:rsid w:val="0019105E"/>
    <w:rsid w:val="00191A94"/>
    <w:rsid w:val="00191DFB"/>
    <w:rsid w:val="001936CD"/>
    <w:rsid w:val="001937BA"/>
    <w:rsid w:val="00194451"/>
    <w:rsid w:val="0019555F"/>
    <w:rsid w:val="00196B70"/>
    <w:rsid w:val="001977FF"/>
    <w:rsid w:val="001979AD"/>
    <w:rsid w:val="001A01DA"/>
    <w:rsid w:val="001A0285"/>
    <w:rsid w:val="001A1212"/>
    <w:rsid w:val="001A1802"/>
    <w:rsid w:val="001A1C92"/>
    <w:rsid w:val="001A29FE"/>
    <w:rsid w:val="001A32F9"/>
    <w:rsid w:val="001A5379"/>
    <w:rsid w:val="001A6340"/>
    <w:rsid w:val="001A6535"/>
    <w:rsid w:val="001A683F"/>
    <w:rsid w:val="001A749E"/>
    <w:rsid w:val="001B1F56"/>
    <w:rsid w:val="001B21CF"/>
    <w:rsid w:val="001B2437"/>
    <w:rsid w:val="001B2A96"/>
    <w:rsid w:val="001B2D33"/>
    <w:rsid w:val="001B326B"/>
    <w:rsid w:val="001B3DF1"/>
    <w:rsid w:val="001B4386"/>
    <w:rsid w:val="001B48A1"/>
    <w:rsid w:val="001B4CD5"/>
    <w:rsid w:val="001B640D"/>
    <w:rsid w:val="001B6626"/>
    <w:rsid w:val="001C03B5"/>
    <w:rsid w:val="001C083A"/>
    <w:rsid w:val="001C13BF"/>
    <w:rsid w:val="001C1971"/>
    <w:rsid w:val="001C2289"/>
    <w:rsid w:val="001C3A27"/>
    <w:rsid w:val="001C4267"/>
    <w:rsid w:val="001C4419"/>
    <w:rsid w:val="001C609D"/>
    <w:rsid w:val="001C68CC"/>
    <w:rsid w:val="001C6EE8"/>
    <w:rsid w:val="001C73AB"/>
    <w:rsid w:val="001C74E8"/>
    <w:rsid w:val="001D027D"/>
    <w:rsid w:val="001D0388"/>
    <w:rsid w:val="001D05C3"/>
    <w:rsid w:val="001D17FF"/>
    <w:rsid w:val="001D1FA4"/>
    <w:rsid w:val="001D2279"/>
    <w:rsid w:val="001D23CB"/>
    <w:rsid w:val="001D2A9A"/>
    <w:rsid w:val="001D332B"/>
    <w:rsid w:val="001D3D7D"/>
    <w:rsid w:val="001D470D"/>
    <w:rsid w:val="001D53B8"/>
    <w:rsid w:val="001D55F5"/>
    <w:rsid w:val="001D5C13"/>
    <w:rsid w:val="001D5C49"/>
    <w:rsid w:val="001D5F02"/>
    <w:rsid w:val="001D61BC"/>
    <w:rsid w:val="001D6674"/>
    <w:rsid w:val="001D6DA1"/>
    <w:rsid w:val="001D7217"/>
    <w:rsid w:val="001D7218"/>
    <w:rsid w:val="001D7246"/>
    <w:rsid w:val="001D7745"/>
    <w:rsid w:val="001D7CC4"/>
    <w:rsid w:val="001E016C"/>
    <w:rsid w:val="001E06C1"/>
    <w:rsid w:val="001E1069"/>
    <w:rsid w:val="001E3580"/>
    <w:rsid w:val="001E3F9A"/>
    <w:rsid w:val="001E4B6D"/>
    <w:rsid w:val="001E6D83"/>
    <w:rsid w:val="001E71B3"/>
    <w:rsid w:val="001E793B"/>
    <w:rsid w:val="001F0102"/>
    <w:rsid w:val="001F13A0"/>
    <w:rsid w:val="001F17D8"/>
    <w:rsid w:val="001F1C1A"/>
    <w:rsid w:val="001F2C94"/>
    <w:rsid w:val="001F2E37"/>
    <w:rsid w:val="001F38E0"/>
    <w:rsid w:val="001F3E32"/>
    <w:rsid w:val="001F4DB1"/>
    <w:rsid w:val="001F4E02"/>
    <w:rsid w:val="001F52B2"/>
    <w:rsid w:val="001F54A4"/>
    <w:rsid w:val="001F5B4C"/>
    <w:rsid w:val="001F6F75"/>
    <w:rsid w:val="0020006E"/>
    <w:rsid w:val="00200363"/>
    <w:rsid w:val="002007DF"/>
    <w:rsid w:val="00200B08"/>
    <w:rsid w:val="002013C1"/>
    <w:rsid w:val="00201FA0"/>
    <w:rsid w:val="00202363"/>
    <w:rsid w:val="00203F99"/>
    <w:rsid w:val="00204186"/>
    <w:rsid w:val="002043D9"/>
    <w:rsid w:val="00204483"/>
    <w:rsid w:val="00204D02"/>
    <w:rsid w:val="00205645"/>
    <w:rsid w:val="00205980"/>
    <w:rsid w:val="00205E66"/>
    <w:rsid w:val="002065E6"/>
    <w:rsid w:val="002069B5"/>
    <w:rsid w:val="00206D92"/>
    <w:rsid w:val="00207210"/>
    <w:rsid w:val="00207E82"/>
    <w:rsid w:val="002102EA"/>
    <w:rsid w:val="002104BA"/>
    <w:rsid w:val="002135D1"/>
    <w:rsid w:val="002146A8"/>
    <w:rsid w:val="002147A8"/>
    <w:rsid w:val="00215117"/>
    <w:rsid w:val="002158DE"/>
    <w:rsid w:val="0022056B"/>
    <w:rsid w:val="002214FE"/>
    <w:rsid w:val="0022256F"/>
    <w:rsid w:val="00222771"/>
    <w:rsid w:val="00222C85"/>
    <w:rsid w:val="0022301C"/>
    <w:rsid w:val="002237D8"/>
    <w:rsid w:val="0022425F"/>
    <w:rsid w:val="002246BC"/>
    <w:rsid w:val="00224DAA"/>
    <w:rsid w:val="00225887"/>
    <w:rsid w:val="00225B66"/>
    <w:rsid w:val="00226A2D"/>
    <w:rsid w:val="00226EDE"/>
    <w:rsid w:val="0022787D"/>
    <w:rsid w:val="0023023A"/>
    <w:rsid w:val="002308A6"/>
    <w:rsid w:val="00231D6B"/>
    <w:rsid w:val="00231EE0"/>
    <w:rsid w:val="002324BF"/>
    <w:rsid w:val="00233248"/>
    <w:rsid w:val="002338B6"/>
    <w:rsid w:val="00235C9F"/>
    <w:rsid w:val="00235EA4"/>
    <w:rsid w:val="00236703"/>
    <w:rsid w:val="00237CA6"/>
    <w:rsid w:val="00237F6E"/>
    <w:rsid w:val="00242C0D"/>
    <w:rsid w:val="00242FE6"/>
    <w:rsid w:val="00243CB8"/>
    <w:rsid w:val="00243E3F"/>
    <w:rsid w:val="00243FA4"/>
    <w:rsid w:val="00244453"/>
    <w:rsid w:val="002444B8"/>
    <w:rsid w:val="002446E8"/>
    <w:rsid w:val="00244F96"/>
    <w:rsid w:val="00245643"/>
    <w:rsid w:val="00245E76"/>
    <w:rsid w:val="002462DA"/>
    <w:rsid w:val="00246ACC"/>
    <w:rsid w:val="00246FA7"/>
    <w:rsid w:val="00247F33"/>
    <w:rsid w:val="00247F36"/>
    <w:rsid w:val="00247F99"/>
    <w:rsid w:val="00250A1E"/>
    <w:rsid w:val="00250BAA"/>
    <w:rsid w:val="00252DDC"/>
    <w:rsid w:val="002537C1"/>
    <w:rsid w:val="0025467E"/>
    <w:rsid w:val="00255AD0"/>
    <w:rsid w:val="00257ABA"/>
    <w:rsid w:val="00257DE2"/>
    <w:rsid w:val="00260350"/>
    <w:rsid w:val="00260EAF"/>
    <w:rsid w:val="002616DB"/>
    <w:rsid w:val="00261F87"/>
    <w:rsid w:val="00262203"/>
    <w:rsid w:val="0026220D"/>
    <w:rsid w:val="00262352"/>
    <w:rsid w:val="00263A39"/>
    <w:rsid w:val="00263C3E"/>
    <w:rsid w:val="0026545F"/>
    <w:rsid w:val="002656C8"/>
    <w:rsid w:val="002656E4"/>
    <w:rsid w:val="002659A2"/>
    <w:rsid w:val="00265EBF"/>
    <w:rsid w:val="00266BA6"/>
    <w:rsid w:val="00267B63"/>
    <w:rsid w:val="00270EF3"/>
    <w:rsid w:val="002717AF"/>
    <w:rsid w:val="002720AC"/>
    <w:rsid w:val="00272552"/>
    <w:rsid w:val="00272757"/>
    <w:rsid w:val="00272C9A"/>
    <w:rsid w:val="00272DA1"/>
    <w:rsid w:val="002748C5"/>
    <w:rsid w:val="00274A75"/>
    <w:rsid w:val="00274CD5"/>
    <w:rsid w:val="0027529C"/>
    <w:rsid w:val="00275C33"/>
    <w:rsid w:val="00275E64"/>
    <w:rsid w:val="002778D5"/>
    <w:rsid w:val="00277C25"/>
    <w:rsid w:val="00277D30"/>
    <w:rsid w:val="00277D7C"/>
    <w:rsid w:val="00281241"/>
    <w:rsid w:val="002815D3"/>
    <w:rsid w:val="00283584"/>
    <w:rsid w:val="00283B59"/>
    <w:rsid w:val="00284350"/>
    <w:rsid w:val="002843C0"/>
    <w:rsid w:val="00284CB0"/>
    <w:rsid w:val="00284F7E"/>
    <w:rsid w:val="002853FC"/>
    <w:rsid w:val="00285679"/>
    <w:rsid w:val="00285924"/>
    <w:rsid w:val="00285A15"/>
    <w:rsid w:val="002865D4"/>
    <w:rsid w:val="00286618"/>
    <w:rsid w:val="0028708A"/>
    <w:rsid w:val="00287202"/>
    <w:rsid w:val="002873C9"/>
    <w:rsid w:val="00287F10"/>
    <w:rsid w:val="00287FDA"/>
    <w:rsid w:val="0029037B"/>
    <w:rsid w:val="00290D2A"/>
    <w:rsid w:val="00290EA6"/>
    <w:rsid w:val="00291554"/>
    <w:rsid w:val="00291889"/>
    <w:rsid w:val="002924C5"/>
    <w:rsid w:val="00292720"/>
    <w:rsid w:val="0029316A"/>
    <w:rsid w:val="00293299"/>
    <w:rsid w:val="00293384"/>
    <w:rsid w:val="0029361B"/>
    <w:rsid w:val="0029406B"/>
    <w:rsid w:val="002943F7"/>
    <w:rsid w:val="00294742"/>
    <w:rsid w:val="00294967"/>
    <w:rsid w:val="00294EC6"/>
    <w:rsid w:val="0029699C"/>
    <w:rsid w:val="00296C94"/>
    <w:rsid w:val="0029759E"/>
    <w:rsid w:val="00297E49"/>
    <w:rsid w:val="002A04BF"/>
    <w:rsid w:val="002A15F1"/>
    <w:rsid w:val="002A201E"/>
    <w:rsid w:val="002A2039"/>
    <w:rsid w:val="002A3953"/>
    <w:rsid w:val="002A3EED"/>
    <w:rsid w:val="002A4BD9"/>
    <w:rsid w:val="002A5061"/>
    <w:rsid w:val="002A565C"/>
    <w:rsid w:val="002A6485"/>
    <w:rsid w:val="002A6CB1"/>
    <w:rsid w:val="002A7306"/>
    <w:rsid w:val="002B00AB"/>
    <w:rsid w:val="002B021A"/>
    <w:rsid w:val="002B0BEF"/>
    <w:rsid w:val="002B0E4A"/>
    <w:rsid w:val="002B132C"/>
    <w:rsid w:val="002B196D"/>
    <w:rsid w:val="002B21AB"/>
    <w:rsid w:val="002B425B"/>
    <w:rsid w:val="002B4399"/>
    <w:rsid w:val="002B4665"/>
    <w:rsid w:val="002B4F10"/>
    <w:rsid w:val="002B5771"/>
    <w:rsid w:val="002B58C4"/>
    <w:rsid w:val="002B5F57"/>
    <w:rsid w:val="002B62FC"/>
    <w:rsid w:val="002B6668"/>
    <w:rsid w:val="002B7767"/>
    <w:rsid w:val="002B7F16"/>
    <w:rsid w:val="002B7FDE"/>
    <w:rsid w:val="002C1552"/>
    <w:rsid w:val="002C19E7"/>
    <w:rsid w:val="002C3772"/>
    <w:rsid w:val="002C4064"/>
    <w:rsid w:val="002C44EC"/>
    <w:rsid w:val="002C46E0"/>
    <w:rsid w:val="002C493D"/>
    <w:rsid w:val="002C4ADE"/>
    <w:rsid w:val="002C4E56"/>
    <w:rsid w:val="002C5F00"/>
    <w:rsid w:val="002D0484"/>
    <w:rsid w:val="002D20BA"/>
    <w:rsid w:val="002D20C6"/>
    <w:rsid w:val="002D20C7"/>
    <w:rsid w:val="002D45C5"/>
    <w:rsid w:val="002D4890"/>
    <w:rsid w:val="002D4A51"/>
    <w:rsid w:val="002D52FF"/>
    <w:rsid w:val="002D6D4F"/>
    <w:rsid w:val="002D7E39"/>
    <w:rsid w:val="002E0FC0"/>
    <w:rsid w:val="002E135F"/>
    <w:rsid w:val="002E14A9"/>
    <w:rsid w:val="002E1AAE"/>
    <w:rsid w:val="002E2BA5"/>
    <w:rsid w:val="002E3267"/>
    <w:rsid w:val="002E36EB"/>
    <w:rsid w:val="002E3EA8"/>
    <w:rsid w:val="002E5CC1"/>
    <w:rsid w:val="002E6429"/>
    <w:rsid w:val="002E6709"/>
    <w:rsid w:val="002E7022"/>
    <w:rsid w:val="002E7053"/>
    <w:rsid w:val="002E7E58"/>
    <w:rsid w:val="002E7E91"/>
    <w:rsid w:val="002F05C8"/>
    <w:rsid w:val="002F1CCB"/>
    <w:rsid w:val="002F20DA"/>
    <w:rsid w:val="002F2D11"/>
    <w:rsid w:val="002F4183"/>
    <w:rsid w:val="002F4B39"/>
    <w:rsid w:val="002F5D90"/>
    <w:rsid w:val="002F6225"/>
    <w:rsid w:val="002F62C3"/>
    <w:rsid w:val="002F6C76"/>
    <w:rsid w:val="002F6D46"/>
    <w:rsid w:val="002F763E"/>
    <w:rsid w:val="002F7831"/>
    <w:rsid w:val="002F7E79"/>
    <w:rsid w:val="003027F5"/>
    <w:rsid w:val="00302E5A"/>
    <w:rsid w:val="00302F8A"/>
    <w:rsid w:val="00303679"/>
    <w:rsid w:val="00303A36"/>
    <w:rsid w:val="00303ADD"/>
    <w:rsid w:val="00303E47"/>
    <w:rsid w:val="003045E9"/>
    <w:rsid w:val="003056A7"/>
    <w:rsid w:val="003056B7"/>
    <w:rsid w:val="0030607F"/>
    <w:rsid w:val="003064FC"/>
    <w:rsid w:val="00306DFC"/>
    <w:rsid w:val="00306ED5"/>
    <w:rsid w:val="0030740B"/>
    <w:rsid w:val="0030796C"/>
    <w:rsid w:val="00310EB4"/>
    <w:rsid w:val="00312D68"/>
    <w:rsid w:val="0031377E"/>
    <w:rsid w:val="00313FC9"/>
    <w:rsid w:val="00315C5F"/>
    <w:rsid w:val="00315D1F"/>
    <w:rsid w:val="00315F2E"/>
    <w:rsid w:val="00316C14"/>
    <w:rsid w:val="00316F51"/>
    <w:rsid w:val="00317453"/>
    <w:rsid w:val="00317625"/>
    <w:rsid w:val="003203D0"/>
    <w:rsid w:val="003212A0"/>
    <w:rsid w:val="00321B02"/>
    <w:rsid w:val="003231E8"/>
    <w:rsid w:val="003238B3"/>
    <w:rsid w:val="00324016"/>
    <w:rsid w:val="00324C19"/>
    <w:rsid w:val="00325097"/>
    <w:rsid w:val="00325789"/>
    <w:rsid w:val="00325CD1"/>
    <w:rsid w:val="00327942"/>
    <w:rsid w:val="00327D41"/>
    <w:rsid w:val="00330130"/>
    <w:rsid w:val="003301B0"/>
    <w:rsid w:val="00330610"/>
    <w:rsid w:val="00330D18"/>
    <w:rsid w:val="00330FAE"/>
    <w:rsid w:val="003314B2"/>
    <w:rsid w:val="00331792"/>
    <w:rsid w:val="003334AF"/>
    <w:rsid w:val="003334D4"/>
    <w:rsid w:val="00333558"/>
    <w:rsid w:val="00333A1E"/>
    <w:rsid w:val="00334F4E"/>
    <w:rsid w:val="003355E9"/>
    <w:rsid w:val="00336F45"/>
    <w:rsid w:val="003379F1"/>
    <w:rsid w:val="0034008C"/>
    <w:rsid w:val="00340852"/>
    <w:rsid w:val="00340C45"/>
    <w:rsid w:val="00340D07"/>
    <w:rsid w:val="00341243"/>
    <w:rsid w:val="00343119"/>
    <w:rsid w:val="00344944"/>
    <w:rsid w:val="00344C9C"/>
    <w:rsid w:val="00344D1B"/>
    <w:rsid w:val="003462D1"/>
    <w:rsid w:val="003465FD"/>
    <w:rsid w:val="00346C5D"/>
    <w:rsid w:val="003506BB"/>
    <w:rsid w:val="00350850"/>
    <w:rsid w:val="00351519"/>
    <w:rsid w:val="00352E97"/>
    <w:rsid w:val="003531C7"/>
    <w:rsid w:val="0035336A"/>
    <w:rsid w:val="00353E2F"/>
    <w:rsid w:val="0035424F"/>
    <w:rsid w:val="00355929"/>
    <w:rsid w:val="00355D07"/>
    <w:rsid w:val="00355D83"/>
    <w:rsid w:val="00356B7B"/>
    <w:rsid w:val="00357526"/>
    <w:rsid w:val="003608F6"/>
    <w:rsid w:val="00360C0E"/>
    <w:rsid w:val="003616FC"/>
    <w:rsid w:val="0036294A"/>
    <w:rsid w:val="00362A5F"/>
    <w:rsid w:val="00364152"/>
    <w:rsid w:val="00365A65"/>
    <w:rsid w:val="00365BA0"/>
    <w:rsid w:val="00366D41"/>
    <w:rsid w:val="00367729"/>
    <w:rsid w:val="003705A2"/>
    <w:rsid w:val="00370EC3"/>
    <w:rsid w:val="00371217"/>
    <w:rsid w:val="003713EB"/>
    <w:rsid w:val="00371778"/>
    <w:rsid w:val="00372688"/>
    <w:rsid w:val="00372994"/>
    <w:rsid w:val="00372C3F"/>
    <w:rsid w:val="00372E6F"/>
    <w:rsid w:val="003737D5"/>
    <w:rsid w:val="003741B6"/>
    <w:rsid w:val="0037524D"/>
    <w:rsid w:val="00375474"/>
    <w:rsid w:val="00380479"/>
    <w:rsid w:val="00380559"/>
    <w:rsid w:val="0038081E"/>
    <w:rsid w:val="00381817"/>
    <w:rsid w:val="00382505"/>
    <w:rsid w:val="003828D8"/>
    <w:rsid w:val="00383643"/>
    <w:rsid w:val="00383699"/>
    <w:rsid w:val="00383FCB"/>
    <w:rsid w:val="00385033"/>
    <w:rsid w:val="00385628"/>
    <w:rsid w:val="0038638D"/>
    <w:rsid w:val="00387103"/>
    <w:rsid w:val="00387708"/>
    <w:rsid w:val="0038793F"/>
    <w:rsid w:val="00387B2B"/>
    <w:rsid w:val="003901AC"/>
    <w:rsid w:val="00390240"/>
    <w:rsid w:val="003902FD"/>
    <w:rsid w:val="003909FB"/>
    <w:rsid w:val="00391DA5"/>
    <w:rsid w:val="00392784"/>
    <w:rsid w:val="003942A5"/>
    <w:rsid w:val="0039505A"/>
    <w:rsid w:val="00397DD3"/>
    <w:rsid w:val="003A0980"/>
    <w:rsid w:val="003A0ED9"/>
    <w:rsid w:val="003A16ED"/>
    <w:rsid w:val="003A1ABE"/>
    <w:rsid w:val="003A1EFA"/>
    <w:rsid w:val="003A209E"/>
    <w:rsid w:val="003A2285"/>
    <w:rsid w:val="003A2526"/>
    <w:rsid w:val="003A2799"/>
    <w:rsid w:val="003A2F95"/>
    <w:rsid w:val="003A3C33"/>
    <w:rsid w:val="003A3D6C"/>
    <w:rsid w:val="003A42D5"/>
    <w:rsid w:val="003A4472"/>
    <w:rsid w:val="003A477E"/>
    <w:rsid w:val="003A47FA"/>
    <w:rsid w:val="003A48B2"/>
    <w:rsid w:val="003A4DDF"/>
    <w:rsid w:val="003A51E8"/>
    <w:rsid w:val="003A5C52"/>
    <w:rsid w:val="003A6711"/>
    <w:rsid w:val="003A6983"/>
    <w:rsid w:val="003A698D"/>
    <w:rsid w:val="003B0751"/>
    <w:rsid w:val="003B077D"/>
    <w:rsid w:val="003B0AA2"/>
    <w:rsid w:val="003B0DEE"/>
    <w:rsid w:val="003B1196"/>
    <w:rsid w:val="003B1CAE"/>
    <w:rsid w:val="003B2F5C"/>
    <w:rsid w:val="003B31A4"/>
    <w:rsid w:val="003B3580"/>
    <w:rsid w:val="003B3F0E"/>
    <w:rsid w:val="003B4009"/>
    <w:rsid w:val="003B4418"/>
    <w:rsid w:val="003B61FC"/>
    <w:rsid w:val="003B66D5"/>
    <w:rsid w:val="003B763E"/>
    <w:rsid w:val="003B77B2"/>
    <w:rsid w:val="003C3B07"/>
    <w:rsid w:val="003C4144"/>
    <w:rsid w:val="003C4F50"/>
    <w:rsid w:val="003C596C"/>
    <w:rsid w:val="003C5A40"/>
    <w:rsid w:val="003C5FC2"/>
    <w:rsid w:val="003C6434"/>
    <w:rsid w:val="003C7004"/>
    <w:rsid w:val="003D07CE"/>
    <w:rsid w:val="003D1203"/>
    <w:rsid w:val="003D12C0"/>
    <w:rsid w:val="003D168E"/>
    <w:rsid w:val="003D2549"/>
    <w:rsid w:val="003D288E"/>
    <w:rsid w:val="003D2A31"/>
    <w:rsid w:val="003D33A4"/>
    <w:rsid w:val="003D3836"/>
    <w:rsid w:val="003D3ADB"/>
    <w:rsid w:val="003D3DF4"/>
    <w:rsid w:val="003D455B"/>
    <w:rsid w:val="003D4A70"/>
    <w:rsid w:val="003D4DD0"/>
    <w:rsid w:val="003D7170"/>
    <w:rsid w:val="003E00E5"/>
    <w:rsid w:val="003E1938"/>
    <w:rsid w:val="003E23D7"/>
    <w:rsid w:val="003E278D"/>
    <w:rsid w:val="003E35EE"/>
    <w:rsid w:val="003E3705"/>
    <w:rsid w:val="003E3BE1"/>
    <w:rsid w:val="003E3DF5"/>
    <w:rsid w:val="003E5F88"/>
    <w:rsid w:val="003E623A"/>
    <w:rsid w:val="003F077E"/>
    <w:rsid w:val="003F2060"/>
    <w:rsid w:val="003F32B0"/>
    <w:rsid w:val="003F3827"/>
    <w:rsid w:val="003F4109"/>
    <w:rsid w:val="003F4583"/>
    <w:rsid w:val="003F4918"/>
    <w:rsid w:val="003F4CFA"/>
    <w:rsid w:val="003F50C7"/>
    <w:rsid w:val="003F5AFD"/>
    <w:rsid w:val="003F6850"/>
    <w:rsid w:val="0040064A"/>
    <w:rsid w:val="00400976"/>
    <w:rsid w:val="00400B84"/>
    <w:rsid w:val="00402768"/>
    <w:rsid w:val="00402838"/>
    <w:rsid w:val="00403662"/>
    <w:rsid w:val="00403AE9"/>
    <w:rsid w:val="00404205"/>
    <w:rsid w:val="004047A2"/>
    <w:rsid w:val="00404A79"/>
    <w:rsid w:val="00404D9B"/>
    <w:rsid w:val="00405006"/>
    <w:rsid w:val="00405706"/>
    <w:rsid w:val="0040573F"/>
    <w:rsid w:val="0040574E"/>
    <w:rsid w:val="00405DB7"/>
    <w:rsid w:val="00407559"/>
    <w:rsid w:val="00407D25"/>
    <w:rsid w:val="00410136"/>
    <w:rsid w:val="00410468"/>
    <w:rsid w:val="00410784"/>
    <w:rsid w:val="004108F1"/>
    <w:rsid w:val="00411662"/>
    <w:rsid w:val="004124F0"/>
    <w:rsid w:val="004141F8"/>
    <w:rsid w:val="00414B7C"/>
    <w:rsid w:val="00414E3C"/>
    <w:rsid w:val="00415E04"/>
    <w:rsid w:val="00416843"/>
    <w:rsid w:val="004168F8"/>
    <w:rsid w:val="0042085E"/>
    <w:rsid w:val="00421B3B"/>
    <w:rsid w:val="004221C2"/>
    <w:rsid w:val="00423478"/>
    <w:rsid w:val="00423491"/>
    <w:rsid w:val="004242F0"/>
    <w:rsid w:val="00425A97"/>
    <w:rsid w:val="00425C46"/>
    <w:rsid w:val="00427821"/>
    <w:rsid w:val="00431677"/>
    <w:rsid w:val="00431AA7"/>
    <w:rsid w:val="00431C9D"/>
    <w:rsid w:val="004327E3"/>
    <w:rsid w:val="00432AA3"/>
    <w:rsid w:val="00433873"/>
    <w:rsid w:val="0043400A"/>
    <w:rsid w:val="0043493E"/>
    <w:rsid w:val="004370A3"/>
    <w:rsid w:val="00437B03"/>
    <w:rsid w:val="00440AF1"/>
    <w:rsid w:val="00441179"/>
    <w:rsid w:val="00441AB1"/>
    <w:rsid w:val="00441D70"/>
    <w:rsid w:val="00441E7B"/>
    <w:rsid w:val="004423F0"/>
    <w:rsid w:val="00442637"/>
    <w:rsid w:val="004434C1"/>
    <w:rsid w:val="004436A6"/>
    <w:rsid w:val="00443DA0"/>
    <w:rsid w:val="0044455A"/>
    <w:rsid w:val="004449C7"/>
    <w:rsid w:val="00444B8F"/>
    <w:rsid w:val="00445008"/>
    <w:rsid w:val="00446A1A"/>
    <w:rsid w:val="00446EE9"/>
    <w:rsid w:val="00447EFE"/>
    <w:rsid w:val="00447F07"/>
    <w:rsid w:val="004503C1"/>
    <w:rsid w:val="00450BD8"/>
    <w:rsid w:val="004518F5"/>
    <w:rsid w:val="00451F01"/>
    <w:rsid w:val="0045222F"/>
    <w:rsid w:val="004526A1"/>
    <w:rsid w:val="00452FEB"/>
    <w:rsid w:val="00454264"/>
    <w:rsid w:val="0045485B"/>
    <w:rsid w:val="004549FA"/>
    <w:rsid w:val="00454D7A"/>
    <w:rsid w:val="00455F3A"/>
    <w:rsid w:val="00456232"/>
    <w:rsid w:val="00456398"/>
    <w:rsid w:val="00456996"/>
    <w:rsid w:val="00456C54"/>
    <w:rsid w:val="00457894"/>
    <w:rsid w:val="00457AC5"/>
    <w:rsid w:val="00457E1A"/>
    <w:rsid w:val="00457E38"/>
    <w:rsid w:val="004602F6"/>
    <w:rsid w:val="004610D8"/>
    <w:rsid w:val="004612C2"/>
    <w:rsid w:val="00461BF9"/>
    <w:rsid w:val="00461EAE"/>
    <w:rsid w:val="004621EF"/>
    <w:rsid w:val="004623B6"/>
    <w:rsid w:val="00462A71"/>
    <w:rsid w:val="00463410"/>
    <w:rsid w:val="00463A4E"/>
    <w:rsid w:val="00463F11"/>
    <w:rsid w:val="00463FD7"/>
    <w:rsid w:val="0046403A"/>
    <w:rsid w:val="0046415A"/>
    <w:rsid w:val="004650B7"/>
    <w:rsid w:val="00465A87"/>
    <w:rsid w:val="0046652E"/>
    <w:rsid w:val="004700DF"/>
    <w:rsid w:val="004713E5"/>
    <w:rsid w:val="00471ABF"/>
    <w:rsid w:val="00474283"/>
    <w:rsid w:val="00474398"/>
    <w:rsid w:val="00474E2C"/>
    <w:rsid w:val="004757A6"/>
    <w:rsid w:val="00476080"/>
    <w:rsid w:val="004810D8"/>
    <w:rsid w:val="0048151D"/>
    <w:rsid w:val="0048260E"/>
    <w:rsid w:val="00482EC0"/>
    <w:rsid w:val="00483755"/>
    <w:rsid w:val="00483EA9"/>
    <w:rsid w:val="00483F45"/>
    <w:rsid w:val="00483FE0"/>
    <w:rsid w:val="00484341"/>
    <w:rsid w:val="004853DB"/>
    <w:rsid w:val="0048548D"/>
    <w:rsid w:val="00485BD4"/>
    <w:rsid w:val="0048723A"/>
    <w:rsid w:val="004903BB"/>
    <w:rsid w:val="00490D6B"/>
    <w:rsid w:val="00490DC1"/>
    <w:rsid w:val="00492216"/>
    <w:rsid w:val="00492B9B"/>
    <w:rsid w:val="0049329B"/>
    <w:rsid w:val="0049339D"/>
    <w:rsid w:val="00493650"/>
    <w:rsid w:val="00493ED9"/>
    <w:rsid w:val="004945BC"/>
    <w:rsid w:val="0049543A"/>
    <w:rsid w:val="004955EB"/>
    <w:rsid w:val="004966FE"/>
    <w:rsid w:val="004968E4"/>
    <w:rsid w:val="00496B38"/>
    <w:rsid w:val="00497001"/>
    <w:rsid w:val="0049761A"/>
    <w:rsid w:val="00497EF2"/>
    <w:rsid w:val="004A0415"/>
    <w:rsid w:val="004A3467"/>
    <w:rsid w:val="004A3B23"/>
    <w:rsid w:val="004A46C5"/>
    <w:rsid w:val="004A47F2"/>
    <w:rsid w:val="004A4EA4"/>
    <w:rsid w:val="004A4F8A"/>
    <w:rsid w:val="004A511C"/>
    <w:rsid w:val="004A56BB"/>
    <w:rsid w:val="004A57B1"/>
    <w:rsid w:val="004A5AEB"/>
    <w:rsid w:val="004A66FF"/>
    <w:rsid w:val="004A6ABB"/>
    <w:rsid w:val="004B0CB1"/>
    <w:rsid w:val="004B1AC3"/>
    <w:rsid w:val="004B23EA"/>
    <w:rsid w:val="004B4A29"/>
    <w:rsid w:val="004B55D7"/>
    <w:rsid w:val="004B5F5D"/>
    <w:rsid w:val="004B627A"/>
    <w:rsid w:val="004B63FC"/>
    <w:rsid w:val="004B7021"/>
    <w:rsid w:val="004B7CFA"/>
    <w:rsid w:val="004B7D2C"/>
    <w:rsid w:val="004B7D89"/>
    <w:rsid w:val="004C0702"/>
    <w:rsid w:val="004C1F13"/>
    <w:rsid w:val="004C2B4D"/>
    <w:rsid w:val="004C342D"/>
    <w:rsid w:val="004C39ED"/>
    <w:rsid w:val="004C4F60"/>
    <w:rsid w:val="004C53E9"/>
    <w:rsid w:val="004C5620"/>
    <w:rsid w:val="004C5775"/>
    <w:rsid w:val="004C61FD"/>
    <w:rsid w:val="004C633D"/>
    <w:rsid w:val="004C6C5E"/>
    <w:rsid w:val="004C7967"/>
    <w:rsid w:val="004D0172"/>
    <w:rsid w:val="004D1267"/>
    <w:rsid w:val="004D19F2"/>
    <w:rsid w:val="004D35CA"/>
    <w:rsid w:val="004D43A3"/>
    <w:rsid w:val="004D4C66"/>
    <w:rsid w:val="004D6A92"/>
    <w:rsid w:val="004D74B0"/>
    <w:rsid w:val="004D75FB"/>
    <w:rsid w:val="004D76D2"/>
    <w:rsid w:val="004E01C0"/>
    <w:rsid w:val="004E1254"/>
    <w:rsid w:val="004E2FAD"/>
    <w:rsid w:val="004E3DBA"/>
    <w:rsid w:val="004E4676"/>
    <w:rsid w:val="004E4DF1"/>
    <w:rsid w:val="004E56FD"/>
    <w:rsid w:val="004E6824"/>
    <w:rsid w:val="004E6AC5"/>
    <w:rsid w:val="004E6AE0"/>
    <w:rsid w:val="004E6BA6"/>
    <w:rsid w:val="004E75DD"/>
    <w:rsid w:val="004E7A72"/>
    <w:rsid w:val="004F282F"/>
    <w:rsid w:val="004F3568"/>
    <w:rsid w:val="004F3989"/>
    <w:rsid w:val="004F43AD"/>
    <w:rsid w:val="004F460B"/>
    <w:rsid w:val="004F471F"/>
    <w:rsid w:val="004F4DF9"/>
    <w:rsid w:val="004F50E7"/>
    <w:rsid w:val="004F5312"/>
    <w:rsid w:val="004F6061"/>
    <w:rsid w:val="004F627F"/>
    <w:rsid w:val="004F73D1"/>
    <w:rsid w:val="004F7519"/>
    <w:rsid w:val="004F7CF9"/>
    <w:rsid w:val="004F7E22"/>
    <w:rsid w:val="005002C9"/>
    <w:rsid w:val="00500452"/>
    <w:rsid w:val="00502E84"/>
    <w:rsid w:val="00505158"/>
    <w:rsid w:val="00505541"/>
    <w:rsid w:val="0050560C"/>
    <w:rsid w:val="005060D7"/>
    <w:rsid w:val="00506319"/>
    <w:rsid w:val="00506C8E"/>
    <w:rsid w:val="00507E8E"/>
    <w:rsid w:val="00510415"/>
    <w:rsid w:val="00510AE8"/>
    <w:rsid w:val="00511575"/>
    <w:rsid w:val="00511E0E"/>
    <w:rsid w:val="005138DF"/>
    <w:rsid w:val="0051529C"/>
    <w:rsid w:val="00515568"/>
    <w:rsid w:val="00515644"/>
    <w:rsid w:val="00515927"/>
    <w:rsid w:val="00515EAD"/>
    <w:rsid w:val="00516224"/>
    <w:rsid w:val="0051672D"/>
    <w:rsid w:val="00516919"/>
    <w:rsid w:val="00516BA0"/>
    <w:rsid w:val="005173A5"/>
    <w:rsid w:val="005174FB"/>
    <w:rsid w:val="0051774A"/>
    <w:rsid w:val="00517BF3"/>
    <w:rsid w:val="00520981"/>
    <w:rsid w:val="00521CF0"/>
    <w:rsid w:val="0052241E"/>
    <w:rsid w:val="0052298B"/>
    <w:rsid w:val="00522F00"/>
    <w:rsid w:val="0052395D"/>
    <w:rsid w:val="00523C0D"/>
    <w:rsid w:val="00523C5B"/>
    <w:rsid w:val="00524239"/>
    <w:rsid w:val="0052424A"/>
    <w:rsid w:val="00524406"/>
    <w:rsid w:val="00526C2C"/>
    <w:rsid w:val="005275C8"/>
    <w:rsid w:val="00527E4D"/>
    <w:rsid w:val="00527E9B"/>
    <w:rsid w:val="00530120"/>
    <w:rsid w:val="0053102A"/>
    <w:rsid w:val="00531C2F"/>
    <w:rsid w:val="005327BC"/>
    <w:rsid w:val="005336A7"/>
    <w:rsid w:val="00533E46"/>
    <w:rsid w:val="005346B3"/>
    <w:rsid w:val="005365D8"/>
    <w:rsid w:val="005370C5"/>
    <w:rsid w:val="0053787F"/>
    <w:rsid w:val="005405E9"/>
    <w:rsid w:val="005409F1"/>
    <w:rsid w:val="005412B3"/>
    <w:rsid w:val="005412E8"/>
    <w:rsid w:val="00541A5B"/>
    <w:rsid w:val="00541C55"/>
    <w:rsid w:val="005425C0"/>
    <w:rsid w:val="00542749"/>
    <w:rsid w:val="00543CB4"/>
    <w:rsid w:val="00543E64"/>
    <w:rsid w:val="00543F24"/>
    <w:rsid w:val="00545EC2"/>
    <w:rsid w:val="005463C9"/>
    <w:rsid w:val="005470CB"/>
    <w:rsid w:val="0054798C"/>
    <w:rsid w:val="00547FB7"/>
    <w:rsid w:val="00550221"/>
    <w:rsid w:val="00550B77"/>
    <w:rsid w:val="005512A4"/>
    <w:rsid w:val="00552715"/>
    <w:rsid w:val="00552FB5"/>
    <w:rsid w:val="0055457B"/>
    <w:rsid w:val="005548E2"/>
    <w:rsid w:val="0055595F"/>
    <w:rsid w:val="00556603"/>
    <w:rsid w:val="00556AB2"/>
    <w:rsid w:val="005579B5"/>
    <w:rsid w:val="0056054E"/>
    <w:rsid w:val="00560B29"/>
    <w:rsid w:val="00561215"/>
    <w:rsid w:val="005612A7"/>
    <w:rsid w:val="00561A79"/>
    <w:rsid w:val="005621A3"/>
    <w:rsid w:val="0056323E"/>
    <w:rsid w:val="00563EB2"/>
    <w:rsid w:val="0056716C"/>
    <w:rsid w:val="005675FE"/>
    <w:rsid w:val="0057011A"/>
    <w:rsid w:val="00570AF7"/>
    <w:rsid w:val="00571053"/>
    <w:rsid w:val="00571464"/>
    <w:rsid w:val="00571520"/>
    <w:rsid w:val="005726C1"/>
    <w:rsid w:val="00573180"/>
    <w:rsid w:val="00574611"/>
    <w:rsid w:val="005752AD"/>
    <w:rsid w:val="00576F6D"/>
    <w:rsid w:val="00577827"/>
    <w:rsid w:val="00577E76"/>
    <w:rsid w:val="00580F76"/>
    <w:rsid w:val="0058142A"/>
    <w:rsid w:val="00581663"/>
    <w:rsid w:val="005820AC"/>
    <w:rsid w:val="00582383"/>
    <w:rsid w:val="0058253F"/>
    <w:rsid w:val="005826E6"/>
    <w:rsid w:val="00582979"/>
    <w:rsid w:val="005834DC"/>
    <w:rsid w:val="00583D7E"/>
    <w:rsid w:val="0058409B"/>
    <w:rsid w:val="00584CB5"/>
    <w:rsid w:val="00585380"/>
    <w:rsid w:val="00585953"/>
    <w:rsid w:val="00586E66"/>
    <w:rsid w:val="005871BD"/>
    <w:rsid w:val="00587C84"/>
    <w:rsid w:val="0059050C"/>
    <w:rsid w:val="00590B7A"/>
    <w:rsid w:val="00590F6B"/>
    <w:rsid w:val="0059114B"/>
    <w:rsid w:val="00591BA8"/>
    <w:rsid w:val="00591CE4"/>
    <w:rsid w:val="00591EB8"/>
    <w:rsid w:val="00591FAD"/>
    <w:rsid w:val="00593AB4"/>
    <w:rsid w:val="00593DCC"/>
    <w:rsid w:val="0059447D"/>
    <w:rsid w:val="0059579B"/>
    <w:rsid w:val="00595CB5"/>
    <w:rsid w:val="005961FF"/>
    <w:rsid w:val="005966D7"/>
    <w:rsid w:val="00597879"/>
    <w:rsid w:val="00597A6A"/>
    <w:rsid w:val="005A09E9"/>
    <w:rsid w:val="005A1DA6"/>
    <w:rsid w:val="005A21F7"/>
    <w:rsid w:val="005A30F7"/>
    <w:rsid w:val="005A314D"/>
    <w:rsid w:val="005A46A0"/>
    <w:rsid w:val="005A595C"/>
    <w:rsid w:val="005A63F0"/>
    <w:rsid w:val="005A6860"/>
    <w:rsid w:val="005A72E2"/>
    <w:rsid w:val="005B04EC"/>
    <w:rsid w:val="005B2AEB"/>
    <w:rsid w:val="005B3C71"/>
    <w:rsid w:val="005B42C5"/>
    <w:rsid w:val="005B4B7C"/>
    <w:rsid w:val="005B4F82"/>
    <w:rsid w:val="005B581E"/>
    <w:rsid w:val="005B62D3"/>
    <w:rsid w:val="005B6333"/>
    <w:rsid w:val="005B7455"/>
    <w:rsid w:val="005B752B"/>
    <w:rsid w:val="005B781A"/>
    <w:rsid w:val="005C0452"/>
    <w:rsid w:val="005C07C0"/>
    <w:rsid w:val="005C0F1C"/>
    <w:rsid w:val="005C1637"/>
    <w:rsid w:val="005C1C25"/>
    <w:rsid w:val="005C2D4D"/>
    <w:rsid w:val="005C3979"/>
    <w:rsid w:val="005C3CC6"/>
    <w:rsid w:val="005C4348"/>
    <w:rsid w:val="005C4B3A"/>
    <w:rsid w:val="005C62F4"/>
    <w:rsid w:val="005C74DF"/>
    <w:rsid w:val="005D0903"/>
    <w:rsid w:val="005D0C35"/>
    <w:rsid w:val="005D0ECF"/>
    <w:rsid w:val="005D2B48"/>
    <w:rsid w:val="005D36A7"/>
    <w:rsid w:val="005D3B43"/>
    <w:rsid w:val="005D4912"/>
    <w:rsid w:val="005D6465"/>
    <w:rsid w:val="005D6C6F"/>
    <w:rsid w:val="005D72D8"/>
    <w:rsid w:val="005D7530"/>
    <w:rsid w:val="005E09F2"/>
    <w:rsid w:val="005E188D"/>
    <w:rsid w:val="005E1917"/>
    <w:rsid w:val="005E2040"/>
    <w:rsid w:val="005E2770"/>
    <w:rsid w:val="005E2D75"/>
    <w:rsid w:val="005E2F95"/>
    <w:rsid w:val="005E35A3"/>
    <w:rsid w:val="005E45C5"/>
    <w:rsid w:val="005E4BBA"/>
    <w:rsid w:val="005E5D4B"/>
    <w:rsid w:val="005E60C6"/>
    <w:rsid w:val="005E73DC"/>
    <w:rsid w:val="005E74B3"/>
    <w:rsid w:val="005E7665"/>
    <w:rsid w:val="005F0479"/>
    <w:rsid w:val="005F1747"/>
    <w:rsid w:val="005F1DBF"/>
    <w:rsid w:val="005F22DB"/>
    <w:rsid w:val="005F33A0"/>
    <w:rsid w:val="005F3D7D"/>
    <w:rsid w:val="005F43D3"/>
    <w:rsid w:val="005F4A96"/>
    <w:rsid w:val="005F4F41"/>
    <w:rsid w:val="005F5E9B"/>
    <w:rsid w:val="005F5EDE"/>
    <w:rsid w:val="005F66DB"/>
    <w:rsid w:val="005F69AE"/>
    <w:rsid w:val="005F70A1"/>
    <w:rsid w:val="005F71BB"/>
    <w:rsid w:val="005F782B"/>
    <w:rsid w:val="005F79E1"/>
    <w:rsid w:val="00600D2E"/>
    <w:rsid w:val="00601C43"/>
    <w:rsid w:val="00602377"/>
    <w:rsid w:val="00602655"/>
    <w:rsid w:val="00602C7D"/>
    <w:rsid w:val="00602F27"/>
    <w:rsid w:val="00602FA6"/>
    <w:rsid w:val="0060393D"/>
    <w:rsid w:val="00603C5A"/>
    <w:rsid w:val="00603C71"/>
    <w:rsid w:val="00604234"/>
    <w:rsid w:val="00604237"/>
    <w:rsid w:val="0060629B"/>
    <w:rsid w:val="00607D22"/>
    <w:rsid w:val="00607E90"/>
    <w:rsid w:val="00611DD6"/>
    <w:rsid w:val="0061343E"/>
    <w:rsid w:val="00614A96"/>
    <w:rsid w:val="00614B63"/>
    <w:rsid w:val="00615489"/>
    <w:rsid w:val="0061594B"/>
    <w:rsid w:val="00617282"/>
    <w:rsid w:val="00617565"/>
    <w:rsid w:val="00617624"/>
    <w:rsid w:val="0061787A"/>
    <w:rsid w:val="00617EFC"/>
    <w:rsid w:val="00617F5F"/>
    <w:rsid w:val="006207AE"/>
    <w:rsid w:val="00621441"/>
    <w:rsid w:val="00621A6E"/>
    <w:rsid w:val="00621B69"/>
    <w:rsid w:val="006224B0"/>
    <w:rsid w:val="00622521"/>
    <w:rsid w:val="00623153"/>
    <w:rsid w:val="0062352A"/>
    <w:rsid w:val="00624548"/>
    <w:rsid w:val="0062468D"/>
    <w:rsid w:val="0062511B"/>
    <w:rsid w:val="00625A54"/>
    <w:rsid w:val="00626338"/>
    <w:rsid w:val="006265E7"/>
    <w:rsid w:val="00626E68"/>
    <w:rsid w:val="00626ED9"/>
    <w:rsid w:val="00630010"/>
    <w:rsid w:val="0063044E"/>
    <w:rsid w:val="0063052A"/>
    <w:rsid w:val="00631CC5"/>
    <w:rsid w:val="00632059"/>
    <w:rsid w:val="006320C2"/>
    <w:rsid w:val="00632392"/>
    <w:rsid w:val="00632D9F"/>
    <w:rsid w:val="0063321B"/>
    <w:rsid w:val="006334EE"/>
    <w:rsid w:val="0063403C"/>
    <w:rsid w:val="006340BE"/>
    <w:rsid w:val="0063479A"/>
    <w:rsid w:val="00635402"/>
    <w:rsid w:val="00635859"/>
    <w:rsid w:val="006360C5"/>
    <w:rsid w:val="00636C70"/>
    <w:rsid w:val="00637207"/>
    <w:rsid w:val="00640062"/>
    <w:rsid w:val="006408B2"/>
    <w:rsid w:val="0064197B"/>
    <w:rsid w:val="006423F0"/>
    <w:rsid w:val="00643208"/>
    <w:rsid w:val="0064339F"/>
    <w:rsid w:val="006444E2"/>
    <w:rsid w:val="0064508B"/>
    <w:rsid w:val="006456CA"/>
    <w:rsid w:val="0064760F"/>
    <w:rsid w:val="006478E6"/>
    <w:rsid w:val="006523BF"/>
    <w:rsid w:val="00653321"/>
    <w:rsid w:val="006542B1"/>
    <w:rsid w:val="00654528"/>
    <w:rsid w:val="006550FB"/>
    <w:rsid w:val="0065555B"/>
    <w:rsid w:val="006556D2"/>
    <w:rsid w:val="0065755F"/>
    <w:rsid w:val="0065785B"/>
    <w:rsid w:val="006613A8"/>
    <w:rsid w:val="00661A2E"/>
    <w:rsid w:val="00661C2F"/>
    <w:rsid w:val="006624C5"/>
    <w:rsid w:val="006625E4"/>
    <w:rsid w:val="00662BFE"/>
    <w:rsid w:val="00662DA8"/>
    <w:rsid w:val="00662DF9"/>
    <w:rsid w:val="00662E4B"/>
    <w:rsid w:val="00663BFA"/>
    <w:rsid w:val="00664AA4"/>
    <w:rsid w:val="00664BCD"/>
    <w:rsid w:val="00664C9A"/>
    <w:rsid w:val="00664DBF"/>
    <w:rsid w:val="00665016"/>
    <w:rsid w:val="0066523B"/>
    <w:rsid w:val="0066550C"/>
    <w:rsid w:val="00665B6A"/>
    <w:rsid w:val="00665E89"/>
    <w:rsid w:val="00666254"/>
    <w:rsid w:val="0066646B"/>
    <w:rsid w:val="00666862"/>
    <w:rsid w:val="006701B1"/>
    <w:rsid w:val="00670679"/>
    <w:rsid w:val="00670967"/>
    <w:rsid w:val="006709EF"/>
    <w:rsid w:val="00670E7F"/>
    <w:rsid w:val="00672A9A"/>
    <w:rsid w:val="006733C2"/>
    <w:rsid w:val="00673469"/>
    <w:rsid w:val="00673E9C"/>
    <w:rsid w:val="00673F7F"/>
    <w:rsid w:val="0067474D"/>
    <w:rsid w:val="00674D2B"/>
    <w:rsid w:val="0067515E"/>
    <w:rsid w:val="00675A53"/>
    <w:rsid w:val="00675F67"/>
    <w:rsid w:val="00676316"/>
    <w:rsid w:val="006765D8"/>
    <w:rsid w:val="00676C33"/>
    <w:rsid w:val="00676E51"/>
    <w:rsid w:val="006772F8"/>
    <w:rsid w:val="00677E88"/>
    <w:rsid w:val="0068052A"/>
    <w:rsid w:val="00680D95"/>
    <w:rsid w:val="006815DD"/>
    <w:rsid w:val="00682A7A"/>
    <w:rsid w:val="006831BD"/>
    <w:rsid w:val="00684B14"/>
    <w:rsid w:val="00684C77"/>
    <w:rsid w:val="00684E74"/>
    <w:rsid w:val="00685774"/>
    <w:rsid w:val="00685DD9"/>
    <w:rsid w:val="00686F07"/>
    <w:rsid w:val="00690CFB"/>
    <w:rsid w:val="0069105D"/>
    <w:rsid w:val="00691A6E"/>
    <w:rsid w:val="00693A3B"/>
    <w:rsid w:val="00694711"/>
    <w:rsid w:val="00695201"/>
    <w:rsid w:val="00695760"/>
    <w:rsid w:val="00695789"/>
    <w:rsid w:val="00696B42"/>
    <w:rsid w:val="00697933"/>
    <w:rsid w:val="00697B02"/>
    <w:rsid w:val="006A2394"/>
    <w:rsid w:val="006A3589"/>
    <w:rsid w:val="006A5F4C"/>
    <w:rsid w:val="006A62B5"/>
    <w:rsid w:val="006A6939"/>
    <w:rsid w:val="006A6A72"/>
    <w:rsid w:val="006A7507"/>
    <w:rsid w:val="006A7511"/>
    <w:rsid w:val="006A7B43"/>
    <w:rsid w:val="006B00AA"/>
    <w:rsid w:val="006B040B"/>
    <w:rsid w:val="006B04CF"/>
    <w:rsid w:val="006B0F4E"/>
    <w:rsid w:val="006B17E8"/>
    <w:rsid w:val="006B2786"/>
    <w:rsid w:val="006B32F2"/>
    <w:rsid w:val="006B358F"/>
    <w:rsid w:val="006B37DC"/>
    <w:rsid w:val="006B3DE6"/>
    <w:rsid w:val="006B4228"/>
    <w:rsid w:val="006B47F8"/>
    <w:rsid w:val="006B5180"/>
    <w:rsid w:val="006B7086"/>
    <w:rsid w:val="006B7438"/>
    <w:rsid w:val="006B7AE5"/>
    <w:rsid w:val="006B7DB4"/>
    <w:rsid w:val="006C1073"/>
    <w:rsid w:val="006C123F"/>
    <w:rsid w:val="006C1E39"/>
    <w:rsid w:val="006C2058"/>
    <w:rsid w:val="006C2AAF"/>
    <w:rsid w:val="006C3277"/>
    <w:rsid w:val="006C3C00"/>
    <w:rsid w:val="006C3D5E"/>
    <w:rsid w:val="006C3E19"/>
    <w:rsid w:val="006C4219"/>
    <w:rsid w:val="006C4BAD"/>
    <w:rsid w:val="006C52FA"/>
    <w:rsid w:val="006C5347"/>
    <w:rsid w:val="006C5671"/>
    <w:rsid w:val="006C5A64"/>
    <w:rsid w:val="006C7FE9"/>
    <w:rsid w:val="006D06CC"/>
    <w:rsid w:val="006D09BC"/>
    <w:rsid w:val="006D109E"/>
    <w:rsid w:val="006D10A1"/>
    <w:rsid w:val="006D165C"/>
    <w:rsid w:val="006D1C43"/>
    <w:rsid w:val="006D1D13"/>
    <w:rsid w:val="006D1F45"/>
    <w:rsid w:val="006D2050"/>
    <w:rsid w:val="006D224C"/>
    <w:rsid w:val="006D2894"/>
    <w:rsid w:val="006D2AB1"/>
    <w:rsid w:val="006D30D1"/>
    <w:rsid w:val="006D3A29"/>
    <w:rsid w:val="006D4E3B"/>
    <w:rsid w:val="006D5097"/>
    <w:rsid w:val="006D5140"/>
    <w:rsid w:val="006D5225"/>
    <w:rsid w:val="006D6871"/>
    <w:rsid w:val="006D769A"/>
    <w:rsid w:val="006D76C9"/>
    <w:rsid w:val="006D77E1"/>
    <w:rsid w:val="006D7D50"/>
    <w:rsid w:val="006D7DCA"/>
    <w:rsid w:val="006E1663"/>
    <w:rsid w:val="006E16A5"/>
    <w:rsid w:val="006E2715"/>
    <w:rsid w:val="006E4166"/>
    <w:rsid w:val="006E539A"/>
    <w:rsid w:val="006E6C99"/>
    <w:rsid w:val="006E741D"/>
    <w:rsid w:val="006E77FA"/>
    <w:rsid w:val="006F2D62"/>
    <w:rsid w:val="006F389C"/>
    <w:rsid w:val="006F4776"/>
    <w:rsid w:val="006F4955"/>
    <w:rsid w:val="006F4DE1"/>
    <w:rsid w:val="006F592B"/>
    <w:rsid w:val="006F5FF6"/>
    <w:rsid w:val="006F665F"/>
    <w:rsid w:val="006F69FB"/>
    <w:rsid w:val="006F7386"/>
    <w:rsid w:val="006F76BA"/>
    <w:rsid w:val="00701CCF"/>
    <w:rsid w:val="00702B57"/>
    <w:rsid w:val="00702F49"/>
    <w:rsid w:val="00705169"/>
    <w:rsid w:val="00705410"/>
    <w:rsid w:val="00705600"/>
    <w:rsid w:val="00705994"/>
    <w:rsid w:val="00705ACE"/>
    <w:rsid w:val="00705C09"/>
    <w:rsid w:val="00707AD6"/>
    <w:rsid w:val="00710223"/>
    <w:rsid w:val="00712A6B"/>
    <w:rsid w:val="00713137"/>
    <w:rsid w:val="00714091"/>
    <w:rsid w:val="0071420B"/>
    <w:rsid w:val="0071520E"/>
    <w:rsid w:val="00715873"/>
    <w:rsid w:val="00715EB3"/>
    <w:rsid w:val="00715F05"/>
    <w:rsid w:val="0071697B"/>
    <w:rsid w:val="00716D70"/>
    <w:rsid w:val="00717573"/>
    <w:rsid w:val="00717C3F"/>
    <w:rsid w:val="007204D7"/>
    <w:rsid w:val="007211B0"/>
    <w:rsid w:val="00722841"/>
    <w:rsid w:val="00722BFE"/>
    <w:rsid w:val="0072307D"/>
    <w:rsid w:val="007235B8"/>
    <w:rsid w:val="00723E76"/>
    <w:rsid w:val="00725456"/>
    <w:rsid w:val="00725AD7"/>
    <w:rsid w:val="00726031"/>
    <w:rsid w:val="00727658"/>
    <w:rsid w:val="007312DB"/>
    <w:rsid w:val="00732251"/>
    <w:rsid w:val="0073254B"/>
    <w:rsid w:val="00732EDA"/>
    <w:rsid w:val="00733EA3"/>
    <w:rsid w:val="00734A2C"/>
    <w:rsid w:val="00734C8B"/>
    <w:rsid w:val="00736238"/>
    <w:rsid w:val="007368B0"/>
    <w:rsid w:val="00736A43"/>
    <w:rsid w:val="0073780E"/>
    <w:rsid w:val="00740555"/>
    <w:rsid w:val="0074198C"/>
    <w:rsid w:val="00741A53"/>
    <w:rsid w:val="00741DE1"/>
    <w:rsid w:val="00741F94"/>
    <w:rsid w:val="00742872"/>
    <w:rsid w:val="00742BAB"/>
    <w:rsid w:val="007434B7"/>
    <w:rsid w:val="00743F54"/>
    <w:rsid w:val="0074426C"/>
    <w:rsid w:val="00744E2D"/>
    <w:rsid w:val="00745317"/>
    <w:rsid w:val="00745BD4"/>
    <w:rsid w:val="00746B80"/>
    <w:rsid w:val="00746E19"/>
    <w:rsid w:val="0074757B"/>
    <w:rsid w:val="007475C2"/>
    <w:rsid w:val="007478B8"/>
    <w:rsid w:val="00747924"/>
    <w:rsid w:val="00747A35"/>
    <w:rsid w:val="0075022E"/>
    <w:rsid w:val="00750273"/>
    <w:rsid w:val="0075214A"/>
    <w:rsid w:val="0075308E"/>
    <w:rsid w:val="0075325C"/>
    <w:rsid w:val="00753512"/>
    <w:rsid w:val="00753AD3"/>
    <w:rsid w:val="00753C72"/>
    <w:rsid w:val="007549FF"/>
    <w:rsid w:val="00754E0C"/>
    <w:rsid w:val="00756E4F"/>
    <w:rsid w:val="00757360"/>
    <w:rsid w:val="007573F1"/>
    <w:rsid w:val="0075770F"/>
    <w:rsid w:val="007602C7"/>
    <w:rsid w:val="00761B92"/>
    <w:rsid w:val="00763298"/>
    <w:rsid w:val="00763959"/>
    <w:rsid w:val="00763BD5"/>
    <w:rsid w:val="007640C3"/>
    <w:rsid w:val="00764A88"/>
    <w:rsid w:val="0076511C"/>
    <w:rsid w:val="007660E8"/>
    <w:rsid w:val="00766647"/>
    <w:rsid w:val="0077149C"/>
    <w:rsid w:val="007720BA"/>
    <w:rsid w:val="0077289E"/>
    <w:rsid w:val="00772A84"/>
    <w:rsid w:val="00772DD7"/>
    <w:rsid w:val="007735D4"/>
    <w:rsid w:val="00774247"/>
    <w:rsid w:val="00774787"/>
    <w:rsid w:val="007756EB"/>
    <w:rsid w:val="007765C2"/>
    <w:rsid w:val="007778C8"/>
    <w:rsid w:val="00781187"/>
    <w:rsid w:val="007819B7"/>
    <w:rsid w:val="00781E2E"/>
    <w:rsid w:val="0078200B"/>
    <w:rsid w:val="00782D8A"/>
    <w:rsid w:val="00783344"/>
    <w:rsid w:val="00783872"/>
    <w:rsid w:val="00784EC2"/>
    <w:rsid w:val="00785235"/>
    <w:rsid w:val="0078588D"/>
    <w:rsid w:val="007865B6"/>
    <w:rsid w:val="007906E0"/>
    <w:rsid w:val="0079095B"/>
    <w:rsid w:val="00790A1D"/>
    <w:rsid w:val="007911E4"/>
    <w:rsid w:val="00792BC9"/>
    <w:rsid w:val="007933EB"/>
    <w:rsid w:val="00794973"/>
    <w:rsid w:val="00794AB5"/>
    <w:rsid w:val="00795A3D"/>
    <w:rsid w:val="00795DEC"/>
    <w:rsid w:val="007969AF"/>
    <w:rsid w:val="0079753B"/>
    <w:rsid w:val="00797595"/>
    <w:rsid w:val="00797F32"/>
    <w:rsid w:val="007A006F"/>
    <w:rsid w:val="007A07CA"/>
    <w:rsid w:val="007A08E0"/>
    <w:rsid w:val="007A1345"/>
    <w:rsid w:val="007A2029"/>
    <w:rsid w:val="007A2707"/>
    <w:rsid w:val="007A2D72"/>
    <w:rsid w:val="007A3A5C"/>
    <w:rsid w:val="007A3A9B"/>
    <w:rsid w:val="007A5189"/>
    <w:rsid w:val="007A6346"/>
    <w:rsid w:val="007A6E5D"/>
    <w:rsid w:val="007B018F"/>
    <w:rsid w:val="007B11B3"/>
    <w:rsid w:val="007B1C85"/>
    <w:rsid w:val="007B24EC"/>
    <w:rsid w:val="007B2A28"/>
    <w:rsid w:val="007B2BA5"/>
    <w:rsid w:val="007B31AA"/>
    <w:rsid w:val="007B3683"/>
    <w:rsid w:val="007B3973"/>
    <w:rsid w:val="007B3EB4"/>
    <w:rsid w:val="007B600A"/>
    <w:rsid w:val="007B681B"/>
    <w:rsid w:val="007B6906"/>
    <w:rsid w:val="007B7788"/>
    <w:rsid w:val="007C04C6"/>
    <w:rsid w:val="007C1340"/>
    <w:rsid w:val="007C1855"/>
    <w:rsid w:val="007C1ACB"/>
    <w:rsid w:val="007C2043"/>
    <w:rsid w:val="007C2898"/>
    <w:rsid w:val="007C30E9"/>
    <w:rsid w:val="007C33D5"/>
    <w:rsid w:val="007C4AAF"/>
    <w:rsid w:val="007C4CD0"/>
    <w:rsid w:val="007C5EB4"/>
    <w:rsid w:val="007C5FA7"/>
    <w:rsid w:val="007C6103"/>
    <w:rsid w:val="007C6682"/>
    <w:rsid w:val="007C6944"/>
    <w:rsid w:val="007C6C4B"/>
    <w:rsid w:val="007C6D76"/>
    <w:rsid w:val="007D084F"/>
    <w:rsid w:val="007D08EB"/>
    <w:rsid w:val="007D0EB5"/>
    <w:rsid w:val="007D1444"/>
    <w:rsid w:val="007D193F"/>
    <w:rsid w:val="007D1D52"/>
    <w:rsid w:val="007D2232"/>
    <w:rsid w:val="007D2A00"/>
    <w:rsid w:val="007D30F3"/>
    <w:rsid w:val="007D3444"/>
    <w:rsid w:val="007D3AE6"/>
    <w:rsid w:val="007D4C7E"/>
    <w:rsid w:val="007D4CAB"/>
    <w:rsid w:val="007D610D"/>
    <w:rsid w:val="007D6D98"/>
    <w:rsid w:val="007D70F4"/>
    <w:rsid w:val="007D7567"/>
    <w:rsid w:val="007D75AB"/>
    <w:rsid w:val="007D7633"/>
    <w:rsid w:val="007D7BFE"/>
    <w:rsid w:val="007D7FA8"/>
    <w:rsid w:val="007E0223"/>
    <w:rsid w:val="007E0C85"/>
    <w:rsid w:val="007E0E85"/>
    <w:rsid w:val="007E1498"/>
    <w:rsid w:val="007E1BDD"/>
    <w:rsid w:val="007E2A7F"/>
    <w:rsid w:val="007E2D87"/>
    <w:rsid w:val="007E3A2B"/>
    <w:rsid w:val="007E4D5D"/>
    <w:rsid w:val="007E512B"/>
    <w:rsid w:val="007E61F3"/>
    <w:rsid w:val="007E6B68"/>
    <w:rsid w:val="007E7E0A"/>
    <w:rsid w:val="007F0372"/>
    <w:rsid w:val="007F0B10"/>
    <w:rsid w:val="007F2778"/>
    <w:rsid w:val="007F2814"/>
    <w:rsid w:val="007F377D"/>
    <w:rsid w:val="007F3F83"/>
    <w:rsid w:val="007F4C71"/>
    <w:rsid w:val="007F4E1B"/>
    <w:rsid w:val="007F54D0"/>
    <w:rsid w:val="007F5854"/>
    <w:rsid w:val="007F5C1B"/>
    <w:rsid w:val="007F5E16"/>
    <w:rsid w:val="007F77C3"/>
    <w:rsid w:val="007F795C"/>
    <w:rsid w:val="007F7BA4"/>
    <w:rsid w:val="007F7FD9"/>
    <w:rsid w:val="008005E4"/>
    <w:rsid w:val="00801250"/>
    <w:rsid w:val="008015FC"/>
    <w:rsid w:val="00802651"/>
    <w:rsid w:val="00802CE3"/>
    <w:rsid w:val="008034FF"/>
    <w:rsid w:val="00803578"/>
    <w:rsid w:val="00803DE7"/>
    <w:rsid w:val="00804451"/>
    <w:rsid w:val="00805266"/>
    <w:rsid w:val="00805B08"/>
    <w:rsid w:val="008067D7"/>
    <w:rsid w:val="00807154"/>
    <w:rsid w:val="008078AE"/>
    <w:rsid w:val="00807D92"/>
    <w:rsid w:val="00807FF5"/>
    <w:rsid w:val="0081043E"/>
    <w:rsid w:val="00811DA0"/>
    <w:rsid w:val="00811FAE"/>
    <w:rsid w:val="00812566"/>
    <w:rsid w:val="00813687"/>
    <w:rsid w:val="00813943"/>
    <w:rsid w:val="00813A30"/>
    <w:rsid w:val="00814921"/>
    <w:rsid w:val="0081559E"/>
    <w:rsid w:val="00815936"/>
    <w:rsid w:val="00815A94"/>
    <w:rsid w:val="00815B24"/>
    <w:rsid w:val="00815B29"/>
    <w:rsid w:val="00815BE4"/>
    <w:rsid w:val="00816945"/>
    <w:rsid w:val="0081705D"/>
    <w:rsid w:val="00817A26"/>
    <w:rsid w:val="00817EB6"/>
    <w:rsid w:val="008207C6"/>
    <w:rsid w:val="0082139B"/>
    <w:rsid w:val="00821E3E"/>
    <w:rsid w:val="00823F8F"/>
    <w:rsid w:val="008248B2"/>
    <w:rsid w:val="00824953"/>
    <w:rsid w:val="00824C20"/>
    <w:rsid w:val="008259EF"/>
    <w:rsid w:val="008324AE"/>
    <w:rsid w:val="00832700"/>
    <w:rsid w:val="00832766"/>
    <w:rsid w:val="00832E40"/>
    <w:rsid w:val="008339D8"/>
    <w:rsid w:val="00833FAF"/>
    <w:rsid w:val="00834345"/>
    <w:rsid w:val="00834446"/>
    <w:rsid w:val="00835EE7"/>
    <w:rsid w:val="008365AF"/>
    <w:rsid w:val="00840DCB"/>
    <w:rsid w:val="0084173A"/>
    <w:rsid w:val="00841CC7"/>
    <w:rsid w:val="00841F13"/>
    <w:rsid w:val="00842114"/>
    <w:rsid w:val="00843840"/>
    <w:rsid w:val="0084384B"/>
    <w:rsid w:val="00844994"/>
    <w:rsid w:val="00845CA5"/>
    <w:rsid w:val="008464C4"/>
    <w:rsid w:val="00846B5B"/>
    <w:rsid w:val="008472CB"/>
    <w:rsid w:val="00847E94"/>
    <w:rsid w:val="00850E9D"/>
    <w:rsid w:val="00851740"/>
    <w:rsid w:val="00851C8B"/>
    <w:rsid w:val="00852959"/>
    <w:rsid w:val="00852B6B"/>
    <w:rsid w:val="00853D9D"/>
    <w:rsid w:val="00853F89"/>
    <w:rsid w:val="00854BD6"/>
    <w:rsid w:val="00854C05"/>
    <w:rsid w:val="00854D52"/>
    <w:rsid w:val="00855007"/>
    <w:rsid w:val="0085554A"/>
    <w:rsid w:val="0085748A"/>
    <w:rsid w:val="00860942"/>
    <w:rsid w:val="00860A5A"/>
    <w:rsid w:val="008610CA"/>
    <w:rsid w:val="00863DDA"/>
    <w:rsid w:val="00863F6D"/>
    <w:rsid w:val="00865203"/>
    <w:rsid w:val="00865556"/>
    <w:rsid w:val="00867302"/>
    <w:rsid w:val="0087093D"/>
    <w:rsid w:val="00871B2A"/>
    <w:rsid w:val="0087307E"/>
    <w:rsid w:val="008742BA"/>
    <w:rsid w:val="008744ED"/>
    <w:rsid w:val="00874F71"/>
    <w:rsid w:val="0087599E"/>
    <w:rsid w:val="00876957"/>
    <w:rsid w:val="00877544"/>
    <w:rsid w:val="0087777A"/>
    <w:rsid w:val="0087786B"/>
    <w:rsid w:val="00880F12"/>
    <w:rsid w:val="00881196"/>
    <w:rsid w:val="0088254D"/>
    <w:rsid w:val="00884E33"/>
    <w:rsid w:val="00887115"/>
    <w:rsid w:val="00887FD8"/>
    <w:rsid w:val="008902E3"/>
    <w:rsid w:val="00890D88"/>
    <w:rsid w:val="00890E0B"/>
    <w:rsid w:val="00890EAD"/>
    <w:rsid w:val="008913E9"/>
    <w:rsid w:val="00891E5B"/>
    <w:rsid w:val="00892373"/>
    <w:rsid w:val="008942A2"/>
    <w:rsid w:val="008943CD"/>
    <w:rsid w:val="00894532"/>
    <w:rsid w:val="008947FA"/>
    <w:rsid w:val="00894BF6"/>
    <w:rsid w:val="00895BE5"/>
    <w:rsid w:val="00896D05"/>
    <w:rsid w:val="00896D92"/>
    <w:rsid w:val="00897A2A"/>
    <w:rsid w:val="008A05C1"/>
    <w:rsid w:val="008A1265"/>
    <w:rsid w:val="008A1C05"/>
    <w:rsid w:val="008A1EB6"/>
    <w:rsid w:val="008A2685"/>
    <w:rsid w:val="008A2D8E"/>
    <w:rsid w:val="008A31DC"/>
    <w:rsid w:val="008A3CDB"/>
    <w:rsid w:val="008A48F2"/>
    <w:rsid w:val="008A5AEC"/>
    <w:rsid w:val="008A5FB5"/>
    <w:rsid w:val="008A5FF5"/>
    <w:rsid w:val="008A6CF6"/>
    <w:rsid w:val="008A78C5"/>
    <w:rsid w:val="008B065E"/>
    <w:rsid w:val="008B0B08"/>
    <w:rsid w:val="008B1167"/>
    <w:rsid w:val="008B1D8E"/>
    <w:rsid w:val="008B2411"/>
    <w:rsid w:val="008B42D0"/>
    <w:rsid w:val="008B491F"/>
    <w:rsid w:val="008B4C0B"/>
    <w:rsid w:val="008B6CB4"/>
    <w:rsid w:val="008C00C5"/>
    <w:rsid w:val="008C10E5"/>
    <w:rsid w:val="008C1190"/>
    <w:rsid w:val="008C1974"/>
    <w:rsid w:val="008C20F7"/>
    <w:rsid w:val="008C24C7"/>
    <w:rsid w:val="008C2A98"/>
    <w:rsid w:val="008C2DD9"/>
    <w:rsid w:val="008C2E70"/>
    <w:rsid w:val="008C31F5"/>
    <w:rsid w:val="008C46A8"/>
    <w:rsid w:val="008C4E8E"/>
    <w:rsid w:val="008C50E0"/>
    <w:rsid w:val="008C690B"/>
    <w:rsid w:val="008C778F"/>
    <w:rsid w:val="008D1FC7"/>
    <w:rsid w:val="008D210E"/>
    <w:rsid w:val="008D24C6"/>
    <w:rsid w:val="008D3234"/>
    <w:rsid w:val="008D404D"/>
    <w:rsid w:val="008D45A4"/>
    <w:rsid w:val="008D51E5"/>
    <w:rsid w:val="008D5783"/>
    <w:rsid w:val="008D5FF0"/>
    <w:rsid w:val="008D6A61"/>
    <w:rsid w:val="008D7D04"/>
    <w:rsid w:val="008E0287"/>
    <w:rsid w:val="008E0F4A"/>
    <w:rsid w:val="008E12B0"/>
    <w:rsid w:val="008E1F12"/>
    <w:rsid w:val="008E475B"/>
    <w:rsid w:val="008E5454"/>
    <w:rsid w:val="008E5B51"/>
    <w:rsid w:val="008E6669"/>
    <w:rsid w:val="008E6DC8"/>
    <w:rsid w:val="008E7183"/>
    <w:rsid w:val="008E7C7F"/>
    <w:rsid w:val="008F070B"/>
    <w:rsid w:val="008F18BC"/>
    <w:rsid w:val="008F21DB"/>
    <w:rsid w:val="008F288C"/>
    <w:rsid w:val="008F3C11"/>
    <w:rsid w:val="008F41A2"/>
    <w:rsid w:val="008F5263"/>
    <w:rsid w:val="008F551B"/>
    <w:rsid w:val="008F5C4A"/>
    <w:rsid w:val="008F6460"/>
    <w:rsid w:val="008F6B91"/>
    <w:rsid w:val="008F6C79"/>
    <w:rsid w:val="00900027"/>
    <w:rsid w:val="0090268A"/>
    <w:rsid w:val="00903D19"/>
    <w:rsid w:val="00904353"/>
    <w:rsid w:val="00905323"/>
    <w:rsid w:val="00906F5F"/>
    <w:rsid w:val="009070D9"/>
    <w:rsid w:val="00907402"/>
    <w:rsid w:val="00907502"/>
    <w:rsid w:val="00907CE4"/>
    <w:rsid w:val="0091065D"/>
    <w:rsid w:val="009107DE"/>
    <w:rsid w:val="00910BCF"/>
    <w:rsid w:val="00913344"/>
    <w:rsid w:val="0091408E"/>
    <w:rsid w:val="009141CE"/>
    <w:rsid w:val="00914D55"/>
    <w:rsid w:val="009155CD"/>
    <w:rsid w:val="00915796"/>
    <w:rsid w:val="009169E5"/>
    <w:rsid w:val="00916C37"/>
    <w:rsid w:val="0091798A"/>
    <w:rsid w:val="00920EE9"/>
    <w:rsid w:val="00921675"/>
    <w:rsid w:val="00921FDB"/>
    <w:rsid w:val="0092242A"/>
    <w:rsid w:val="00923690"/>
    <w:rsid w:val="009237FE"/>
    <w:rsid w:val="00924BBD"/>
    <w:rsid w:val="009259CD"/>
    <w:rsid w:val="00925FBA"/>
    <w:rsid w:val="00926152"/>
    <w:rsid w:val="009269F5"/>
    <w:rsid w:val="009270FA"/>
    <w:rsid w:val="00927725"/>
    <w:rsid w:val="00927747"/>
    <w:rsid w:val="009304CD"/>
    <w:rsid w:val="00930BC8"/>
    <w:rsid w:val="009316E4"/>
    <w:rsid w:val="0093347B"/>
    <w:rsid w:val="00933580"/>
    <w:rsid w:val="00934C31"/>
    <w:rsid w:val="009356A6"/>
    <w:rsid w:val="0093573F"/>
    <w:rsid w:val="00935A69"/>
    <w:rsid w:val="00936113"/>
    <w:rsid w:val="00936938"/>
    <w:rsid w:val="00936974"/>
    <w:rsid w:val="00937E3A"/>
    <w:rsid w:val="009400CC"/>
    <w:rsid w:val="00940F3D"/>
    <w:rsid w:val="009418ED"/>
    <w:rsid w:val="009431D8"/>
    <w:rsid w:val="00944620"/>
    <w:rsid w:val="0094596D"/>
    <w:rsid w:val="00945A65"/>
    <w:rsid w:val="00945BCC"/>
    <w:rsid w:val="00945C01"/>
    <w:rsid w:val="00947259"/>
    <w:rsid w:val="00947359"/>
    <w:rsid w:val="00947968"/>
    <w:rsid w:val="00947B2A"/>
    <w:rsid w:val="00947DC9"/>
    <w:rsid w:val="00950173"/>
    <w:rsid w:val="009501CF"/>
    <w:rsid w:val="00950331"/>
    <w:rsid w:val="0095046C"/>
    <w:rsid w:val="0095058C"/>
    <w:rsid w:val="00950B9B"/>
    <w:rsid w:val="009510F3"/>
    <w:rsid w:val="00951569"/>
    <w:rsid w:val="00951D4F"/>
    <w:rsid w:val="00952C83"/>
    <w:rsid w:val="00952E13"/>
    <w:rsid w:val="009531C1"/>
    <w:rsid w:val="00953FD0"/>
    <w:rsid w:val="0095458B"/>
    <w:rsid w:val="0095476B"/>
    <w:rsid w:val="00954779"/>
    <w:rsid w:val="0095503A"/>
    <w:rsid w:val="00955290"/>
    <w:rsid w:val="009560A3"/>
    <w:rsid w:val="0095639A"/>
    <w:rsid w:val="009573B8"/>
    <w:rsid w:val="0095771B"/>
    <w:rsid w:val="00957792"/>
    <w:rsid w:val="00957883"/>
    <w:rsid w:val="00957968"/>
    <w:rsid w:val="00957D56"/>
    <w:rsid w:val="00960F75"/>
    <w:rsid w:val="00961E55"/>
    <w:rsid w:val="00961E9F"/>
    <w:rsid w:val="0096247E"/>
    <w:rsid w:val="00962DC7"/>
    <w:rsid w:val="009637ED"/>
    <w:rsid w:val="00963F0F"/>
    <w:rsid w:val="00963FD0"/>
    <w:rsid w:val="0096496C"/>
    <w:rsid w:val="00964A70"/>
    <w:rsid w:val="00964E6B"/>
    <w:rsid w:val="009654ED"/>
    <w:rsid w:val="00965F26"/>
    <w:rsid w:val="009662A0"/>
    <w:rsid w:val="00966675"/>
    <w:rsid w:val="0096691D"/>
    <w:rsid w:val="00967353"/>
    <w:rsid w:val="00967DBE"/>
    <w:rsid w:val="00972B4B"/>
    <w:rsid w:val="0097405E"/>
    <w:rsid w:val="009743C3"/>
    <w:rsid w:val="00974B60"/>
    <w:rsid w:val="00974E44"/>
    <w:rsid w:val="00975D84"/>
    <w:rsid w:val="00976290"/>
    <w:rsid w:val="00976BAA"/>
    <w:rsid w:val="00977608"/>
    <w:rsid w:val="009776F6"/>
    <w:rsid w:val="00977E17"/>
    <w:rsid w:val="00977E94"/>
    <w:rsid w:val="009804AF"/>
    <w:rsid w:val="009807EB"/>
    <w:rsid w:val="00981849"/>
    <w:rsid w:val="00982427"/>
    <w:rsid w:val="00983B3E"/>
    <w:rsid w:val="00983E88"/>
    <w:rsid w:val="00984C24"/>
    <w:rsid w:val="00985213"/>
    <w:rsid w:val="009870E5"/>
    <w:rsid w:val="0099105F"/>
    <w:rsid w:val="00991358"/>
    <w:rsid w:val="00993611"/>
    <w:rsid w:val="009937CF"/>
    <w:rsid w:val="00993865"/>
    <w:rsid w:val="009946AD"/>
    <w:rsid w:val="00996199"/>
    <w:rsid w:val="00996730"/>
    <w:rsid w:val="00996D8B"/>
    <w:rsid w:val="00996F48"/>
    <w:rsid w:val="009971E8"/>
    <w:rsid w:val="00997E9D"/>
    <w:rsid w:val="009A05F0"/>
    <w:rsid w:val="009A1872"/>
    <w:rsid w:val="009A21F7"/>
    <w:rsid w:val="009A3223"/>
    <w:rsid w:val="009A3503"/>
    <w:rsid w:val="009A3A87"/>
    <w:rsid w:val="009A40C1"/>
    <w:rsid w:val="009A461A"/>
    <w:rsid w:val="009A59D7"/>
    <w:rsid w:val="009A728B"/>
    <w:rsid w:val="009A776A"/>
    <w:rsid w:val="009A77F3"/>
    <w:rsid w:val="009B0065"/>
    <w:rsid w:val="009B08A8"/>
    <w:rsid w:val="009B1A44"/>
    <w:rsid w:val="009B1CEB"/>
    <w:rsid w:val="009B2249"/>
    <w:rsid w:val="009B239C"/>
    <w:rsid w:val="009B2E46"/>
    <w:rsid w:val="009B3B46"/>
    <w:rsid w:val="009B3F95"/>
    <w:rsid w:val="009B42D2"/>
    <w:rsid w:val="009B5D37"/>
    <w:rsid w:val="009B60FA"/>
    <w:rsid w:val="009B6173"/>
    <w:rsid w:val="009C0849"/>
    <w:rsid w:val="009C1333"/>
    <w:rsid w:val="009C2E2D"/>
    <w:rsid w:val="009C34E5"/>
    <w:rsid w:val="009C3F3D"/>
    <w:rsid w:val="009C49DD"/>
    <w:rsid w:val="009C4B7C"/>
    <w:rsid w:val="009C66A5"/>
    <w:rsid w:val="009C6C3A"/>
    <w:rsid w:val="009C7C11"/>
    <w:rsid w:val="009D125B"/>
    <w:rsid w:val="009D165D"/>
    <w:rsid w:val="009D3243"/>
    <w:rsid w:val="009D331E"/>
    <w:rsid w:val="009D34C6"/>
    <w:rsid w:val="009D3DC7"/>
    <w:rsid w:val="009D3F2B"/>
    <w:rsid w:val="009D405C"/>
    <w:rsid w:val="009D41FA"/>
    <w:rsid w:val="009D5A15"/>
    <w:rsid w:val="009D781B"/>
    <w:rsid w:val="009E0545"/>
    <w:rsid w:val="009E0D0F"/>
    <w:rsid w:val="009E1570"/>
    <w:rsid w:val="009E32C1"/>
    <w:rsid w:val="009E4010"/>
    <w:rsid w:val="009E4D45"/>
    <w:rsid w:val="009E5214"/>
    <w:rsid w:val="009E54C1"/>
    <w:rsid w:val="009E6017"/>
    <w:rsid w:val="009E6387"/>
    <w:rsid w:val="009E767E"/>
    <w:rsid w:val="009F11B1"/>
    <w:rsid w:val="009F24C7"/>
    <w:rsid w:val="009F32CB"/>
    <w:rsid w:val="009F3E2E"/>
    <w:rsid w:val="009F406A"/>
    <w:rsid w:val="009F42CB"/>
    <w:rsid w:val="009F4354"/>
    <w:rsid w:val="009F471D"/>
    <w:rsid w:val="009F4C9F"/>
    <w:rsid w:val="009F4D21"/>
    <w:rsid w:val="009F7998"/>
    <w:rsid w:val="009F7AC9"/>
    <w:rsid w:val="00A00352"/>
    <w:rsid w:val="00A00AD5"/>
    <w:rsid w:val="00A00C10"/>
    <w:rsid w:val="00A01E1C"/>
    <w:rsid w:val="00A029C4"/>
    <w:rsid w:val="00A03F46"/>
    <w:rsid w:val="00A0403D"/>
    <w:rsid w:val="00A0554A"/>
    <w:rsid w:val="00A0675B"/>
    <w:rsid w:val="00A06876"/>
    <w:rsid w:val="00A0740F"/>
    <w:rsid w:val="00A07AE7"/>
    <w:rsid w:val="00A10E31"/>
    <w:rsid w:val="00A1114E"/>
    <w:rsid w:val="00A11DB1"/>
    <w:rsid w:val="00A12735"/>
    <w:rsid w:val="00A128BF"/>
    <w:rsid w:val="00A13738"/>
    <w:rsid w:val="00A13A14"/>
    <w:rsid w:val="00A13B61"/>
    <w:rsid w:val="00A13D99"/>
    <w:rsid w:val="00A148D7"/>
    <w:rsid w:val="00A15302"/>
    <w:rsid w:val="00A16870"/>
    <w:rsid w:val="00A20AD5"/>
    <w:rsid w:val="00A20CFA"/>
    <w:rsid w:val="00A218F1"/>
    <w:rsid w:val="00A22CE2"/>
    <w:rsid w:val="00A22E73"/>
    <w:rsid w:val="00A24818"/>
    <w:rsid w:val="00A2500A"/>
    <w:rsid w:val="00A25246"/>
    <w:rsid w:val="00A25B52"/>
    <w:rsid w:val="00A25BFD"/>
    <w:rsid w:val="00A26998"/>
    <w:rsid w:val="00A3208C"/>
    <w:rsid w:val="00A3213B"/>
    <w:rsid w:val="00A33480"/>
    <w:rsid w:val="00A33C74"/>
    <w:rsid w:val="00A33F8E"/>
    <w:rsid w:val="00A35923"/>
    <w:rsid w:val="00A35A98"/>
    <w:rsid w:val="00A372E6"/>
    <w:rsid w:val="00A37454"/>
    <w:rsid w:val="00A3778B"/>
    <w:rsid w:val="00A40310"/>
    <w:rsid w:val="00A407A5"/>
    <w:rsid w:val="00A40EEF"/>
    <w:rsid w:val="00A41B86"/>
    <w:rsid w:val="00A41C1F"/>
    <w:rsid w:val="00A42BAD"/>
    <w:rsid w:val="00A42E2B"/>
    <w:rsid w:val="00A434CB"/>
    <w:rsid w:val="00A436BE"/>
    <w:rsid w:val="00A43701"/>
    <w:rsid w:val="00A43C12"/>
    <w:rsid w:val="00A440ED"/>
    <w:rsid w:val="00A455CF"/>
    <w:rsid w:val="00A47123"/>
    <w:rsid w:val="00A47CC6"/>
    <w:rsid w:val="00A501B8"/>
    <w:rsid w:val="00A51119"/>
    <w:rsid w:val="00A516DF"/>
    <w:rsid w:val="00A51FB4"/>
    <w:rsid w:val="00A52661"/>
    <w:rsid w:val="00A55124"/>
    <w:rsid w:val="00A56E9D"/>
    <w:rsid w:val="00A57E7D"/>
    <w:rsid w:val="00A60B64"/>
    <w:rsid w:val="00A61269"/>
    <w:rsid w:val="00A61342"/>
    <w:rsid w:val="00A6230E"/>
    <w:rsid w:val="00A62C4C"/>
    <w:rsid w:val="00A62F5A"/>
    <w:rsid w:val="00A63D3F"/>
    <w:rsid w:val="00A64094"/>
    <w:rsid w:val="00A671DF"/>
    <w:rsid w:val="00A67259"/>
    <w:rsid w:val="00A701BE"/>
    <w:rsid w:val="00A70445"/>
    <w:rsid w:val="00A70B5A"/>
    <w:rsid w:val="00A70D61"/>
    <w:rsid w:val="00A71141"/>
    <w:rsid w:val="00A71639"/>
    <w:rsid w:val="00A723CA"/>
    <w:rsid w:val="00A73785"/>
    <w:rsid w:val="00A73DF3"/>
    <w:rsid w:val="00A73E8E"/>
    <w:rsid w:val="00A74032"/>
    <w:rsid w:val="00A748E6"/>
    <w:rsid w:val="00A75995"/>
    <w:rsid w:val="00A75D55"/>
    <w:rsid w:val="00A76CFF"/>
    <w:rsid w:val="00A76EE7"/>
    <w:rsid w:val="00A801D7"/>
    <w:rsid w:val="00A80297"/>
    <w:rsid w:val="00A8050F"/>
    <w:rsid w:val="00A80907"/>
    <w:rsid w:val="00A81FA5"/>
    <w:rsid w:val="00A82F9C"/>
    <w:rsid w:val="00A83BE7"/>
    <w:rsid w:val="00A84FA2"/>
    <w:rsid w:val="00A85607"/>
    <w:rsid w:val="00A866BB"/>
    <w:rsid w:val="00A86FA4"/>
    <w:rsid w:val="00A873CA"/>
    <w:rsid w:val="00A879F8"/>
    <w:rsid w:val="00A87AC2"/>
    <w:rsid w:val="00A9087D"/>
    <w:rsid w:val="00A90DD9"/>
    <w:rsid w:val="00A9117D"/>
    <w:rsid w:val="00A91508"/>
    <w:rsid w:val="00A926CF"/>
    <w:rsid w:val="00A9289F"/>
    <w:rsid w:val="00A93813"/>
    <w:rsid w:val="00A93B7D"/>
    <w:rsid w:val="00A93CF7"/>
    <w:rsid w:val="00A941D2"/>
    <w:rsid w:val="00A9461C"/>
    <w:rsid w:val="00A94FD6"/>
    <w:rsid w:val="00A9555F"/>
    <w:rsid w:val="00A95DAC"/>
    <w:rsid w:val="00A96149"/>
    <w:rsid w:val="00A96367"/>
    <w:rsid w:val="00A96984"/>
    <w:rsid w:val="00A9734F"/>
    <w:rsid w:val="00AA0E5E"/>
    <w:rsid w:val="00AA20FA"/>
    <w:rsid w:val="00AA295C"/>
    <w:rsid w:val="00AA2A22"/>
    <w:rsid w:val="00AA36B5"/>
    <w:rsid w:val="00AA3E6E"/>
    <w:rsid w:val="00AA4038"/>
    <w:rsid w:val="00AA44AE"/>
    <w:rsid w:val="00AA4587"/>
    <w:rsid w:val="00AA5788"/>
    <w:rsid w:val="00AA5DA2"/>
    <w:rsid w:val="00AA636E"/>
    <w:rsid w:val="00AA6531"/>
    <w:rsid w:val="00AA6FDB"/>
    <w:rsid w:val="00AA7958"/>
    <w:rsid w:val="00AB1185"/>
    <w:rsid w:val="00AB12E9"/>
    <w:rsid w:val="00AB2EFB"/>
    <w:rsid w:val="00AB32C4"/>
    <w:rsid w:val="00AB3D3B"/>
    <w:rsid w:val="00AB45DE"/>
    <w:rsid w:val="00AB47BD"/>
    <w:rsid w:val="00AB4928"/>
    <w:rsid w:val="00AB4C13"/>
    <w:rsid w:val="00AB51EB"/>
    <w:rsid w:val="00AB5454"/>
    <w:rsid w:val="00AB7588"/>
    <w:rsid w:val="00AB793C"/>
    <w:rsid w:val="00AC056B"/>
    <w:rsid w:val="00AC0902"/>
    <w:rsid w:val="00AC1886"/>
    <w:rsid w:val="00AC231D"/>
    <w:rsid w:val="00AC26B2"/>
    <w:rsid w:val="00AC4711"/>
    <w:rsid w:val="00AC4AD8"/>
    <w:rsid w:val="00AC5BDF"/>
    <w:rsid w:val="00AC62DA"/>
    <w:rsid w:val="00AC73D0"/>
    <w:rsid w:val="00AD0006"/>
    <w:rsid w:val="00AD022E"/>
    <w:rsid w:val="00AD0A72"/>
    <w:rsid w:val="00AD0D0D"/>
    <w:rsid w:val="00AD183A"/>
    <w:rsid w:val="00AD2163"/>
    <w:rsid w:val="00AD3403"/>
    <w:rsid w:val="00AD3738"/>
    <w:rsid w:val="00AD385A"/>
    <w:rsid w:val="00AD78F0"/>
    <w:rsid w:val="00AD7A4A"/>
    <w:rsid w:val="00AD7FC2"/>
    <w:rsid w:val="00AE0160"/>
    <w:rsid w:val="00AE0BB0"/>
    <w:rsid w:val="00AE2760"/>
    <w:rsid w:val="00AE329D"/>
    <w:rsid w:val="00AE3492"/>
    <w:rsid w:val="00AE3A59"/>
    <w:rsid w:val="00AE3FF5"/>
    <w:rsid w:val="00AE45F7"/>
    <w:rsid w:val="00AE4739"/>
    <w:rsid w:val="00AE4DE6"/>
    <w:rsid w:val="00AE4E2A"/>
    <w:rsid w:val="00AE69E4"/>
    <w:rsid w:val="00AE7658"/>
    <w:rsid w:val="00AE7B2E"/>
    <w:rsid w:val="00AF0C3C"/>
    <w:rsid w:val="00AF0EB8"/>
    <w:rsid w:val="00AF2B67"/>
    <w:rsid w:val="00AF43CC"/>
    <w:rsid w:val="00AF4704"/>
    <w:rsid w:val="00AF4883"/>
    <w:rsid w:val="00AF5160"/>
    <w:rsid w:val="00AF557E"/>
    <w:rsid w:val="00B00A64"/>
    <w:rsid w:val="00B00EEB"/>
    <w:rsid w:val="00B01A35"/>
    <w:rsid w:val="00B022C1"/>
    <w:rsid w:val="00B03589"/>
    <w:rsid w:val="00B04793"/>
    <w:rsid w:val="00B051AE"/>
    <w:rsid w:val="00B05631"/>
    <w:rsid w:val="00B0597F"/>
    <w:rsid w:val="00B05D56"/>
    <w:rsid w:val="00B05D86"/>
    <w:rsid w:val="00B065B6"/>
    <w:rsid w:val="00B06FF7"/>
    <w:rsid w:val="00B07078"/>
    <w:rsid w:val="00B078B2"/>
    <w:rsid w:val="00B10285"/>
    <w:rsid w:val="00B123E0"/>
    <w:rsid w:val="00B12927"/>
    <w:rsid w:val="00B12CA0"/>
    <w:rsid w:val="00B14F31"/>
    <w:rsid w:val="00B155FE"/>
    <w:rsid w:val="00B158C3"/>
    <w:rsid w:val="00B1590F"/>
    <w:rsid w:val="00B160C6"/>
    <w:rsid w:val="00B16F61"/>
    <w:rsid w:val="00B1757D"/>
    <w:rsid w:val="00B175CE"/>
    <w:rsid w:val="00B1781A"/>
    <w:rsid w:val="00B200D3"/>
    <w:rsid w:val="00B20935"/>
    <w:rsid w:val="00B20F64"/>
    <w:rsid w:val="00B21C1C"/>
    <w:rsid w:val="00B229F9"/>
    <w:rsid w:val="00B2310E"/>
    <w:rsid w:val="00B23772"/>
    <w:rsid w:val="00B23BE0"/>
    <w:rsid w:val="00B2422B"/>
    <w:rsid w:val="00B25073"/>
    <w:rsid w:val="00B2584D"/>
    <w:rsid w:val="00B26D83"/>
    <w:rsid w:val="00B2706A"/>
    <w:rsid w:val="00B27370"/>
    <w:rsid w:val="00B277BF"/>
    <w:rsid w:val="00B30385"/>
    <w:rsid w:val="00B30A4B"/>
    <w:rsid w:val="00B31307"/>
    <w:rsid w:val="00B31582"/>
    <w:rsid w:val="00B32420"/>
    <w:rsid w:val="00B32C42"/>
    <w:rsid w:val="00B330EB"/>
    <w:rsid w:val="00B33C60"/>
    <w:rsid w:val="00B34037"/>
    <w:rsid w:val="00B3501D"/>
    <w:rsid w:val="00B35C8B"/>
    <w:rsid w:val="00B36574"/>
    <w:rsid w:val="00B36ECB"/>
    <w:rsid w:val="00B37D92"/>
    <w:rsid w:val="00B37F9A"/>
    <w:rsid w:val="00B40118"/>
    <w:rsid w:val="00B40422"/>
    <w:rsid w:val="00B4093E"/>
    <w:rsid w:val="00B40E59"/>
    <w:rsid w:val="00B415FD"/>
    <w:rsid w:val="00B41909"/>
    <w:rsid w:val="00B41D90"/>
    <w:rsid w:val="00B432C6"/>
    <w:rsid w:val="00B44510"/>
    <w:rsid w:val="00B44B49"/>
    <w:rsid w:val="00B45671"/>
    <w:rsid w:val="00B4664F"/>
    <w:rsid w:val="00B467C3"/>
    <w:rsid w:val="00B47C2C"/>
    <w:rsid w:val="00B47D58"/>
    <w:rsid w:val="00B5090F"/>
    <w:rsid w:val="00B50DDA"/>
    <w:rsid w:val="00B50E06"/>
    <w:rsid w:val="00B51066"/>
    <w:rsid w:val="00B510B5"/>
    <w:rsid w:val="00B51866"/>
    <w:rsid w:val="00B521C2"/>
    <w:rsid w:val="00B52693"/>
    <w:rsid w:val="00B526C8"/>
    <w:rsid w:val="00B5276F"/>
    <w:rsid w:val="00B538F2"/>
    <w:rsid w:val="00B53A09"/>
    <w:rsid w:val="00B53D91"/>
    <w:rsid w:val="00B5471B"/>
    <w:rsid w:val="00B553F1"/>
    <w:rsid w:val="00B560DB"/>
    <w:rsid w:val="00B56675"/>
    <w:rsid w:val="00B569CD"/>
    <w:rsid w:val="00B57442"/>
    <w:rsid w:val="00B605D6"/>
    <w:rsid w:val="00B609A1"/>
    <w:rsid w:val="00B60E8D"/>
    <w:rsid w:val="00B62019"/>
    <w:rsid w:val="00B635E6"/>
    <w:rsid w:val="00B63BCD"/>
    <w:rsid w:val="00B64370"/>
    <w:rsid w:val="00B646F1"/>
    <w:rsid w:val="00B64D01"/>
    <w:rsid w:val="00B66831"/>
    <w:rsid w:val="00B66CD2"/>
    <w:rsid w:val="00B67327"/>
    <w:rsid w:val="00B674EB"/>
    <w:rsid w:val="00B67C96"/>
    <w:rsid w:val="00B7103A"/>
    <w:rsid w:val="00B7166D"/>
    <w:rsid w:val="00B720CB"/>
    <w:rsid w:val="00B72B4A"/>
    <w:rsid w:val="00B73A70"/>
    <w:rsid w:val="00B73D99"/>
    <w:rsid w:val="00B75335"/>
    <w:rsid w:val="00B75523"/>
    <w:rsid w:val="00B75782"/>
    <w:rsid w:val="00B759CE"/>
    <w:rsid w:val="00B76094"/>
    <w:rsid w:val="00B76767"/>
    <w:rsid w:val="00B77E5F"/>
    <w:rsid w:val="00B80F5D"/>
    <w:rsid w:val="00B80FD3"/>
    <w:rsid w:val="00B810AE"/>
    <w:rsid w:val="00B8289D"/>
    <w:rsid w:val="00B8320D"/>
    <w:rsid w:val="00B8373B"/>
    <w:rsid w:val="00B839B8"/>
    <w:rsid w:val="00B84DFF"/>
    <w:rsid w:val="00B85066"/>
    <w:rsid w:val="00B8560A"/>
    <w:rsid w:val="00B85F5F"/>
    <w:rsid w:val="00B86D87"/>
    <w:rsid w:val="00B901F4"/>
    <w:rsid w:val="00B9067A"/>
    <w:rsid w:val="00B908CE"/>
    <w:rsid w:val="00B90CFC"/>
    <w:rsid w:val="00B90ED2"/>
    <w:rsid w:val="00B91B0B"/>
    <w:rsid w:val="00B91C16"/>
    <w:rsid w:val="00B91E9B"/>
    <w:rsid w:val="00B9247F"/>
    <w:rsid w:val="00B924BF"/>
    <w:rsid w:val="00B92FFE"/>
    <w:rsid w:val="00B93481"/>
    <w:rsid w:val="00B949FD"/>
    <w:rsid w:val="00B95C5E"/>
    <w:rsid w:val="00BA0AAF"/>
    <w:rsid w:val="00BA1440"/>
    <w:rsid w:val="00BA18B2"/>
    <w:rsid w:val="00BA23C6"/>
    <w:rsid w:val="00BA30F4"/>
    <w:rsid w:val="00BA4B14"/>
    <w:rsid w:val="00BA4B99"/>
    <w:rsid w:val="00BA5A0E"/>
    <w:rsid w:val="00BA5B32"/>
    <w:rsid w:val="00BA5C80"/>
    <w:rsid w:val="00BA61A8"/>
    <w:rsid w:val="00BA6BD1"/>
    <w:rsid w:val="00BA73FA"/>
    <w:rsid w:val="00BA7423"/>
    <w:rsid w:val="00BA75F2"/>
    <w:rsid w:val="00BB0EAF"/>
    <w:rsid w:val="00BB1186"/>
    <w:rsid w:val="00BB140E"/>
    <w:rsid w:val="00BB1848"/>
    <w:rsid w:val="00BB3018"/>
    <w:rsid w:val="00BB49A0"/>
    <w:rsid w:val="00BB4B62"/>
    <w:rsid w:val="00BB5299"/>
    <w:rsid w:val="00BB5DC6"/>
    <w:rsid w:val="00BB6388"/>
    <w:rsid w:val="00BB6B50"/>
    <w:rsid w:val="00BB74E5"/>
    <w:rsid w:val="00BC0436"/>
    <w:rsid w:val="00BC083D"/>
    <w:rsid w:val="00BC0A3D"/>
    <w:rsid w:val="00BC0C91"/>
    <w:rsid w:val="00BC138C"/>
    <w:rsid w:val="00BC144B"/>
    <w:rsid w:val="00BC1906"/>
    <w:rsid w:val="00BC1A32"/>
    <w:rsid w:val="00BC28C4"/>
    <w:rsid w:val="00BC2E5B"/>
    <w:rsid w:val="00BC345E"/>
    <w:rsid w:val="00BC4411"/>
    <w:rsid w:val="00BC46B3"/>
    <w:rsid w:val="00BC4CE5"/>
    <w:rsid w:val="00BC528D"/>
    <w:rsid w:val="00BC5924"/>
    <w:rsid w:val="00BC5FED"/>
    <w:rsid w:val="00BC60E9"/>
    <w:rsid w:val="00BC67DF"/>
    <w:rsid w:val="00BC7217"/>
    <w:rsid w:val="00BC75C4"/>
    <w:rsid w:val="00BC7ECE"/>
    <w:rsid w:val="00BD0A02"/>
    <w:rsid w:val="00BD24D7"/>
    <w:rsid w:val="00BD3E62"/>
    <w:rsid w:val="00BD465A"/>
    <w:rsid w:val="00BD4696"/>
    <w:rsid w:val="00BD57F6"/>
    <w:rsid w:val="00BD5C07"/>
    <w:rsid w:val="00BD5D29"/>
    <w:rsid w:val="00BD651B"/>
    <w:rsid w:val="00BD66CB"/>
    <w:rsid w:val="00BD6774"/>
    <w:rsid w:val="00BD7AAC"/>
    <w:rsid w:val="00BE086E"/>
    <w:rsid w:val="00BE0C5B"/>
    <w:rsid w:val="00BE1432"/>
    <w:rsid w:val="00BE1546"/>
    <w:rsid w:val="00BE1815"/>
    <w:rsid w:val="00BE1B4C"/>
    <w:rsid w:val="00BE21CE"/>
    <w:rsid w:val="00BE2501"/>
    <w:rsid w:val="00BE32D7"/>
    <w:rsid w:val="00BE3EBA"/>
    <w:rsid w:val="00BE4101"/>
    <w:rsid w:val="00BE489B"/>
    <w:rsid w:val="00BE578F"/>
    <w:rsid w:val="00BE6074"/>
    <w:rsid w:val="00BE73DB"/>
    <w:rsid w:val="00BE7C31"/>
    <w:rsid w:val="00BE7E87"/>
    <w:rsid w:val="00BF0773"/>
    <w:rsid w:val="00BF1597"/>
    <w:rsid w:val="00BF43B6"/>
    <w:rsid w:val="00BF4AA7"/>
    <w:rsid w:val="00BF4B8D"/>
    <w:rsid w:val="00BF5951"/>
    <w:rsid w:val="00BF5D43"/>
    <w:rsid w:val="00BF5E64"/>
    <w:rsid w:val="00BF63C0"/>
    <w:rsid w:val="00BF6E4D"/>
    <w:rsid w:val="00BF73E0"/>
    <w:rsid w:val="00C00024"/>
    <w:rsid w:val="00C00AB8"/>
    <w:rsid w:val="00C01100"/>
    <w:rsid w:val="00C011AE"/>
    <w:rsid w:val="00C018F9"/>
    <w:rsid w:val="00C02B3F"/>
    <w:rsid w:val="00C0351A"/>
    <w:rsid w:val="00C04918"/>
    <w:rsid w:val="00C04AFC"/>
    <w:rsid w:val="00C05221"/>
    <w:rsid w:val="00C053C7"/>
    <w:rsid w:val="00C060B1"/>
    <w:rsid w:val="00C06AAC"/>
    <w:rsid w:val="00C06DCC"/>
    <w:rsid w:val="00C074B4"/>
    <w:rsid w:val="00C07658"/>
    <w:rsid w:val="00C10B15"/>
    <w:rsid w:val="00C11136"/>
    <w:rsid w:val="00C1152A"/>
    <w:rsid w:val="00C11941"/>
    <w:rsid w:val="00C11C70"/>
    <w:rsid w:val="00C11FE7"/>
    <w:rsid w:val="00C1348D"/>
    <w:rsid w:val="00C144B4"/>
    <w:rsid w:val="00C15C9D"/>
    <w:rsid w:val="00C15E34"/>
    <w:rsid w:val="00C16D51"/>
    <w:rsid w:val="00C17895"/>
    <w:rsid w:val="00C178E3"/>
    <w:rsid w:val="00C17A4E"/>
    <w:rsid w:val="00C20057"/>
    <w:rsid w:val="00C2178D"/>
    <w:rsid w:val="00C22634"/>
    <w:rsid w:val="00C22BBE"/>
    <w:rsid w:val="00C2383D"/>
    <w:rsid w:val="00C2474E"/>
    <w:rsid w:val="00C24ABE"/>
    <w:rsid w:val="00C24F97"/>
    <w:rsid w:val="00C25854"/>
    <w:rsid w:val="00C25DE0"/>
    <w:rsid w:val="00C26464"/>
    <w:rsid w:val="00C26690"/>
    <w:rsid w:val="00C26743"/>
    <w:rsid w:val="00C2709B"/>
    <w:rsid w:val="00C2745C"/>
    <w:rsid w:val="00C275AF"/>
    <w:rsid w:val="00C2786F"/>
    <w:rsid w:val="00C30741"/>
    <w:rsid w:val="00C30753"/>
    <w:rsid w:val="00C30AE0"/>
    <w:rsid w:val="00C30B03"/>
    <w:rsid w:val="00C315A1"/>
    <w:rsid w:val="00C3190B"/>
    <w:rsid w:val="00C31FD5"/>
    <w:rsid w:val="00C32637"/>
    <w:rsid w:val="00C32991"/>
    <w:rsid w:val="00C32F13"/>
    <w:rsid w:val="00C33BBE"/>
    <w:rsid w:val="00C35224"/>
    <w:rsid w:val="00C35399"/>
    <w:rsid w:val="00C369F8"/>
    <w:rsid w:val="00C36C00"/>
    <w:rsid w:val="00C37C35"/>
    <w:rsid w:val="00C37D04"/>
    <w:rsid w:val="00C37F3B"/>
    <w:rsid w:val="00C40A03"/>
    <w:rsid w:val="00C41AB0"/>
    <w:rsid w:val="00C423ED"/>
    <w:rsid w:val="00C42E14"/>
    <w:rsid w:val="00C436E3"/>
    <w:rsid w:val="00C43A46"/>
    <w:rsid w:val="00C44039"/>
    <w:rsid w:val="00C4479F"/>
    <w:rsid w:val="00C4513D"/>
    <w:rsid w:val="00C453BD"/>
    <w:rsid w:val="00C4570B"/>
    <w:rsid w:val="00C45B7F"/>
    <w:rsid w:val="00C46445"/>
    <w:rsid w:val="00C50794"/>
    <w:rsid w:val="00C50E30"/>
    <w:rsid w:val="00C51E20"/>
    <w:rsid w:val="00C528D0"/>
    <w:rsid w:val="00C53628"/>
    <w:rsid w:val="00C541AA"/>
    <w:rsid w:val="00C545A3"/>
    <w:rsid w:val="00C54784"/>
    <w:rsid w:val="00C547C2"/>
    <w:rsid w:val="00C54FA0"/>
    <w:rsid w:val="00C55758"/>
    <w:rsid w:val="00C55B02"/>
    <w:rsid w:val="00C55F4F"/>
    <w:rsid w:val="00C56409"/>
    <w:rsid w:val="00C569CF"/>
    <w:rsid w:val="00C571EE"/>
    <w:rsid w:val="00C572AC"/>
    <w:rsid w:val="00C600F5"/>
    <w:rsid w:val="00C60805"/>
    <w:rsid w:val="00C60D3F"/>
    <w:rsid w:val="00C629E2"/>
    <w:rsid w:val="00C62BF1"/>
    <w:rsid w:val="00C62C50"/>
    <w:rsid w:val="00C62F2E"/>
    <w:rsid w:val="00C62F99"/>
    <w:rsid w:val="00C6303D"/>
    <w:rsid w:val="00C63204"/>
    <w:rsid w:val="00C64075"/>
    <w:rsid w:val="00C64F1C"/>
    <w:rsid w:val="00C65666"/>
    <w:rsid w:val="00C65A9E"/>
    <w:rsid w:val="00C66455"/>
    <w:rsid w:val="00C669FA"/>
    <w:rsid w:val="00C66E0B"/>
    <w:rsid w:val="00C7017A"/>
    <w:rsid w:val="00C70DC0"/>
    <w:rsid w:val="00C712FF"/>
    <w:rsid w:val="00C728CD"/>
    <w:rsid w:val="00C7292F"/>
    <w:rsid w:val="00C73835"/>
    <w:rsid w:val="00C74D51"/>
    <w:rsid w:val="00C74E2F"/>
    <w:rsid w:val="00C75B7D"/>
    <w:rsid w:val="00C7631B"/>
    <w:rsid w:val="00C7754E"/>
    <w:rsid w:val="00C8005D"/>
    <w:rsid w:val="00C8056A"/>
    <w:rsid w:val="00C809CF"/>
    <w:rsid w:val="00C80ADC"/>
    <w:rsid w:val="00C811EC"/>
    <w:rsid w:val="00C81485"/>
    <w:rsid w:val="00C82D15"/>
    <w:rsid w:val="00C833F3"/>
    <w:rsid w:val="00C8359F"/>
    <w:rsid w:val="00C85112"/>
    <w:rsid w:val="00C8521A"/>
    <w:rsid w:val="00C8537A"/>
    <w:rsid w:val="00C85BB7"/>
    <w:rsid w:val="00C85E0E"/>
    <w:rsid w:val="00C86923"/>
    <w:rsid w:val="00C87D80"/>
    <w:rsid w:val="00C87EEA"/>
    <w:rsid w:val="00C91915"/>
    <w:rsid w:val="00C92081"/>
    <w:rsid w:val="00C9284F"/>
    <w:rsid w:val="00C928E5"/>
    <w:rsid w:val="00C92D3C"/>
    <w:rsid w:val="00C932BC"/>
    <w:rsid w:val="00C93362"/>
    <w:rsid w:val="00C93587"/>
    <w:rsid w:val="00C94FB3"/>
    <w:rsid w:val="00C95133"/>
    <w:rsid w:val="00C95517"/>
    <w:rsid w:val="00C95654"/>
    <w:rsid w:val="00C95728"/>
    <w:rsid w:val="00C959AC"/>
    <w:rsid w:val="00C96ADF"/>
    <w:rsid w:val="00C97AA2"/>
    <w:rsid w:val="00CA0951"/>
    <w:rsid w:val="00CA1CE4"/>
    <w:rsid w:val="00CA2FBB"/>
    <w:rsid w:val="00CA2FCA"/>
    <w:rsid w:val="00CA388F"/>
    <w:rsid w:val="00CA38AB"/>
    <w:rsid w:val="00CA3EBE"/>
    <w:rsid w:val="00CA40F2"/>
    <w:rsid w:val="00CA57F1"/>
    <w:rsid w:val="00CA5E5E"/>
    <w:rsid w:val="00CA723B"/>
    <w:rsid w:val="00CA77A7"/>
    <w:rsid w:val="00CA7BFD"/>
    <w:rsid w:val="00CA7E63"/>
    <w:rsid w:val="00CB04DE"/>
    <w:rsid w:val="00CB051A"/>
    <w:rsid w:val="00CB0DB5"/>
    <w:rsid w:val="00CB102E"/>
    <w:rsid w:val="00CB1305"/>
    <w:rsid w:val="00CB247B"/>
    <w:rsid w:val="00CB25A7"/>
    <w:rsid w:val="00CB2BE3"/>
    <w:rsid w:val="00CB3E67"/>
    <w:rsid w:val="00CB4601"/>
    <w:rsid w:val="00CB4BE3"/>
    <w:rsid w:val="00CB56AF"/>
    <w:rsid w:val="00CB62AD"/>
    <w:rsid w:val="00CB63E2"/>
    <w:rsid w:val="00CB754A"/>
    <w:rsid w:val="00CB7D17"/>
    <w:rsid w:val="00CC0BA1"/>
    <w:rsid w:val="00CC1112"/>
    <w:rsid w:val="00CC182E"/>
    <w:rsid w:val="00CC21F3"/>
    <w:rsid w:val="00CC270E"/>
    <w:rsid w:val="00CC2975"/>
    <w:rsid w:val="00CC29BB"/>
    <w:rsid w:val="00CC3AB1"/>
    <w:rsid w:val="00CC3D00"/>
    <w:rsid w:val="00CC492A"/>
    <w:rsid w:val="00CC4D34"/>
    <w:rsid w:val="00CC4DC5"/>
    <w:rsid w:val="00CC504F"/>
    <w:rsid w:val="00CC520B"/>
    <w:rsid w:val="00CC5943"/>
    <w:rsid w:val="00CC59BC"/>
    <w:rsid w:val="00CC5CF3"/>
    <w:rsid w:val="00CC64D1"/>
    <w:rsid w:val="00CC666C"/>
    <w:rsid w:val="00CC670E"/>
    <w:rsid w:val="00CC75CD"/>
    <w:rsid w:val="00CD00B5"/>
    <w:rsid w:val="00CD01DC"/>
    <w:rsid w:val="00CD02EB"/>
    <w:rsid w:val="00CD0593"/>
    <w:rsid w:val="00CD0B39"/>
    <w:rsid w:val="00CD105B"/>
    <w:rsid w:val="00CD10F6"/>
    <w:rsid w:val="00CD19BB"/>
    <w:rsid w:val="00CD1EAB"/>
    <w:rsid w:val="00CD2611"/>
    <w:rsid w:val="00CD282B"/>
    <w:rsid w:val="00CD2870"/>
    <w:rsid w:val="00CD291D"/>
    <w:rsid w:val="00CD2E53"/>
    <w:rsid w:val="00CD327C"/>
    <w:rsid w:val="00CD562C"/>
    <w:rsid w:val="00CD6265"/>
    <w:rsid w:val="00CD6670"/>
    <w:rsid w:val="00CD6AD5"/>
    <w:rsid w:val="00CD6AF3"/>
    <w:rsid w:val="00CD6E92"/>
    <w:rsid w:val="00CD6F24"/>
    <w:rsid w:val="00CD78EF"/>
    <w:rsid w:val="00CD78F0"/>
    <w:rsid w:val="00CE2148"/>
    <w:rsid w:val="00CE3438"/>
    <w:rsid w:val="00CE3546"/>
    <w:rsid w:val="00CE3CAF"/>
    <w:rsid w:val="00CE4398"/>
    <w:rsid w:val="00CE453B"/>
    <w:rsid w:val="00CE4F33"/>
    <w:rsid w:val="00CE5E67"/>
    <w:rsid w:val="00CE5E92"/>
    <w:rsid w:val="00CE622A"/>
    <w:rsid w:val="00CF0EC7"/>
    <w:rsid w:val="00CF0F0C"/>
    <w:rsid w:val="00CF1294"/>
    <w:rsid w:val="00CF1635"/>
    <w:rsid w:val="00CF2966"/>
    <w:rsid w:val="00CF36CB"/>
    <w:rsid w:val="00CF47B7"/>
    <w:rsid w:val="00CF49EC"/>
    <w:rsid w:val="00CF6500"/>
    <w:rsid w:val="00CF66ED"/>
    <w:rsid w:val="00CF698F"/>
    <w:rsid w:val="00CF7C80"/>
    <w:rsid w:val="00D019FF"/>
    <w:rsid w:val="00D02B6B"/>
    <w:rsid w:val="00D02DF7"/>
    <w:rsid w:val="00D03607"/>
    <w:rsid w:val="00D0435E"/>
    <w:rsid w:val="00D0441F"/>
    <w:rsid w:val="00D04A12"/>
    <w:rsid w:val="00D04ADD"/>
    <w:rsid w:val="00D05339"/>
    <w:rsid w:val="00D06761"/>
    <w:rsid w:val="00D068B2"/>
    <w:rsid w:val="00D07BAD"/>
    <w:rsid w:val="00D10ACD"/>
    <w:rsid w:val="00D11297"/>
    <w:rsid w:val="00D115BD"/>
    <w:rsid w:val="00D121DC"/>
    <w:rsid w:val="00D1229F"/>
    <w:rsid w:val="00D1280F"/>
    <w:rsid w:val="00D133A5"/>
    <w:rsid w:val="00D13770"/>
    <w:rsid w:val="00D13999"/>
    <w:rsid w:val="00D139D1"/>
    <w:rsid w:val="00D158BE"/>
    <w:rsid w:val="00D159C2"/>
    <w:rsid w:val="00D163C5"/>
    <w:rsid w:val="00D16630"/>
    <w:rsid w:val="00D16E83"/>
    <w:rsid w:val="00D16F02"/>
    <w:rsid w:val="00D16FFB"/>
    <w:rsid w:val="00D20E8D"/>
    <w:rsid w:val="00D21284"/>
    <w:rsid w:val="00D22298"/>
    <w:rsid w:val="00D22D1F"/>
    <w:rsid w:val="00D235EE"/>
    <w:rsid w:val="00D23821"/>
    <w:rsid w:val="00D254EA"/>
    <w:rsid w:val="00D25632"/>
    <w:rsid w:val="00D260B7"/>
    <w:rsid w:val="00D26227"/>
    <w:rsid w:val="00D2624F"/>
    <w:rsid w:val="00D273C1"/>
    <w:rsid w:val="00D30333"/>
    <w:rsid w:val="00D30825"/>
    <w:rsid w:val="00D3149F"/>
    <w:rsid w:val="00D33585"/>
    <w:rsid w:val="00D33A34"/>
    <w:rsid w:val="00D33D13"/>
    <w:rsid w:val="00D3465C"/>
    <w:rsid w:val="00D34770"/>
    <w:rsid w:val="00D34EAD"/>
    <w:rsid w:val="00D353AE"/>
    <w:rsid w:val="00D36147"/>
    <w:rsid w:val="00D36345"/>
    <w:rsid w:val="00D41331"/>
    <w:rsid w:val="00D430F7"/>
    <w:rsid w:val="00D4374B"/>
    <w:rsid w:val="00D443F0"/>
    <w:rsid w:val="00D445F6"/>
    <w:rsid w:val="00D463F2"/>
    <w:rsid w:val="00D46541"/>
    <w:rsid w:val="00D46F61"/>
    <w:rsid w:val="00D50089"/>
    <w:rsid w:val="00D504C6"/>
    <w:rsid w:val="00D50955"/>
    <w:rsid w:val="00D50EA6"/>
    <w:rsid w:val="00D51279"/>
    <w:rsid w:val="00D51A14"/>
    <w:rsid w:val="00D523F6"/>
    <w:rsid w:val="00D52478"/>
    <w:rsid w:val="00D52934"/>
    <w:rsid w:val="00D52C99"/>
    <w:rsid w:val="00D538BF"/>
    <w:rsid w:val="00D5394A"/>
    <w:rsid w:val="00D53DD0"/>
    <w:rsid w:val="00D54A26"/>
    <w:rsid w:val="00D55F80"/>
    <w:rsid w:val="00D56381"/>
    <w:rsid w:val="00D57539"/>
    <w:rsid w:val="00D579A3"/>
    <w:rsid w:val="00D601B6"/>
    <w:rsid w:val="00D6027B"/>
    <w:rsid w:val="00D604A0"/>
    <w:rsid w:val="00D607E1"/>
    <w:rsid w:val="00D62B7B"/>
    <w:rsid w:val="00D62CA0"/>
    <w:rsid w:val="00D6303D"/>
    <w:rsid w:val="00D63EF4"/>
    <w:rsid w:val="00D6480D"/>
    <w:rsid w:val="00D649CF"/>
    <w:rsid w:val="00D64B18"/>
    <w:rsid w:val="00D655F0"/>
    <w:rsid w:val="00D659B4"/>
    <w:rsid w:val="00D65BF2"/>
    <w:rsid w:val="00D66538"/>
    <w:rsid w:val="00D71C1F"/>
    <w:rsid w:val="00D727CD"/>
    <w:rsid w:val="00D73D63"/>
    <w:rsid w:val="00D765AF"/>
    <w:rsid w:val="00D770AD"/>
    <w:rsid w:val="00D7761D"/>
    <w:rsid w:val="00D80049"/>
    <w:rsid w:val="00D80B64"/>
    <w:rsid w:val="00D81026"/>
    <w:rsid w:val="00D81A3E"/>
    <w:rsid w:val="00D824FE"/>
    <w:rsid w:val="00D84465"/>
    <w:rsid w:val="00D844E6"/>
    <w:rsid w:val="00D85289"/>
    <w:rsid w:val="00D853A4"/>
    <w:rsid w:val="00D85BF1"/>
    <w:rsid w:val="00D8760D"/>
    <w:rsid w:val="00D87B01"/>
    <w:rsid w:val="00D90282"/>
    <w:rsid w:val="00D9050B"/>
    <w:rsid w:val="00D90536"/>
    <w:rsid w:val="00D90A45"/>
    <w:rsid w:val="00D916CB"/>
    <w:rsid w:val="00D92C2C"/>
    <w:rsid w:val="00D9305C"/>
    <w:rsid w:val="00D9340E"/>
    <w:rsid w:val="00D93662"/>
    <w:rsid w:val="00D93DA2"/>
    <w:rsid w:val="00D94785"/>
    <w:rsid w:val="00D949CF"/>
    <w:rsid w:val="00D94A5D"/>
    <w:rsid w:val="00D94C4F"/>
    <w:rsid w:val="00D9640D"/>
    <w:rsid w:val="00D96497"/>
    <w:rsid w:val="00D97C81"/>
    <w:rsid w:val="00DA06A7"/>
    <w:rsid w:val="00DA0839"/>
    <w:rsid w:val="00DA0C82"/>
    <w:rsid w:val="00DA1D3F"/>
    <w:rsid w:val="00DA22E2"/>
    <w:rsid w:val="00DA235D"/>
    <w:rsid w:val="00DA2707"/>
    <w:rsid w:val="00DA369E"/>
    <w:rsid w:val="00DA3A32"/>
    <w:rsid w:val="00DA542D"/>
    <w:rsid w:val="00DA54FB"/>
    <w:rsid w:val="00DA55CC"/>
    <w:rsid w:val="00DA6C37"/>
    <w:rsid w:val="00DA6D38"/>
    <w:rsid w:val="00DA7048"/>
    <w:rsid w:val="00DA77DD"/>
    <w:rsid w:val="00DB0924"/>
    <w:rsid w:val="00DB092D"/>
    <w:rsid w:val="00DB11E4"/>
    <w:rsid w:val="00DB213C"/>
    <w:rsid w:val="00DB2CD2"/>
    <w:rsid w:val="00DB4698"/>
    <w:rsid w:val="00DB46FA"/>
    <w:rsid w:val="00DB4E62"/>
    <w:rsid w:val="00DB52AC"/>
    <w:rsid w:val="00DB5386"/>
    <w:rsid w:val="00DB585B"/>
    <w:rsid w:val="00DB5E26"/>
    <w:rsid w:val="00DB6DFB"/>
    <w:rsid w:val="00DB6E44"/>
    <w:rsid w:val="00DC0766"/>
    <w:rsid w:val="00DC0E3E"/>
    <w:rsid w:val="00DC20CB"/>
    <w:rsid w:val="00DC2303"/>
    <w:rsid w:val="00DC32F0"/>
    <w:rsid w:val="00DC36B8"/>
    <w:rsid w:val="00DC3D3E"/>
    <w:rsid w:val="00DC4435"/>
    <w:rsid w:val="00DC4628"/>
    <w:rsid w:val="00DC4919"/>
    <w:rsid w:val="00DC4D37"/>
    <w:rsid w:val="00DC6EE0"/>
    <w:rsid w:val="00DC7CB2"/>
    <w:rsid w:val="00DD1318"/>
    <w:rsid w:val="00DD14F3"/>
    <w:rsid w:val="00DD2AD9"/>
    <w:rsid w:val="00DD2F01"/>
    <w:rsid w:val="00DD3042"/>
    <w:rsid w:val="00DD31DA"/>
    <w:rsid w:val="00DD34CF"/>
    <w:rsid w:val="00DD3825"/>
    <w:rsid w:val="00DD3AFB"/>
    <w:rsid w:val="00DD3CD4"/>
    <w:rsid w:val="00DD3F01"/>
    <w:rsid w:val="00DD41BC"/>
    <w:rsid w:val="00DD51DF"/>
    <w:rsid w:val="00DD58DE"/>
    <w:rsid w:val="00DD5BAF"/>
    <w:rsid w:val="00DD6989"/>
    <w:rsid w:val="00DD6BAC"/>
    <w:rsid w:val="00DE00BD"/>
    <w:rsid w:val="00DE0E20"/>
    <w:rsid w:val="00DE14C5"/>
    <w:rsid w:val="00DE2C1E"/>
    <w:rsid w:val="00DE3272"/>
    <w:rsid w:val="00DE3423"/>
    <w:rsid w:val="00DE35E7"/>
    <w:rsid w:val="00DE3DA7"/>
    <w:rsid w:val="00DE4AD5"/>
    <w:rsid w:val="00DE4CEC"/>
    <w:rsid w:val="00DE5ABD"/>
    <w:rsid w:val="00DE6525"/>
    <w:rsid w:val="00DE69CC"/>
    <w:rsid w:val="00DE6B1E"/>
    <w:rsid w:val="00DE6C37"/>
    <w:rsid w:val="00DE6FBD"/>
    <w:rsid w:val="00DE7B16"/>
    <w:rsid w:val="00DE7DF2"/>
    <w:rsid w:val="00DF0140"/>
    <w:rsid w:val="00DF0290"/>
    <w:rsid w:val="00DF0347"/>
    <w:rsid w:val="00DF0F76"/>
    <w:rsid w:val="00DF110F"/>
    <w:rsid w:val="00DF3B82"/>
    <w:rsid w:val="00DF3C3F"/>
    <w:rsid w:val="00DF407E"/>
    <w:rsid w:val="00DF55ED"/>
    <w:rsid w:val="00DF58F3"/>
    <w:rsid w:val="00DF6589"/>
    <w:rsid w:val="00DF6F83"/>
    <w:rsid w:val="00DF762A"/>
    <w:rsid w:val="00DF776C"/>
    <w:rsid w:val="00E00297"/>
    <w:rsid w:val="00E00B82"/>
    <w:rsid w:val="00E00F55"/>
    <w:rsid w:val="00E013A1"/>
    <w:rsid w:val="00E0175B"/>
    <w:rsid w:val="00E021F7"/>
    <w:rsid w:val="00E02E2D"/>
    <w:rsid w:val="00E03D38"/>
    <w:rsid w:val="00E04568"/>
    <w:rsid w:val="00E0523C"/>
    <w:rsid w:val="00E05B1B"/>
    <w:rsid w:val="00E0760D"/>
    <w:rsid w:val="00E106D0"/>
    <w:rsid w:val="00E10E33"/>
    <w:rsid w:val="00E10FCA"/>
    <w:rsid w:val="00E1104B"/>
    <w:rsid w:val="00E12FA3"/>
    <w:rsid w:val="00E137DB"/>
    <w:rsid w:val="00E15534"/>
    <w:rsid w:val="00E16BCE"/>
    <w:rsid w:val="00E16F49"/>
    <w:rsid w:val="00E1705B"/>
    <w:rsid w:val="00E179A3"/>
    <w:rsid w:val="00E214E3"/>
    <w:rsid w:val="00E216FA"/>
    <w:rsid w:val="00E22403"/>
    <w:rsid w:val="00E22B63"/>
    <w:rsid w:val="00E22FE8"/>
    <w:rsid w:val="00E23246"/>
    <w:rsid w:val="00E23278"/>
    <w:rsid w:val="00E23641"/>
    <w:rsid w:val="00E23A92"/>
    <w:rsid w:val="00E24CE1"/>
    <w:rsid w:val="00E253C6"/>
    <w:rsid w:val="00E26433"/>
    <w:rsid w:val="00E2654B"/>
    <w:rsid w:val="00E26F68"/>
    <w:rsid w:val="00E30482"/>
    <w:rsid w:val="00E30DA9"/>
    <w:rsid w:val="00E311A2"/>
    <w:rsid w:val="00E31BF1"/>
    <w:rsid w:val="00E34E4F"/>
    <w:rsid w:val="00E352A8"/>
    <w:rsid w:val="00E35E67"/>
    <w:rsid w:val="00E3676D"/>
    <w:rsid w:val="00E40592"/>
    <w:rsid w:val="00E41283"/>
    <w:rsid w:val="00E422CD"/>
    <w:rsid w:val="00E43824"/>
    <w:rsid w:val="00E45606"/>
    <w:rsid w:val="00E45D73"/>
    <w:rsid w:val="00E45DAF"/>
    <w:rsid w:val="00E46319"/>
    <w:rsid w:val="00E46830"/>
    <w:rsid w:val="00E4718C"/>
    <w:rsid w:val="00E513E3"/>
    <w:rsid w:val="00E51ED9"/>
    <w:rsid w:val="00E53302"/>
    <w:rsid w:val="00E5482D"/>
    <w:rsid w:val="00E56935"/>
    <w:rsid w:val="00E57500"/>
    <w:rsid w:val="00E604B6"/>
    <w:rsid w:val="00E606F7"/>
    <w:rsid w:val="00E60E58"/>
    <w:rsid w:val="00E634A3"/>
    <w:rsid w:val="00E63507"/>
    <w:rsid w:val="00E637EB"/>
    <w:rsid w:val="00E640C2"/>
    <w:rsid w:val="00E64E6D"/>
    <w:rsid w:val="00E6548D"/>
    <w:rsid w:val="00E6590A"/>
    <w:rsid w:val="00E65A1E"/>
    <w:rsid w:val="00E66BC3"/>
    <w:rsid w:val="00E67CE2"/>
    <w:rsid w:val="00E70FC1"/>
    <w:rsid w:val="00E712CE"/>
    <w:rsid w:val="00E726A6"/>
    <w:rsid w:val="00E729D7"/>
    <w:rsid w:val="00E74289"/>
    <w:rsid w:val="00E748DC"/>
    <w:rsid w:val="00E74998"/>
    <w:rsid w:val="00E750E7"/>
    <w:rsid w:val="00E7549B"/>
    <w:rsid w:val="00E75CEB"/>
    <w:rsid w:val="00E766DA"/>
    <w:rsid w:val="00E76E54"/>
    <w:rsid w:val="00E815E1"/>
    <w:rsid w:val="00E8289F"/>
    <w:rsid w:val="00E8297F"/>
    <w:rsid w:val="00E82A22"/>
    <w:rsid w:val="00E839AA"/>
    <w:rsid w:val="00E839E7"/>
    <w:rsid w:val="00E83ECB"/>
    <w:rsid w:val="00E879AD"/>
    <w:rsid w:val="00E90119"/>
    <w:rsid w:val="00E90197"/>
    <w:rsid w:val="00E914B7"/>
    <w:rsid w:val="00E924C2"/>
    <w:rsid w:val="00E92B7C"/>
    <w:rsid w:val="00E93117"/>
    <w:rsid w:val="00E93166"/>
    <w:rsid w:val="00E93A94"/>
    <w:rsid w:val="00E93BAE"/>
    <w:rsid w:val="00E940BE"/>
    <w:rsid w:val="00E944F8"/>
    <w:rsid w:val="00E94A46"/>
    <w:rsid w:val="00E95486"/>
    <w:rsid w:val="00E95A61"/>
    <w:rsid w:val="00E95F1A"/>
    <w:rsid w:val="00E96061"/>
    <w:rsid w:val="00E96810"/>
    <w:rsid w:val="00E97D47"/>
    <w:rsid w:val="00EA016F"/>
    <w:rsid w:val="00EA03F1"/>
    <w:rsid w:val="00EA04DE"/>
    <w:rsid w:val="00EA1053"/>
    <w:rsid w:val="00EA1476"/>
    <w:rsid w:val="00EA1483"/>
    <w:rsid w:val="00EA172F"/>
    <w:rsid w:val="00EA1D5A"/>
    <w:rsid w:val="00EA1E64"/>
    <w:rsid w:val="00EA26FF"/>
    <w:rsid w:val="00EA317F"/>
    <w:rsid w:val="00EA31DF"/>
    <w:rsid w:val="00EA4A02"/>
    <w:rsid w:val="00EA4BB2"/>
    <w:rsid w:val="00EA52F5"/>
    <w:rsid w:val="00EA5905"/>
    <w:rsid w:val="00EA6A5A"/>
    <w:rsid w:val="00EB0BE9"/>
    <w:rsid w:val="00EB0E25"/>
    <w:rsid w:val="00EB1036"/>
    <w:rsid w:val="00EB1FAC"/>
    <w:rsid w:val="00EB246F"/>
    <w:rsid w:val="00EB37DC"/>
    <w:rsid w:val="00EB4AB8"/>
    <w:rsid w:val="00EB5083"/>
    <w:rsid w:val="00EB66EC"/>
    <w:rsid w:val="00EB6730"/>
    <w:rsid w:val="00EB6811"/>
    <w:rsid w:val="00EB705D"/>
    <w:rsid w:val="00EB7302"/>
    <w:rsid w:val="00EC0533"/>
    <w:rsid w:val="00EC0DE2"/>
    <w:rsid w:val="00EC13D3"/>
    <w:rsid w:val="00EC1896"/>
    <w:rsid w:val="00EC18DD"/>
    <w:rsid w:val="00EC1A76"/>
    <w:rsid w:val="00EC2D3C"/>
    <w:rsid w:val="00EC3E45"/>
    <w:rsid w:val="00EC4415"/>
    <w:rsid w:val="00EC5161"/>
    <w:rsid w:val="00EC690A"/>
    <w:rsid w:val="00EC77D9"/>
    <w:rsid w:val="00EC7F39"/>
    <w:rsid w:val="00ED0101"/>
    <w:rsid w:val="00ED032E"/>
    <w:rsid w:val="00ED0FDD"/>
    <w:rsid w:val="00ED13F1"/>
    <w:rsid w:val="00ED153F"/>
    <w:rsid w:val="00ED1E5D"/>
    <w:rsid w:val="00ED22C4"/>
    <w:rsid w:val="00ED2C37"/>
    <w:rsid w:val="00ED2DC4"/>
    <w:rsid w:val="00ED2E92"/>
    <w:rsid w:val="00ED2FB5"/>
    <w:rsid w:val="00ED326C"/>
    <w:rsid w:val="00ED3AC4"/>
    <w:rsid w:val="00ED41E3"/>
    <w:rsid w:val="00ED427F"/>
    <w:rsid w:val="00ED45B9"/>
    <w:rsid w:val="00ED490D"/>
    <w:rsid w:val="00ED4CA8"/>
    <w:rsid w:val="00ED51EC"/>
    <w:rsid w:val="00ED5439"/>
    <w:rsid w:val="00ED6053"/>
    <w:rsid w:val="00ED6198"/>
    <w:rsid w:val="00ED63BA"/>
    <w:rsid w:val="00ED66C4"/>
    <w:rsid w:val="00ED6A5D"/>
    <w:rsid w:val="00ED6AF2"/>
    <w:rsid w:val="00ED7545"/>
    <w:rsid w:val="00ED7F7E"/>
    <w:rsid w:val="00EE04F5"/>
    <w:rsid w:val="00EE112F"/>
    <w:rsid w:val="00EE2053"/>
    <w:rsid w:val="00EE2DC8"/>
    <w:rsid w:val="00EE2EFF"/>
    <w:rsid w:val="00EE3B7D"/>
    <w:rsid w:val="00EE4021"/>
    <w:rsid w:val="00EE551B"/>
    <w:rsid w:val="00EE5685"/>
    <w:rsid w:val="00EE5B95"/>
    <w:rsid w:val="00EE5C89"/>
    <w:rsid w:val="00EE67B7"/>
    <w:rsid w:val="00EE6B6D"/>
    <w:rsid w:val="00EE7D3B"/>
    <w:rsid w:val="00EF0075"/>
    <w:rsid w:val="00EF042A"/>
    <w:rsid w:val="00EF0F3D"/>
    <w:rsid w:val="00EF159C"/>
    <w:rsid w:val="00EF32D8"/>
    <w:rsid w:val="00EF33E0"/>
    <w:rsid w:val="00EF3939"/>
    <w:rsid w:val="00EF4010"/>
    <w:rsid w:val="00EF4427"/>
    <w:rsid w:val="00EF496E"/>
    <w:rsid w:val="00EF4AB2"/>
    <w:rsid w:val="00EF5FFE"/>
    <w:rsid w:val="00EF6374"/>
    <w:rsid w:val="00EF720B"/>
    <w:rsid w:val="00EF724D"/>
    <w:rsid w:val="00EF73B4"/>
    <w:rsid w:val="00F01A18"/>
    <w:rsid w:val="00F03106"/>
    <w:rsid w:val="00F0331F"/>
    <w:rsid w:val="00F03716"/>
    <w:rsid w:val="00F040DD"/>
    <w:rsid w:val="00F05095"/>
    <w:rsid w:val="00F06711"/>
    <w:rsid w:val="00F06791"/>
    <w:rsid w:val="00F06E81"/>
    <w:rsid w:val="00F07185"/>
    <w:rsid w:val="00F072F8"/>
    <w:rsid w:val="00F0798C"/>
    <w:rsid w:val="00F102B5"/>
    <w:rsid w:val="00F107CF"/>
    <w:rsid w:val="00F116C2"/>
    <w:rsid w:val="00F1260D"/>
    <w:rsid w:val="00F14506"/>
    <w:rsid w:val="00F14FBE"/>
    <w:rsid w:val="00F1549F"/>
    <w:rsid w:val="00F15AA1"/>
    <w:rsid w:val="00F15C58"/>
    <w:rsid w:val="00F15E48"/>
    <w:rsid w:val="00F161D3"/>
    <w:rsid w:val="00F1631F"/>
    <w:rsid w:val="00F1757E"/>
    <w:rsid w:val="00F17832"/>
    <w:rsid w:val="00F17B93"/>
    <w:rsid w:val="00F17D2C"/>
    <w:rsid w:val="00F202CC"/>
    <w:rsid w:val="00F2050D"/>
    <w:rsid w:val="00F20E32"/>
    <w:rsid w:val="00F21233"/>
    <w:rsid w:val="00F21B16"/>
    <w:rsid w:val="00F21DC6"/>
    <w:rsid w:val="00F224F2"/>
    <w:rsid w:val="00F2268A"/>
    <w:rsid w:val="00F22DFA"/>
    <w:rsid w:val="00F2313B"/>
    <w:rsid w:val="00F25346"/>
    <w:rsid w:val="00F25FB7"/>
    <w:rsid w:val="00F26217"/>
    <w:rsid w:val="00F26C35"/>
    <w:rsid w:val="00F279ED"/>
    <w:rsid w:val="00F301CD"/>
    <w:rsid w:val="00F302F7"/>
    <w:rsid w:val="00F31415"/>
    <w:rsid w:val="00F31C85"/>
    <w:rsid w:val="00F32823"/>
    <w:rsid w:val="00F328E0"/>
    <w:rsid w:val="00F32A45"/>
    <w:rsid w:val="00F349BA"/>
    <w:rsid w:val="00F349EA"/>
    <w:rsid w:val="00F36A77"/>
    <w:rsid w:val="00F36CF1"/>
    <w:rsid w:val="00F37AC0"/>
    <w:rsid w:val="00F37EAE"/>
    <w:rsid w:val="00F41381"/>
    <w:rsid w:val="00F41C3A"/>
    <w:rsid w:val="00F4231D"/>
    <w:rsid w:val="00F43511"/>
    <w:rsid w:val="00F4411E"/>
    <w:rsid w:val="00F4540F"/>
    <w:rsid w:val="00F45477"/>
    <w:rsid w:val="00F459EE"/>
    <w:rsid w:val="00F45ECF"/>
    <w:rsid w:val="00F46340"/>
    <w:rsid w:val="00F4639A"/>
    <w:rsid w:val="00F46C43"/>
    <w:rsid w:val="00F46C5B"/>
    <w:rsid w:val="00F46FC0"/>
    <w:rsid w:val="00F46FE8"/>
    <w:rsid w:val="00F50296"/>
    <w:rsid w:val="00F527D8"/>
    <w:rsid w:val="00F53E19"/>
    <w:rsid w:val="00F53EC0"/>
    <w:rsid w:val="00F54235"/>
    <w:rsid w:val="00F54B09"/>
    <w:rsid w:val="00F54F77"/>
    <w:rsid w:val="00F5670A"/>
    <w:rsid w:val="00F56896"/>
    <w:rsid w:val="00F5741B"/>
    <w:rsid w:val="00F5747A"/>
    <w:rsid w:val="00F575CE"/>
    <w:rsid w:val="00F57954"/>
    <w:rsid w:val="00F57C93"/>
    <w:rsid w:val="00F610E0"/>
    <w:rsid w:val="00F61269"/>
    <w:rsid w:val="00F61912"/>
    <w:rsid w:val="00F61A19"/>
    <w:rsid w:val="00F61E1F"/>
    <w:rsid w:val="00F62249"/>
    <w:rsid w:val="00F62EBE"/>
    <w:rsid w:val="00F646BA"/>
    <w:rsid w:val="00F648FF"/>
    <w:rsid w:val="00F65D28"/>
    <w:rsid w:val="00F65DE5"/>
    <w:rsid w:val="00F65E75"/>
    <w:rsid w:val="00F663D8"/>
    <w:rsid w:val="00F67369"/>
    <w:rsid w:val="00F67753"/>
    <w:rsid w:val="00F67887"/>
    <w:rsid w:val="00F70CC7"/>
    <w:rsid w:val="00F710F0"/>
    <w:rsid w:val="00F71397"/>
    <w:rsid w:val="00F71C5B"/>
    <w:rsid w:val="00F72179"/>
    <w:rsid w:val="00F73606"/>
    <w:rsid w:val="00F74127"/>
    <w:rsid w:val="00F7527D"/>
    <w:rsid w:val="00F75582"/>
    <w:rsid w:val="00F7623F"/>
    <w:rsid w:val="00F76301"/>
    <w:rsid w:val="00F76D61"/>
    <w:rsid w:val="00F77A0A"/>
    <w:rsid w:val="00F77EEB"/>
    <w:rsid w:val="00F80059"/>
    <w:rsid w:val="00F80720"/>
    <w:rsid w:val="00F815F6"/>
    <w:rsid w:val="00F81DEA"/>
    <w:rsid w:val="00F82855"/>
    <w:rsid w:val="00F82B9B"/>
    <w:rsid w:val="00F8399C"/>
    <w:rsid w:val="00F839BC"/>
    <w:rsid w:val="00F83EFE"/>
    <w:rsid w:val="00F84147"/>
    <w:rsid w:val="00F84326"/>
    <w:rsid w:val="00F8599D"/>
    <w:rsid w:val="00F87967"/>
    <w:rsid w:val="00F90D4F"/>
    <w:rsid w:val="00F915CC"/>
    <w:rsid w:val="00F91995"/>
    <w:rsid w:val="00F93C3C"/>
    <w:rsid w:val="00F9453E"/>
    <w:rsid w:val="00F973EB"/>
    <w:rsid w:val="00FA0A82"/>
    <w:rsid w:val="00FA104C"/>
    <w:rsid w:val="00FA1194"/>
    <w:rsid w:val="00FA1216"/>
    <w:rsid w:val="00FA1728"/>
    <w:rsid w:val="00FA1898"/>
    <w:rsid w:val="00FA1F10"/>
    <w:rsid w:val="00FA27FB"/>
    <w:rsid w:val="00FA37CA"/>
    <w:rsid w:val="00FA3C10"/>
    <w:rsid w:val="00FA4320"/>
    <w:rsid w:val="00FA4E64"/>
    <w:rsid w:val="00FA52AD"/>
    <w:rsid w:val="00FA52DD"/>
    <w:rsid w:val="00FA5637"/>
    <w:rsid w:val="00FA5CF6"/>
    <w:rsid w:val="00FA6500"/>
    <w:rsid w:val="00FA6920"/>
    <w:rsid w:val="00FA6F5C"/>
    <w:rsid w:val="00FB03DF"/>
    <w:rsid w:val="00FB0621"/>
    <w:rsid w:val="00FB0907"/>
    <w:rsid w:val="00FB0B75"/>
    <w:rsid w:val="00FB25C9"/>
    <w:rsid w:val="00FB2886"/>
    <w:rsid w:val="00FB41E1"/>
    <w:rsid w:val="00FB45B0"/>
    <w:rsid w:val="00FB51D3"/>
    <w:rsid w:val="00FB55F5"/>
    <w:rsid w:val="00FB7679"/>
    <w:rsid w:val="00FB7859"/>
    <w:rsid w:val="00FC000F"/>
    <w:rsid w:val="00FC04AF"/>
    <w:rsid w:val="00FC104B"/>
    <w:rsid w:val="00FC198A"/>
    <w:rsid w:val="00FC2976"/>
    <w:rsid w:val="00FC2B8D"/>
    <w:rsid w:val="00FC307B"/>
    <w:rsid w:val="00FC3BF7"/>
    <w:rsid w:val="00FC3E5A"/>
    <w:rsid w:val="00FC5FBB"/>
    <w:rsid w:val="00FC5FC1"/>
    <w:rsid w:val="00FC64BF"/>
    <w:rsid w:val="00FC7E07"/>
    <w:rsid w:val="00FD067E"/>
    <w:rsid w:val="00FD073F"/>
    <w:rsid w:val="00FD08BB"/>
    <w:rsid w:val="00FD0C6D"/>
    <w:rsid w:val="00FD1538"/>
    <w:rsid w:val="00FD1903"/>
    <w:rsid w:val="00FD191A"/>
    <w:rsid w:val="00FD2A78"/>
    <w:rsid w:val="00FD32F7"/>
    <w:rsid w:val="00FD3613"/>
    <w:rsid w:val="00FD37F7"/>
    <w:rsid w:val="00FD424F"/>
    <w:rsid w:val="00FD492E"/>
    <w:rsid w:val="00FD49CD"/>
    <w:rsid w:val="00FD65A5"/>
    <w:rsid w:val="00FD6C39"/>
    <w:rsid w:val="00FD78FE"/>
    <w:rsid w:val="00FD7FA0"/>
    <w:rsid w:val="00FE037F"/>
    <w:rsid w:val="00FE1057"/>
    <w:rsid w:val="00FE1867"/>
    <w:rsid w:val="00FE1B76"/>
    <w:rsid w:val="00FE298A"/>
    <w:rsid w:val="00FE2D56"/>
    <w:rsid w:val="00FE3DC3"/>
    <w:rsid w:val="00FE3FE7"/>
    <w:rsid w:val="00FE459D"/>
    <w:rsid w:val="00FE4636"/>
    <w:rsid w:val="00FE4D97"/>
    <w:rsid w:val="00FE64E3"/>
    <w:rsid w:val="00FE65A4"/>
    <w:rsid w:val="00FE6954"/>
    <w:rsid w:val="00FE6A12"/>
    <w:rsid w:val="00FE6BE6"/>
    <w:rsid w:val="00FE735A"/>
    <w:rsid w:val="00FE74F5"/>
    <w:rsid w:val="00FE7693"/>
    <w:rsid w:val="00FE7B55"/>
    <w:rsid w:val="00FF0704"/>
    <w:rsid w:val="00FF08AC"/>
    <w:rsid w:val="00FF0F4D"/>
    <w:rsid w:val="00FF108C"/>
    <w:rsid w:val="00FF259D"/>
    <w:rsid w:val="00FF2F90"/>
    <w:rsid w:val="00FF4311"/>
    <w:rsid w:val="00FF48F9"/>
    <w:rsid w:val="00FF4B6E"/>
    <w:rsid w:val="00FF5536"/>
    <w:rsid w:val="00FF5D54"/>
    <w:rsid w:val="00FF627C"/>
    <w:rsid w:val="00FF77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3000"/>
  <w15:chartTrackingRefBased/>
  <w15:docId w15:val="{C28779CA-BBEF-42B2-9147-91A262D3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4FE"/>
    <w:rPr>
      <w:lang w:val="hr-HR"/>
    </w:rPr>
  </w:style>
  <w:style w:type="paragraph" w:styleId="Heading1">
    <w:name w:val="heading 1"/>
    <w:basedOn w:val="Normal"/>
    <w:next w:val="Normal"/>
    <w:link w:val="Heading1Char"/>
    <w:autoRedefine/>
    <w:uiPriority w:val="9"/>
    <w:qFormat/>
    <w:rsid w:val="00754E0C"/>
    <w:pPr>
      <w:keepNext/>
      <w:keepLines/>
      <w:numPr>
        <w:numId w:val="1"/>
      </w:numPr>
      <w:spacing w:before="240" w:after="0" w:line="276" w:lineRule="auto"/>
      <w:ind w:left="720"/>
      <w:jc w:val="both"/>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93347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7529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924C5"/>
  </w:style>
  <w:style w:type="paragraph" w:styleId="Header">
    <w:name w:val="header"/>
    <w:basedOn w:val="Normal"/>
    <w:link w:val="HeaderChar"/>
    <w:uiPriority w:val="99"/>
    <w:unhideWhenUsed/>
    <w:rsid w:val="002924C5"/>
    <w:pPr>
      <w:tabs>
        <w:tab w:val="center" w:pos="4680"/>
        <w:tab w:val="right" w:pos="9360"/>
      </w:tabs>
      <w:spacing w:after="0" w:line="240" w:lineRule="auto"/>
    </w:pPr>
  </w:style>
  <w:style w:type="character" w:customStyle="1" w:styleId="ZaglavljeChar1">
    <w:name w:val="Zaglavlje Char1"/>
    <w:basedOn w:val="DefaultParagraphFont"/>
    <w:uiPriority w:val="99"/>
    <w:semiHidden/>
    <w:rsid w:val="002924C5"/>
    <w:rPr>
      <w:lang w:val="hr-HR"/>
    </w:rPr>
  </w:style>
  <w:style w:type="character" w:customStyle="1" w:styleId="FooterChar">
    <w:name w:val="Footer Char"/>
    <w:basedOn w:val="DefaultParagraphFont"/>
    <w:link w:val="Footer"/>
    <w:uiPriority w:val="99"/>
    <w:rsid w:val="002924C5"/>
  </w:style>
  <w:style w:type="paragraph" w:styleId="Footer">
    <w:name w:val="footer"/>
    <w:basedOn w:val="Normal"/>
    <w:link w:val="FooterChar"/>
    <w:uiPriority w:val="99"/>
    <w:unhideWhenUsed/>
    <w:rsid w:val="002924C5"/>
    <w:pPr>
      <w:tabs>
        <w:tab w:val="center" w:pos="4680"/>
        <w:tab w:val="right" w:pos="9360"/>
      </w:tabs>
      <w:spacing w:after="0" w:line="240" w:lineRule="auto"/>
    </w:pPr>
  </w:style>
  <w:style w:type="character" w:customStyle="1" w:styleId="PodnojeChar1">
    <w:name w:val="Podnožje Char1"/>
    <w:basedOn w:val="DefaultParagraphFont"/>
    <w:uiPriority w:val="99"/>
    <w:semiHidden/>
    <w:rsid w:val="002924C5"/>
    <w:rPr>
      <w:lang w:val="hr-HR"/>
    </w:rPr>
  </w:style>
  <w:style w:type="paragraph" w:styleId="ListParagraph">
    <w:name w:val="List Paragraph"/>
    <w:aliases w:val="Paragraph,List Paragraph Red"/>
    <w:basedOn w:val="Normal"/>
    <w:link w:val="ListParagraphChar"/>
    <w:uiPriority w:val="34"/>
    <w:qFormat/>
    <w:rsid w:val="002924C5"/>
    <w:pPr>
      <w:spacing w:after="0" w:line="240" w:lineRule="auto"/>
      <w:ind w:left="720"/>
      <w:contextualSpacing/>
    </w:pPr>
    <w:rPr>
      <w:rFonts w:eastAsia="Times New Roman" w:cs="Times New Roman"/>
      <w:szCs w:val="24"/>
      <w:lang w:eastAsia="hr-HR"/>
    </w:rPr>
  </w:style>
  <w:style w:type="character" w:styleId="CommentReference">
    <w:name w:val="annotation reference"/>
    <w:basedOn w:val="DefaultParagraphFont"/>
    <w:uiPriority w:val="99"/>
    <w:unhideWhenUsed/>
    <w:rsid w:val="002924C5"/>
    <w:rPr>
      <w:sz w:val="16"/>
      <w:szCs w:val="16"/>
    </w:rPr>
  </w:style>
  <w:style w:type="paragraph" w:styleId="CommentText">
    <w:name w:val="annotation text"/>
    <w:basedOn w:val="Normal"/>
    <w:link w:val="CommentTextChar"/>
    <w:uiPriority w:val="99"/>
    <w:unhideWhenUsed/>
    <w:rsid w:val="002924C5"/>
    <w:pPr>
      <w:spacing w:line="240" w:lineRule="auto"/>
    </w:pPr>
    <w:rPr>
      <w:sz w:val="20"/>
      <w:szCs w:val="20"/>
    </w:rPr>
  </w:style>
  <w:style w:type="character" w:customStyle="1" w:styleId="CommentTextChar">
    <w:name w:val="Comment Text Char"/>
    <w:basedOn w:val="DefaultParagraphFont"/>
    <w:link w:val="CommentText"/>
    <w:uiPriority w:val="99"/>
    <w:rsid w:val="002924C5"/>
    <w:rPr>
      <w:sz w:val="20"/>
      <w:szCs w:val="20"/>
      <w:lang w:val="hr-HR"/>
    </w:rPr>
  </w:style>
  <w:style w:type="paragraph" w:styleId="CommentSubject">
    <w:name w:val="annotation subject"/>
    <w:basedOn w:val="CommentText"/>
    <w:next w:val="CommentText"/>
    <w:link w:val="CommentSubjectChar"/>
    <w:uiPriority w:val="99"/>
    <w:semiHidden/>
    <w:unhideWhenUsed/>
    <w:rsid w:val="002924C5"/>
    <w:rPr>
      <w:b/>
      <w:bCs/>
    </w:rPr>
  </w:style>
  <w:style w:type="character" w:customStyle="1" w:styleId="CommentSubjectChar">
    <w:name w:val="Comment Subject Char"/>
    <w:basedOn w:val="CommentTextChar"/>
    <w:link w:val="CommentSubject"/>
    <w:uiPriority w:val="99"/>
    <w:semiHidden/>
    <w:rsid w:val="002924C5"/>
    <w:rPr>
      <w:b/>
      <w:bCs/>
      <w:sz w:val="20"/>
      <w:szCs w:val="20"/>
      <w:lang w:val="hr-HR"/>
    </w:rPr>
  </w:style>
  <w:style w:type="paragraph" w:styleId="BalloonText">
    <w:name w:val="Balloon Text"/>
    <w:basedOn w:val="Normal"/>
    <w:link w:val="BalloonTextChar"/>
    <w:uiPriority w:val="99"/>
    <w:semiHidden/>
    <w:unhideWhenUsed/>
    <w:rsid w:val="0029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C5"/>
    <w:rPr>
      <w:rFonts w:ascii="Segoe UI" w:hAnsi="Segoe UI" w:cs="Segoe UI"/>
      <w:sz w:val="18"/>
      <w:szCs w:val="18"/>
      <w:lang w:val="hr-HR"/>
    </w:rPr>
  </w:style>
  <w:style w:type="table" w:customStyle="1" w:styleId="TableGrid1">
    <w:name w:val="Table Grid1"/>
    <w:basedOn w:val="TableNormal"/>
    <w:next w:val="TableGrid"/>
    <w:uiPriority w:val="39"/>
    <w:rsid w:val="00B9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rsid w:val="00977E17"/>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977E17"/>
    <w:rPr>
      <w:sz w:val="20"/>
      <w:szCs w:val="20"/>
      <w:lang w:val="hr-HR"/>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rsid w:val="00977E17"/>
    <w:rPr>
      <w:vertAlign w:val="superscript"/>
    </w:rPr>
  </w:style>
  <w:style w:type="table" w:customStyle="1" w:styleId="TableGrid10">
    <w:name w:val="Table Grid10"/>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3347B"/>
    <w:rPr>
      <w:rFonts w:eastAsiaTheme="majorEastAsia" w:cstheme="majorBidi"/>
      <w:b/>
      <w:szCs w:val="26"/>
      <w:lang w:val="hr-HR"/>
    </w:rPr>
  </w:style>
  <w:style w:type="character" w:customStyle="1" w:styleId="Heading1Char">
    <w:name w:val="Heading 1 Char"/>
    <w:basedOn w:val="DefaultParagraphFont"/>
    <w:link w:val="Heading1"/>
    <w:uiPriority w:val="9"/>
    <w:rsid w:val="00754E0C"/>
    <w:rPr>
      <w:rFonts w:eastAsiaTheme="majorEastAsia" w:cstheme="majorBidi"/>
      <w:b/>
      <w:bCs/>
      <w:szCs w:val="24"/>
      <w:lang w:val="hr-HR"/>
    </w:rPr>
  </w:style>
  <w:style w:type="paragraph" w:styleId="TOCHeading">
    <w:name w:val="TOC Heading"/>
    <w:basedOn w:val="Heading1"/>
    <w:next w:val="Normal"/>
    <w:uiPriority w:val="39"/>
    <w:unhideWhenUsed/>
    <w:qFormat/>
    <w:rsid w:val="006624C5"/>
    <w:pPr>
      <w:outlineLvl w:val="9"/>
    </w:pPr>
    <w:rPr>
      <w:lang w:val="en-US"/>
    </w:rPr>
  </w:style>
  <w:style w:type="paragraph" w:styleId="TOC1">
    <w:name w:val="toc 1"/>
    <w:basedOn w:val="Normal"/>
    <w:next w:val="Normal"/>
    <w:autoRedefine/>
    <w:uiPriority w:val="39"/>
    <w:unhideWhenUsed/>
    <w:rsid w:val="0096496C"/>
    <w:pPr>
      <w:tabs>
        <w:tab w:val="left" w:pos="440"/>
        <w:tab w:val="right" w:leader="dot" w:pos="9062"/>
      </w:tabs>
      <w:spacing w:before="240" w:after="240" w:line="240" w:lineRule="auto"/>
    </w:pPr>
  </w:style>
  <w:style w:type="paragraph" w:styleId="TOC2">
    <w:name w:val="toc 2"/>
    <w:basedOn w:val="Normal"/>
    <w:next w:val="Normal"/>
    <w:autoRedefine/>
    <w:uiPriority w:val="39"/>
    <w:unhideWhenUsed/>
    <w:rsid w:val="006624C5"/>
    <w:pPr>
      <w:spacing w:after="100"/>
      <w:ind w:left="220"/>
    </w:pPr>
  </w:style>
  <w:style w:type="character" w:styleId="Hyperlink">
    <w:name w:val="Hyperlink"/>
    <w:basedOn w:val="DefaultParagraphFont"/>
    <w:uiPriority w:val="99"/>
    <w:unhideWhenUsed/>
    <w:rsid w:val="006624C5"/>
    <w:rPr>
      <w:color w:val="0563C1" w:themeColor="hyperlink"/>
      <w:u w:val="single"/>
    </w:rPr>
  </w:style>
  <w:style w:type="paragraph" w:styleId="NormalWeb">
    <w:name w:val="Normal (Web)"/>
    <w:basedOn w:val="Normal"/>
    <w:uiPriority w:val="99"/>
    <w:unhideWhenUsed/>
    <w:rsid w:val="00983E88"/>
    <w:pPr>
      <w:spacing w:before="100" w:beforeAutospacing="1" w:after="100" w:afterAutospacing="1" w:line="240" w:lineRule="auto"/>
    </w:pPr>
    <w:rPr>
      <w:rFonts w:eastAsia="Times New Roman" w:cs="Times New Roman"/>
      <w:szCs w:val="24"/>
      <w:lang w:eastAsia="en-GB"/>
    </w:rPr>
  </w:style>
  <w:style w:type="table" w:styleId="GridTable5Dark-Accent3">
    <w:name w:val="Grid Table 5 Dark Accent 3"/>
    <w:basedOn w:val="TableNormal"/>
    <w:uiPriority w:val="50"/>
    <w:rsid w:val="00983E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
    <w:name w:val="Grid Table 5 Dark - Accent 31"/>
    <w:basedOn w:val="TableNormal"/>
    <w:next w:val="GridTable5Dark-Accent3"/>
    <w:uiPriority w:val="50"/>
    <w:rsid w:val="000A5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2">
    <w:name w:val="Grid Table 5 Dark - Accent 32"/>
    <w:basedOn w:val="TableNormal"/>
    <w:next w:val="GridTable5Dark-Accent3"/>
    <w:uiPriority w:val="50"/>
    <w:rsid w:val="003060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3">
    <w:name w:val="Grid Table 5 Dark - Accent 33"/>
    <w:basedOn w:val="TableNormal"/>
    <w:next w:val="GridTable5Dark-Accent3"/>
    <w:uiPriority w:val="50"/>
    <w:rsid w:val="00A64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8">
    <w:name w:val="Table Grid18"/>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69E"/>
    <w:pPr>
      <w:autoSpaceDE w:val="0"/>
      <w:autoSpaceDN w:val="0"/>
      <w:adjustRightInd w:val="0"/>
      <w:spacing w:after="0" w:line="240" w:lineRule="auto"/>
    </w:pPr>
    <w:rPr>
      <w:rFonts w:cs="Times New Roman"/>
      <w:color w:val="000000"/>
      <w:szCs w:val="24"/>
      <w:lang w:val="hr-HR"/>
    </w:rPr>
  </w:style>
  <w:style w:type="paragraph" w:styleId="TOC3">
    <w:name w:val="toc 3"/>
    <w:basedOn w:val="Normal"/>
    <w:next w:val="Normal"/>
    <w:autoRedefine/>
    <w:uiPriority w:val="39"/>
    <w:unhideWhenUsed/>
    <w:rsid w:val="00372688"/>
    <w:pPr>
      <w:spacing w:after="100"/>
      <w:ind w:left="440"/>
    </w:pPr>
  </w:style>
  <w:style w:type="table" w:customStyle="1" w:styleId="TableGrid22">
    <w:name w:val="Table Grid22"/>
    <w:basedOn w:val="TableNormal"/>
    <w:next w:val="TableGrid"/>
    <w:uiPriority w:val="39"/>
    <w:rsid w:val="001F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A3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C5161"/>
    <w:pPr>
      <w:spacing w:after="100"/>
      <w:ind w:left="660"/>
    </w:pPr>
    <w:rPr>
      <w:rFonts w:eastAsiaTheme="minorEastAsia"/>
      <w:lang w:eastAsia="hr-HR"/>
    </w:rPr>
  </w:style>
  <w:style w:type="paragraph" w:styleId="TOC5">
    <w:name w:val="toc 5"/>
    <w:basedOn w:val="Normal"/>
    <w:next w:val="Normal"/>
    <w:autoRedefine/>
    <w:uiPriority w:val="39"/>
    <w:unhideWhenUsed/>
    <w:rsid w:val="00EC5161"/>
    <w:pPr>
      <w:spacing w:after="100"/>
      <w:ind w:left="880"/>
    </w:pPr>
    <w:rPr>
      <w:rFonts w:eastAsiaTheme="minorEastAsia"/>
      <w:lang w:eastAsia="hr-HR"/>
    </w:rPr>
  </w:style>
  <w:style w:type="paragraph" w:styleId="TOC6">
    <w:name w:val="toc 6"/>
    <w:basedOn w:val="Normal"/>
    <w:next w:val="Normal"/>
    <w:autoRedefine/>
    <w:uiPriority w:val="39"/>
    <w:unhideWhenUsed/>
    <w:rsid w:val="00EC5161"/>
    <w:pPr>
      <w:spacing w:after="100"/>
      <w:ind w:left="1100"/>
    </w:pPr>
    <w:rPr>
      <w:rFonts w:eastAsiaTheme="minorEastAsia"/>
      <w:lang w:eastAsia="hr-HR"/>
    </w:rPr>
  </w:style>
  <w:style w:type="paragraph" w:styleId="TOC7">
    <w:name w:val="toc 7"/>
    <w:basedOn w:val="Normal"/>
    <w:next w:val="Normal"/>
    <w:autoRedefine/>
    <w:uiPriority w:val="39"/>
    <w:unhideWhenUsed/>
    <w:rsid w:val="00EC5161"/>
    <w:pPr>
      <w:spacing w:after="100"/>
      <w:ind w:left="1320"/>
    </w:pPr>
    <w:rPr>
      <w:rFonts w:eastAsiaTheme="minorEastAsia"/>
      <w:lang w:eastAsia="hr-HR"/>
    </w:rPr>
  </w:style>
  <w:style w:type="paragraph" w:styleId="TOC8">
    <w:name w:val="toc 8"/>
    <w:basedOn w:val="Normal"/>
    <w:next w:val="Normal"/>
    <w:autoRedefine/>
    <w:uiPriority w:val="39"/>
    <w:unhideWhenUsed/>
    <w:rsid w:val="00EC5161"/>
    <w:pPr>
      <w:spacing w:after="100"/>
      <w:ind w:left="1540"/>
    </w:pPr>
    <w:rPr>
      <w:rFonts w:eastAsiaTheme="minorEastAsia"/>
      <w:lang w:eastAsia="hr-HR"/>
    </w:rPr>
  </w:style>
  <w:style w:type="paragraph" w:styleId="TOC9">
    <w:name w:val="toc 9"/>
    <w:basedOn w:val="Normal"/>
    <w:next w:val="Normal"/>
    <w:autoRedefine/>
    <w:uiPriority w:val="39"/>
    <w:unhideWhenUsed/>
    <w:rsid w:val="00EC5161"/>
    <w:pPr>
      <w:spacing w:after="100"/>
      <w:ind w:left="1760"/>
    </w:pPr>
    <w:rPr>
      <w:rFonts w:eastAsiaTheme="minorEastAsia"/>
      <w:lang w:eastAsia="hr-HR"/>
    </w:rPr>
  </w:style>
  <w:style w:type="character" w:customStyle="1" w:styleId="BodyTextChar">
    <w:name w:val="Body Text Char"/>
    <w:basedOn w:val="DefaultParagraphFont"/>
    <w:link w:val="BodyText"/>
    <w:rsid w:val="0058142A"/>
    <w:rPr>
      <w:rFonts w:ascii="Arial" w:eastAsia="Arial" w:hAnsi="Arial" w:cs="Arial"/>
      <w:shd w:val="clear" w:color="auto" w:fill="FFFFFF"/>
    </w:rPr>
  </w:style>
  <w:style w:type="paragraph" w:styleId="BodyText">
    <w:name w:val="Body Text"/>
    <w:basedOn w:val="Normal"/>
    <w:link w:val="BodyTextChar"/>
    <w:qFormat/>
    <w:rsid w:val="0058142A"/>
    <w:pPr>
      <w:widowControl w:val="0"/>
      <w:shd w:val="clear" w:color="auto" w:fill="FFFFFF"/>
      <w:spacing w:after="120" w:line="240" w:lineRule="auto"/>
      <w:ind w:firstLine="400"/>
    </w:pPr>
    <w:rPr>
      <w:rFonts w:ascii="Arial" w:eastAsia="Arial" w:hAnsi="Arial" w:cs="Arial"/>
    </w:rPr>
  </w:style>
  <w:style w:type="character" w:customStyle="1" w:styleId="TijelotekstaChar1">
    <w:name w:val="Tijelo teksta Char1"/>
    <w:basedOn w:val="DefaultParagraphFont"/>
    <w:uiPriority w:val="99"/>
    <w:semiHidden/>
    <w:rsid w:val="0058142A"/>
    <w:rPr>
      <w:lang w:val="hr-HR"/>
    </w:rPr>
  </w:style>
  <w:style w:type="paragraph" w:styleId="Subtitle">
    <w:name w:val="Subtitle"/>
    <w:basedOn w:val="Normal"/>
    <w:next w:val="Normal"/>
    <w:link w:val="SubtitleChar"/>
    <w:uiPriority w:val="11"/>
    <w:qFormat/>
    <w:rsid w:val="00DD34CF"/>
    <w:pPr>
      <w:numPr>
        <w:ilvl w:val="1"/>
      </w:numPr>
    </w:pPr>
    <w:rPr>
      <w:rFonts w:eastAsiaTheme="minorEastAsia"/>
      <w:spacing w:val="15"/>
    </w:rPr>
  </w:style>
  <w:style w:type="character" w:customStyle="1" w:styleId="SubtitleChar">
    <w:name w:val="Subtitle Char"/>
    <w:basedOn w:val="DefaultParagraphFont"/>
    <w:link w:val="Subtitle"/>
    <w:uiPriority w:val="11"/>
    <w:rsid w:val="00DD34CF"/>
    <w:rPr>
      <w:rFonts w:ascii="Times New Roman" w:eastAsiaTheme="minorEastAsia" w:hAnsi="Times New Roman"/>
      <w:spacing w:val="15"/>
      <w:sz w:val="24"/>
      <w:lang w:val="hr-HR"/>
    </w:rPr>
  </w:style>
  <w:style w:type="character" w:customStyle="1" w:styleId="Heading3Char">
    <w:name w:val="Heading 3 Char"/>
    <w:basedOn w:val="DefaultParagraphFont"/>
    <w:link w:val="Heading3"/>
    <w:uiPriority w:val="9"/>
    <w:rsid w:val="0027529C"/>
    <w:rPr>
      <w:rFonts w:asciiTheme="majorHAnsi" w:eastAsiaTheme="majorEastAsia" w:hAnsiTheme="majorHAnsi" w:cstheme="majorBidi"/>
      <w:color w:val="1F4D78" w:themeColor="accent1" w:themeShade="7F"/>
      <w:sz w:val="24"/>
      <w:szCs w:val="24"/>
      <w:lang w:val="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F5AFD"/>
    <w:pPr>
      <w:spacing w:before="120" w:line="240" w:lineRule="exact"/>
      <w:jc w:val="both"/>
    </w:pPr>
    <w:rPr>
      <w:vertAlign w:val="superscript"/>
    </w:rPr>
  </w:style>
  <w:style w:type="character" w:customStyle="1" w:styleId="ListParagraphChar">
    <w:name w:val="List Paragraph Char"/>
    <w:aliases w:val="Paragraph Char,List Paragraph Red Char"/>
    <w:link w:val="ListParagraph"/>
    <w:uiPriority w:val="34"/>
    <w:rsid w:val="00916C37"/>
    <w:rPr>
      <w:rFonts w:eastAsia="Times New Roman" w:cs="Times New Roman"/>
      <w:szCs w:val="24"/>
      <w:lang w:eastAsia="hr-HR"/>
    </w:rPr>
  </w:style>
  <w:style w:type="character" w:customStyle="1" w:styleId="UnresolvedMention1">
    <w:name w:val="Unresolved Mention1"/>
    <w:basedOn w:val="DefaultParagraphFont"/>
    <w:uiPriority w:val="99"/>
    <w:semiHidden/>
    <w:unhideWhenUsed/>
    <w:rsid w:val="009F4D21"/>
    <w:rPr>
      <w:color w:val="605E5C"/>
      <w:shd w:val="clear" w:color="auto" w:fill="E1DFDD"/>
    </w:rPr>
  </w:style>
  <w:style w:type="paragraph" w:styleId="Revision">
    <w:name w:val="Revision"/>
    <w:hidden/>
    <w:uiPriority w:val="99"/>
    <w:semiHidden/>
    <w:rsid w:val="00BC75C4"/>
    <w:pPr>
      <w:spacing w:after="0" w:line="240" w:lineRule="auto"/>
    </w:pPr>
  </w:style>
  <w:style w:type="paragraph" w:customStyle="1" w:styleId="NoSpacing2">
    <w:name w:val="No Spacing2"/>
    <w:qFormat/>
    <w:rsid w:val="008A5AEC"/>
    <w:pPr>
      <w:spacing w:after="0" w:line="240" w:lineRule="auto"/>
    </w:pPr>
    <w:rPr>
      <w:rFonts w:ascii="Calibri" w:eastAsia="Calibri" w:hAnsi="Calibri" w:cs="Times New Roman"/>
      <w:sz w:val="22"/>
      <w:lang w:val="hr-HR"/>
    </w:rPr>
  </w:style>
  <w:style w:type="paragraph" w:styleId="NoSpacing">
    <w:name w:val="No Spacing"/>
    <w:link w:val="NoSpacingChar"/>
    <w:uiPriority w:val="1"/>
    <w:qFormat/>
    <w:rsid w:val="00F53E19"/>
    <w:pPr>
      <w:spacing w:after="0" w:line="240" w:lineRule="auto"/>
    </w:pPr>
    <w:rPr>
      <w:rFonts w:asciiTheme="minorHAnsi" w:hAnsiTheme="minorHAnsi"/>
      <w:sz w:val="22"/>
      <w:lang w:val="hr-HR"/>
    </w:rPr>
  </w:style>
  <w:style w:type="table" w:customStyle="1" w:styleId="TableGrid112">
    <w:name w:val="Table Grid112"/>
    <w:basedOn w:val="TableNormal"/>
    <w:next w:val="TableGrid"/>
    <w:uiPriority w:val="39"/>
    <w:rsid w:val="00D5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C053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EC0533"/>
    <w:rPr>
      <w:rFonts w:ascii="Calibri" w:hAnsi="Calibri"/>
      <w:sz w:val="22"/>
      <w:szCs w:val="21"/>
      <w:lang w:val="hr-HR"/>
    </w:rPr>
  </w:style>
  <w:style w:type="character" w:customStyle="1" w:styleId="bold">
    <w:name w:val="bold"/>
    <w:rsid w:val="008C2E70"/>
  </w:style>
  <w:style w:type="character" w:customStyle="1" w:styleId="bold-kurziv">
    <w:name w:val="bold-kurziv"/>
    <w:rsid w:val="008C2E70"/>
  </w:style>
  <w:style w:type="character" w:customStyle="1" w:styleId="UnresolvedMention2">
    <w:name w:val="Unresolved Mention2"/>
    <w:basedOn w:val="DefaultParagraphFont"/>
    <w:uiPriority w:val="99"/>
    <w:semiHidden/>
    <w:unhideWhenUsed/>
    <w:rsid w:val="005A314D"/>
    <w:rPr>
      <w:color w:val="605E5C"/>
      <w:shd w:val="clear" w:color="auto" w:fill="E1DFDD"/>
    </w:rPr>
  </w:style>
  <w:style w:type="paragraph" w:customStyle="1" w:styleId="Standard">
    <w:name w:val="Standard"/>
    <w:rsid w:val="00C64075"/>
    <w:pPr>
      <w:widowControl w:val="0"/>
      <w:suppressAutoHyphens/>
      <w:autoSpaceDN w:val="0"/>
      <w:spacing w:after="0" w:line="240" w:lineRule="auto"/>
      <w:textAlignment w:val="baseline"/>
    </w:pPr>
    <w:rPr>
      <w:rFonts w:ascii="Liberation Serif" w:eastAsia="Lucida Sans Unicode" w:hAnsi="Liberation Serif" w:cs="Mangal"/>
      <w:kern w:val="3"/>
      <w:szCs w:val="24"/>
      <w:lang w:val="hr-HR" w:eastAsia="zh-CN" w:bidi="hi-IN"/>
    </w:rPr>
  </w:style>
  <w:style w:type="character" w:styleId="Emphasis">
    <w:name w:val="Emphasis"/>
    <w:basedOn w:val="DefaultParagraphFont"/>
    <w:uiPriority w:val="20"/>
    <w:qFormat/>
    <w:rsid w:val="00C64075"/>
    <w:rPr>
      <w:i/>
      <w:iCs/>
    </w:rPr>
  </w:style>
  <w:style w:type="character" w:customStyle="1" w:styleId="Nerijeenospominjanje1">
    <w:name w:val="Neriješeno spominjanje1"/>
    <w:basedOn w:val="DefaultParagraphFont"/>
    <w:uiPriority w:val="99"/>
    <w:semiHidden/>
    <w:unhideWhenUsed/>
    <w:rsid w:val="00A75995"/>
    <w:rPr>
      <w:color w:val="605E5C"/>
      <w:shd w:val="clear" w:color="auto" w:fill="E1DFDD"/>
    </w:rPr>
  </w:style>
  <w:style w:type="character" w:customStyle="1" w:styleId="NoSpacingChar">
    <w:name w:val="No Spacing Char"/>
    <w:link w:val="NoSpacing"/>
    <w:uiPriority w:val="1"/>
    <w:rsid w:val="001D027D"/>
    <w:rPr>
      <w:rFonts w:asciiTheme="minorHAnsi" w:hAnsiTheme="minorHAnsi"/>
      <w:sz w:val="22"/>
      <w:lang w:val="hr-HR"/>
    </w:rPr>
  </w:style>
  <w:style w:type="character" w:customStyle="1" w:styleId="UnresolvedMention3">
    <w:name w:val="Unresolved Mention3"/>
    <w:basedOn w:val="DefaultParagraphFont"/>
    <w:uiPriority w:val="99"/>
    <w:semiHidden/>
    <w:unhideWhenUsed/>
    <w:rsid w:val="006831BD"/>
    <w:rPr>
      <w:color w:val="605E5C"/>
      <w:shd w:val="clear" w:color="auto" w:fill="E1DFDD"/>
    </w:rPr>
  </w:style>
  <w:style w:type="paragraph" w:customStyle="1" w:styleId="NoSpacing1">
    <w:name w:val="No Spacing1"/>
    <w:basedOn w:val="Normal"/>
    <w:qFormat/>
    <w:rsid w:val="00955290"/>
    <w:pPr>
      <w:spacing w:after="0" w:line="240" w:lineRule="auto"/>
    </w:pPr>
    <w:rPr>
      <w:rFonts w:ascii="Calibri" w:eastAsia="Times New Roman" w:hAnsi="Calibri" w:cs="Times New Roman"/>
      <w:sz w:val="20"/>
      <w:szCs w:val="20"/>
      <w:lang w:bidi="en-US"/>
    </w:rPr>
  </w:style>
  <w:style w:type="character" w:customStyle="1" w:styleId="UnresolvedMention4">
    <w:name w:val="Unresolved Mention4"/>
    <w:basedOn w:val="DefaultParagraphFont"/>
    <w:uiPriority w:val="99"/>
    <w:semiHidden/>
    <w:unhideWhenUsed/>
    <w:rsid w:val="00F646BA"/>
    <w:rPr>
      <w:color w:val="605E5C"/>
      <w:shd w:val="clear" w:color="auto" w:fill="E1DFDD"/>
    </w:rPr>
  </w:style>
  <w:style w:type="character" w:styleId="FollowedHyperlink">
    <w:name w:val="FollowedHyperlink"/>
    <w:basedOn w:val="DefaultParagraphFont"/>
    <w:uiPriority w:val="99"/>
    <w:semiHidden/>
    <w:unhideWhenUsed/>
    <w:rsid w:val="001B3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72">
      <w:bodyDiv w:val="1"/>
      <w:marLeft w:val="0"/>
      <w:marRight w:val="0"/>
      <w:marTop w:val="0"/>
      <w:marBottom w:val="0"/>
      <w:divBdr>
        <w:top w:val="none" w:sz="0" w:space="0" w:color="auto"/>
        <w:left w:val="none" w:sz="0" w:space="0" w:color="auto"/>
        <w:bottom w:val="none" w:sz="0" w:space="0" w:color="auto"/>
        <w:right w:val="none" w:sz="0" w:space="0" w:color="auto"/>
      </w:divBdr>
    </w:div>
    <w:div w:id="22562288">
      <w:bodyDiv w:val="1"/>
      <w:marLeft w:val="0"/>
      <w:marRight w:val="0"/>
      <w:marTop w:val="0"/>
      <w:marBottom w:val="0"/>
      <w:divBdr>
        <w:top w:val="none" w:sz="0" w:space="0" w:color="auto"/>
        <w:left w:val="none" w:sz="0" w:space="0" w:color="auto"/>
        <w:bottom w:val="none" w:sz="0" w:space="0" w:color="auto"/>
        <w:right w:val="none" w:sz="0" w:space="0" w:color="auto"/>
      </w:divBdr>
    </w:div>
    <w:div w:id="82647847">
      <w:bodyDiv w:val="1"/>
      <w:marLeft w:val="0"/>
      <w:marRight w:val="0"/>
      <w:marTop w:val="0"/>
      <w:marBottom w:val="0"/>
      <w:divBdr>
        <w:top w:val="none" w:sz="0" w:space="0" w:color="auto"/>
        <w:left w:val="none" w:sz="0" w:space="0" w:color="auto"/>
        <w:bottom w:val="none" w:sz="0" w:space="0" w:color="auto"/>
        <w:right w:val="none" w:sz="0" w:space="0" w:color="auto"/>
      </w:divBdr>
    </w:div>
    <w:div w:id="176232164">
      <w:bodyDiv w:val="1"/>
      <w:marLeft w:val="0"/>
      <w:marRight w:val="0"/>
      <w:marTop w:val="0"/>
      <w:marBottom w:val="0"/>
      <w:divBdr>
        <w:top w:val="none" w:sz="0" w:space="0" w:color="auto"/>
        <w:left w:val="none" w:sz="0" w:space="0" w:color="auto"/>
        <w:bottom w:val="none" w:sz="0" w:space="0" w:color="auto"/>
        <w:right w:val="none" w:sz="0" w:space="0" w:color="auto"/>
      </w:divBdr>
    </w:div>
    <w:div w:id="177158435">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242496439">
      <w:bodyDiv w:val="1"/>
      <w:marLeft w:val="0"/>
      <w:marRight w:val="0"/>
      <w:marTop w:val="0"/>
      <w:marBottom w:val="0"/>
      <w:divBdr>
        <w:top w:val="none" w:sz="0" w:space="0" w:color="auto"/>
        <w:left w:val="none" w:sz="0" w:space="0" w:color="auto"/>
        <w:bottom w:val="none" w:sz="0" w:space="0" w:color="auto"/>
        <w:right w:val="none" w:sz="0" w:space="0" w:color="auto"/>
      </w:divBdr>
    </w:div>
    <w:div w:id="242691851">
      <w:bodyDiv w:val="1"/>
      <w:marLeft w:val="0"/>
      <w:marRight w:val="0"/>
      <w:marTop w:val="0"/>
      <w:marBottom w:val="0"/>
      <w:divBdr>
        <w:top w:val="none" w:sz="0" w:space="0" w:color="auto"/>
        <w:left w:val="none" w:sz="0" w:space="0" w:color="auto"/>
        <w:bottom w:val="none" w:sz="0" w:space="0" w:color="auto"/>
        <w:right w:val="none" w:sz="0" w:space="0" w:color="auto"/>
      </w:divBdr>
    </w:div>
    <w:div w:id="279605597">
      <w:bodyDiv w:val="1"/>
      <w:marLeft w:val="0"/>
      <w:marRight w:val="0"/>
      <w:marTop w:val="0"/>
      <w:marBottom w:val="0"/>
      <w:divBdr>
        <w:top w:val="none" w:sz="0" w:space="0" w:color="auto"/>
        <w:left w:val="none" w:sz="0" w:space="0" w:color="auto"/>
        <w:bottom w:val="none" w:sz="0" w:space="0" w:color="auto"/>
        <w:right w:val="none" w:sz="0" w:space="0" w:color="auto"/>
      </w:divBdr>
    </w:div>
    <w:div w:id="299573287">
      <w:bodyDiv w:val="1"/>
      <w:marLeft w:val="0"/>
      <w:marRight w:val="0"/>
      <w:marTop w:val="0"/>
      <w:marBottom w:val="0"/>
      <w:divBdr>
        <w:top w:val="none" w:sz="0" w:space="0" w:color="auto"/>
        <w:left w:val="none" w:sz="0" w:space="0" w:color="auto"/>
        <w:bottom w:val="none" w:sz="0" w:space="0" w:color="auto"/>
        <w:right w:val="none" w:sz="0" w:space="0" w:color="auto"/>
      </w:divBdr>
    </w:div>
    <w:div w:id="315839053">
      <w:bodyDiv w:val="1"/>
      <w:marLeft w:val="0"/>
      <w:marRight w:val="0"/>
      <w:marTop w:val="0"/>
      <w:marBottom w:val="0"/>
      <w:divBdr>
        <w:top w:val="none" w:sz="0" w:space="0" w:color="auto"/>
        <w:left w:val="none" w:sz="0" w:space="0" w:color="auto"/>
        <w:bottom w:val="none" w:sz="0" w:space="0" w:color="auto"/>
        <w:right w:val="none" w:sz="0" w:space="0" w:color="auto"/>
      </w:divBdr>
    </w:div>
    <w:div w:id="326440147">
      <w:bodyDiv w:val="1"/>
      <w:marLeft w:val="0"/>
      <w:marRight w:val="0"/>
      <w:marTop w:val="0"/>
      <w:marBottom w:val="0"/>
      <w:divBdr>
        <w:top w:val="none" w:sz="0" w:space="0" w:color="auto"/>
        <w:left w:val="none" w:sz="0" w:space="0" w:color="auto"/>
        <w:bottom w:val="none" w:sz="0" w:space="0" w:color="auto"/>
        <w:right w:val="none" w:sz="0" w:space="0" w:color="auto"/>
      </w:divBdr>
    </w:div>
    <w:div w:id="360545905">
      <w:bodyDiv w:val="1"/>
      <w:marLeft w:val="0"/>
      <w:marRight w:val="0"/>
      <w:marTop w:val="0"/>
      <w:marBottom w:val="0"/>
      <w:divBdr>
        <w:top w:val="none" w:sz="0" w:space="0" w:color="auto"/>
        <w:left w:val="none" w:sz="0" w:space="0" w:color="auto"/>
        <w:bottom w:val="none" w:sz="0" w:space="0" w:color="auto"/>
        <w:right w:val="none" w:sz="0" w:space="0" w:color="auto"/>
      </w:divBdr>
    </w:div>
    <w:div w:id="366029098">
      <w:bodyDiv w:val="1"/>
      <w:marLeft w:val="0"/>
      <w:marRight w:val="0"/>
      <w:marTop w:val="0"/>
      <w:marBottom w:val="0"/>
      <w:divBdr>
        <w:top w:val="none" w:sz="0" w:space="0" w:color="auto"/>
        <w:left w:val="none" w:sz="0" w:space="0" w:color="auto"/>
        <w:bottom w:val="none" w:sz="0" w:space="0" w:color="auto"/>
        <w:right w:val="none" w:sz="0" w:space="0" w:color="auto"/>
      </w:divBdr>
    </w:div>
    <w:div w:id="368263692">
      <w:bodyDiv w:val="1"/>
      <w:marLeft w:val="0"/>
      <w:marRight w:val="0"/>
      <w:marTop w:val="0"/>
      <w:marBottom w:val="0"/>
      <w:divBdr>
        <w:top w:val="none" w:sz="0" w:space="0" w:color="auto"/>
        <w:left w:val="none" w:sz="0" w:space="0" w:color="auto"/>
        <w:bottom w:val="none" w:sz="0" w:space="0" w:color="auto"/>
        <w:right w:val="none" w:sz="0" w:space="0" w:color="auto"/>
      </w:divBdr>
    </w:div>
    <w:div w:id="496044841">
      <w:bodyDiv w:val="1"/>
      <w:marLeft w:val="0"/>
      <w:marRight w:val="0"/>
      <w:marTop w:val="0"/>
      <w:marBottom w:val="0"/>
      <w:divBdr>
        <w:top w:val="none" w:sz="0" w:space="0" w:color="auto"/>
        <w:left w:val="none" w:sz="0" w:space="0" w:color="auto"/>
        <w:bottom w:val="none" w:sz="0" w:space="0" w:color="auto"/>
        <w:right w:val="none" w:sz="0" w:space="0" w:color="auto"/>
      </w:divBdr>
    </w:div>
    <w:div w:id="568197281">
      <w:bodyDiv w:val="1"/>
      <w:marLeft w:val="0"/>
      <w:marRight w:val="0"/>
      <w:marTop w:val="0"/>
      <w:marBottom w:val="0"/>
      <w:divBdr>
        <w:top w:val="none" w:sz="0" w:space="0" w:color="auto"/>
        <w:left w:val="none" w:sz="0" w:space="0" w:color="auto"/>
        <w:bottom w:val="none" w:sz="0" w:space="0" w:color="auto"/>
        <w:right w:val="none" w:sz="0" w:space="0" w:color="auto"/>
      </w:divBdr>
    </w:div>
    <w:div w:id="603848712">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89840892">
      <w:bodyDiv w:val="1"/>
      <w:marLeft w:val="0"/>
      <w:marRight w:val="0"/>
      <w:marTop w:val="0"/>
      <w:marBottom w:val="0"/>
      <w:divBdr>
        <w:top w:val="none" w:sz="0" w:space="0" w:color="auto"/>
        <w:left w:val="none" w:sz="0" w:space="0" w:color="auto"/>
        <w:bottom w:val="none" w:sz="0" w:space="0" w:color="auto"/>
        <w:right w:val="none" w:sz="0" w:space="0" w:color="auto"/>
      </w:divBdr>
    </w:div>
    <w:div w:id="813327368">
      <w:bodyDiv w:val="1"/>
      <w:marLeft w:val="0"/>
      <w:marRight w:val="0"/>
      <w:marTop w:val="0"/>
      <w:marBottom w:val="0"/>
      <w:divBdr>
        <w:top w:val="none" w:sz="0" w:space="0" w:color="auto"/>
        <w:left w:val="none" w:sz="0" w:space="0" w:color="auto"/>
        <w:bottom w:val="none" w:sz="0" w:space="0" w:color="auto"/>
        <w:right w:val="none" w:sz="0" w:space="0" w:color="auto"/>
      </w:divBdr>
    </w:div>
    <w:div w:id="831794103">
      <w:bodyDiv w:val="1"/>
      <w:marLeft w:val="0"/>
      <w:marRight w:val="0"/>
      <w:marTop w:val="0"/>
      <w:marBottom w:val="0"/>
      <w:divBdr>
        <w:top w:val="none" w:sz="0" w:space="0" w:color="auto"/>
        <w:left w:val="none" w:sz="0" w:space="0" w:color="auto"/>
        <w:bottom w:val="none" w:sz="0" w:space="0" w:color="auto"/>
        <w:right w:val="none" w:sz="0" w:space="0" w:color="auto"/>
      </w:divBdr>
    </w:div>
    <w:div w:id="862790709">
      <w:bodyDiv w:val="1"/>
      <w:marLeft w:val="0"/>
      <w:marRight w:val="0"/>
      <w:marTop w:val="0"/>
      <w:marBottom w:val="0"/>
      <w:divBdr>
        <w:top w:val="none" w:sz="0" w:space="0" w:color="auto"/>
        <w:left w:val="none" w:sz="0" w:space="0" w:color="auto"/>
        <w:bottom w:val="none" w:sz="0" w:space="0" w:color="auto"/>
        <w:right w:val="none" w:sz="0" w:space="0" w:color="auto"/>
      </w:divBdr>
    </w:div>
    <w:div w:id="866523094">
      <w:bodyDiv w:val="1"/>
      <w:marLeft w:val="0"/>
      <w:marRight w:val="0"/>
      <w:marTop w:val="0"/>
      <w:marBottom w:val="0"/>
      <w:divBdr>
        <w:top w:val="none" w:sz="0" w:space="0" w:color="auto"/>
        <w:left w:val="none" w:sz="0" w:space="0" w:color="auto"/>
        <w:bottom w:val="none" w:sz="0" w:space="0" w:color="auto"/>
        <w:right w:val="none" w:sz="0" w:space="0" w:color="auto"/>
      </w:divBdr>
    </w:div>
    <w:div w:id="866677547">
      <w:bodyDiv w:val="1"/>
      <w:marLeft w:val="0"/>
      <w:marRight w:val="0"/>
      <w:marTop w:val="0"/>
      <w:marBottom w:val="0"/>
      <w:divBdr>
        <w:top w:val="none" w:sz="0" w:space="0" w:color="auto"/>
        <w:left w:val="none" w:sz="0" w:space="0" w:color="auto"/>
        <w:bottom w:val="none" w:sz="0" w:space="0" w:color="auto"/>
        <w:right w:val="none" w:sz="0" w:space="0" w:color="auto"/>
      </w:divBdr>
    </w:div>
    <w:div w:id="901066766">
      <w:bodyDiv w:val="1"/>
      <w:marLeft w:val="0"/>
      <w:marRight w:val="0"/>
      <w:marTop w:val="0"/>
      <w:marBottom w:val="0"/>
      <w:divBdr>
        <w:top w:val="none" w:sz="0" w:space="0" w:color="auto"/>
        <w:left w:val="none" w:sz="0" w:space="0" w:color="auto"/>
        <w:bottom w:val="none" w:sz="0" w:space="0" w:color="auto"/>
        <w:right w:val="none" w:sz="0" w:space="0" w:color="auto"/>
      </w:divBdr>
    </w:div>
    <w:div w:id="915751263">
      <w:bodyDiv w:val="1"/>
      <w:marLeft w:val="0"/>
      <w:marRight w:val="0"/>
      <w:marTop w:val="0"/>
      <w:marBottom w:val="0"/>
      <w:divBdr>
        <w:top w:val="none" w:sz="0" w:space="0" w:color="auto"/>
        <w:left w:val="none" w:sz="0" w:space="0" w:color="auto"/>
        <w:bottom w:val="none" w:sz="0" w:space="0" w:color="auto"/>
        <w:right w:val="none" w:sz="0" w:space="0" w:color="auto"/>
      </w:divBdr>
    </w:div>
    <w:div w:id="926616389">
      <w:bodyDiv w:val="1"/>
      <w:marLeft w:val="0"/>
      <w:marRight w:val="0"/>
      <w:marTop w:val="0"/>
      <w:marBottom w:val="0"/>
      <w:divBdr>
        <w:top w:val="none" w:sz="0" w:space="0" w:color="auto"/>
        <w:left w:val="none" w:sz="0" w:space="0" w:color="auto"/>
        <w:bottom w:val="none" w:sz="0" w:space="0" w:color="auto"/>
        <w:right w:val="none" w:sz="0" w:space="0" w:color="auto"/>
      </w:divBdr>
    </w:div>
    <w:div w:id="962536670">
      <w:bodyDiv w:val="1"/>
      <w:marLeft w:val="0"/>
      <w:marRight w:val="0"/>
      <w:marTop w:val="0"/>
      <w:marBottom w:val="0"/>
      <w:divBdr>
        <w:top w:val="none" w:sz="0" w:space="0" w:color="auto"/>
        <w:left w:val="none" w:sz="0" w:space="0" w:color="auto"/>
        <w:bottom w:val="none" w:sz="0" w:space="0" w:color="auto"/>
        <w:right w:val="none" w:sz="0" w:space="0" w:color="auto"/>
      </w:divBdr>
    </w:div>
    <w:div w:id="986590352">
      <w:bodyDiv w:val="1"/>
      <w:marLeft w:val="0"/>
      <w:marRight w:val="0"/>
      <w:marTop w:val="0"/>
      <w:marBottom w:val="0"/>
      <w:divBdr>
        <w:top w:val="none" w:sz="0" w:space="0" w:color="auto"/>
        <w:left w:val="none" w:sz="0" w:space="0" w:color="auto"/>
        <w:bottom w:val="none" w:sz="0" w:space="0" w:color="auto"/>
        <w:right w:val="none" w:sz="0" w:space="0" w:color="auto"/>
      </w:divBdr>
    </w:div>
    <w:div w:id="1057124029">
      <w:bodyDiv w:val="1"/>
      <w:marLeft w:val="0"/>
      <w:marRight w:val="0"/>
      <w:marTop w:val="0"/>
      <w:marBottom w:val="0"/>
      <w:divBdr>
        <w:top w:val="none" w:sz="0" w:space="0" w:color="auto"/>
        <w:left w:val="none" w:sz="0" w:space="0" w:color="auto"/>
        <w:bottom w:val="none" w:sz="0" w:space="0" w:color="auto"/>
        <w:right w:val="none" w:sz="0" w:space="0" w:color="auto"/>
      </w:divBdr>
    </w:div>
    <w:div w:id="1083407660">
      <w:bodyDiv w:val="1"/>
      <w:marLeft w:val="0"/>
      <w:marRight w:val="0"/>
      <w:marTop w:val="0"/>
      <w:marBottom w:val="0"/>
      <w:divBdr>
        <w:top w:val="none" w:sz="0" w:space="0" w:color="auto"/>
        <w:left w:val="none" w:sz="0" w:space="0" w:color="auto"/>
        <w:bottom w:val="none" w:sz="0" w:space="0" w:color="auto"/>
        <w:right w:val="none" w:sz="0" w:space="0" w:color="auto"/>
      </w:divBdr>
    </w:div>
    <w:div w:id="1086154324">
      <w:bodyDiv w:val="1"/>
      <w:marLeft w:val="0"/>
      <w:marRight w:val="0"/>
      <w:marTop w:val="0"/>
      <w:marBottom w:val="0"/>
      <w:divBdr>
        <w:top w:val="none" w:sz="0" w:space="0" w:color="auto"/>
        <w:left w:val="none" w:sz="0" w:space="0" w:color="auto"/>
        <w:bottom w:val="none" w:sz="0" w:space="0" w:color="auto"/>
        <w:right w:val="none" w:sz="0" w:space="0" w:color="auto"/>
      </w:divBdr>
    </w:div>
    <w:div w:id="1162426697">
      <w:bodyDiv w:val="1"/>
      <w:marLeft w:val="0"/>
      <w:marRight w:val="0"/>
      <w:marTop w:val="0"/>
      <w:marBottom w:val="0"/>
      <w:divBdr>
        <w:top w:val="none" w:sz="0" w:space="0" w:color="auto"/>
        <w:left w:val="none" w:sz="0" w:space="0" w:color="auto"/>
        <w:bottom w:val="none" w:sz="0" w:space="0" w:color="auto"/>
        <w:right w:val="none" w:sz="0" w:space="0" w:color="auto"/>
      </w:divBdr>
    </w:div>
    <w:div w:id="1164513762">
      <w:bodyDiv w:val="1"/>
      <w:marLeft w:val="0"/>
      <w:marRight w:val="0"/>
      <w:marTop w:val="0"/>
      <w:marBottom w:val="0"/>
      <w:divBdr>
        <w:top w:val="none" w:sz="0" w:space="0" w:color="auto"/>
        <w:left w:val="none" w:sz="0" w:space="0" w:color="auto"/>
        <w:bottom w:val="none" w:sz="0" w:space="0" w:color="auto"/>
        <w:right w:val="none" w:sz="0" w:space="0" w:color="auto"/>
      </w:divBdr>
    </w:div>
    <w:div w:id="1170290192">
      <w:bodyDiv w:val="1"/>
      <w:marLeft w:val="0"/>
      <w:marRight w:val="0"/>
      <w:marTop w:val="0"/>
      <w:marBottom w:val="0"/>
      <w:divBdr>
        <w:top w:val="none" w:sz="0" w:space="0" w:color="auto"/>
        <w:left w:val="none" w:sz="0" w:space="0" w:color="auto"/>
        <w:bottom w:val="none" w:sz="0" w:space="0" w:color="auto"/>
        <w:right w:val="none" w:sz="0" w:space="0" w:color="auto"/>
      </w:divBdr>
    </w:div>
    <w:div w:id="1216116669">
      <w:bodyDiv w:val="1"/>
      <w:marLeft w:val="0"/>
      <w:marRight w:val="0"/>
      <w:marTop w:val="0"/>
      <w:marBottom w:val="0"/>
      <w:divBdr>
        <w:top w:val="none" w:sz="0" w:space="0" w:color="auto"/>
        <w:left w:val="none" w:sz="0" w:space="0" w:color="auto"/>
        <w:bottom w:val="none" w:sz="0" w:space="0" w:color="auto"/>
        <w:right w:val="none" w:sz="0" w:space="0" w:color="auto"/>
      </w:divBdr>
    </w:div>
    <w:div w:id="1250389324">
      <w:bodyDiv w:val="1"/>
      <w:marLeft w:val="0"/>
      <w:marRight w:val="0"/>
      <w:marTop w:val="0"/>
      <w:marBottom w:val="0"/>
      <w:divBdr>
        <w:top w:val="none" w:sz="0" w:space="0" w:color="auto"/>
        <w:left w:val="none" w:sz="0" w:space="0" w:color="auto"/>
        <w:bottom w:val="none" w:sz="0" w:space="0" w:color="auto"/>
        <w:right w:val="none" w:sz="0" w:space="0" w:color="auto"/>
      </w:divBdr>
    </w:div>
    <w:div w:id="1363701014">
      <w:bodyDiv w:val="1"/>
      <w:marLeft w:val="0"/>
      <w:marRight w:val="0"/>
      <w:marTop w:val="0"/>
      <w:marBottom w:val="0"/>
      <w:divBdr>
        <w:top w:val="none" w:sz="0" w:space="0" w:color="auto"/>
        <w:left w:val="none" w:sz="0" w:space="0" w:color="auto"/>
        <w:bottom w:val="none" w:sz="0" w:space="0" w:color="auto"/>
        <w:right w:val="none" w:sz="0" w:space="0" w:color="auto"/>
      </w:divBdr>
    </w:div>
    <w:div w:id="1450976177">
      <w:bodyDiv w:val="1"/>
      <w:marLeft w:val="0"/>
      <w:marRight w:val="0"/>
      <w:marTop w:val="0"/>
      <w:marBottom w:val="0"/>
      <w:divBdr>
        <w:top w:val="none" w:sz="0" w:space="0" w:color="auto"/>
        <w:left w:val="none" w:sz="0" w:space="0" w:color="auto"/>
        <w:bottom w:val="none" w:sz="0" w:space="0" w:color="auto"/>
        <w:right w:val="none" w:sz="0" w:space="0" w:color="auto"/>
      </w:divBdr>
    </w:div>
    <w:div w:id="1547181631">
      <w:bodyDiv w:val="1"/>
      <w:marLeft w:val="0"/>
      <w:marRight w:val="0"/>
      <w:marTop w:val="0"/>
      <w:marBottom w:val="0"/>
      <w:divBdr>
        <w:top w:val="none" w:sz="0" w:space="0" w:color="auto"/>
        <w:left w:val="none" w:sz="0" w:space="0" w:color="auto"/>
        <w:bottom w:val="none" w:sz="0" w:space="0" w:color="auto"/>
        <w:right w:val="none" w:sz="0" w:space="0" w:color="auto"/>
      </w:divBdr>
    </w:div>
    <w:div w:id="1557818645">
      <w:bodyDiv w:val="1"/>
      <w:marLeft w:val="0"/>
      <w:marRight w:val="0"/>
      <w:marTop w:val="0"/>
      <w:marBottom w:val="0"/>
      <w:divBdr>
        <w:top w:val="none" w:sz="0" w:space="0" w:color="auto"/>
        <w:left w:val="none" w:sz="0" w:space="0" w:color="auto"/>
        <w:bottom w:val="none" w:sz="0" w:space="0" w:color="auto"/>
        <w:right w:val="none" w:sz="0" w:space="0" w:color="auto"/>
      </w:divBdr>
    </w:div>
    <w:div w:id="1566187312">
      <w:bodyDiv w:val="1"/>
      <w:marLeft w:val="0"/>
      <w:marRight w:val="0"/>
      <w:marTop w:val="0"/>
      <w:marBottom w:val="0"/>
      <w:divBdr>
        <w:top w:val="none" w:sz="0" w:space="0" w:color="auto"/>
        <w:left w:val="none" w:sz="0" w:space="0" w:color="auto"/>
        <w:bottom w:val="none" w:sz="0" w:space="0" w:color="auto"/>
        <w:right w:val="none" w:sz="0" w:space="0" w:color="auto"/>
      </w:divBdr>
    </w:div>
    <w:div w:id="1643774051">
      <w:bodyDiv w:val="1"/>
      <w:marLeft w:val="0"/>
      <w:marRight w:val="0"/>
      <w:marTop w:val="0"/>
      <w:marBottom w:val="0"/>
      <w:divBdr>
        <w:top w:val="none" w:sz="0" w:space="0" w:color="auto"/>
        <w:left w:val="none" w:sz="0" w:space="0" w:color="auto"/>
        <w:bottom w:val="none" w:sz="0" w:space="0" w:color="auto"/>
        <w:right w:val="none" w:sz="0" w:space="0" w:color="auto"/>
      </w:divBdr>
    </w:div>
    <w:div w:id="1652175325">
      <w:bodyDiv w:val="1"/>
      <w:marLeft w:val="0"/>
      <w:marRight w:val="0"/>
      <w:marTop w:val="0"/>
      <w:marBottom w:val="0"/>
      <w:divBdr>
        <w:top w:val="none" w:sz="0" w:space="0" w:color="auto"/>
        <w:left w:val="none" w:sz="0" w:space="0" w:color="auto"/>
        <w:bottom w:val="none" w:sz="0" w:space="0" w:color="auto"/>
        <w:right w:val="none" w:sz="0" w:space="0" w:color="auto"/>
      </w:divBdr>
    </w:div>
    <w:div w:id="1705130431">
      <w:bodyDiv w:val="1"/>
      <w:marLeft w:val="0"/>
      <w:marRight w:val="0"/>
      <w:marTop w:val="0"/>
      <w:marBottom w:val="0"/>
      <w:divBdr>
        <w:top w:val="none" w:sz="0" w:space="0" w:color="auto"/>
        <w:left w:val="none" w:sz="0" w:space="0" w:color="auto"/>
        <w:bottom w:val="none" w:sz="0" w:space="0" w:color="auto"/>
        <w:right w:val="none" w:sz="0" w:space="0" w:color="auto"/>
      </w:divBdr>
    </w:div>
    <w:div w:id="1722050642">
      <w:bodyDiv w:val="1"/>
      <w:marLeft w:val="0"/>
      <w:marRight w:val="0"/>
      <w:marTop w:val="0"/>
      <w:marBottom w:val="0"/>
      <w:divBdr>
        <w:top w:val="none" w:sz="0" w:space="0" w:color="auto"/>
        <w:left w:val="none" w:sz="0" w:space="0" w:color="auto"/>
        <w:bottom w:val="none" w:sz="0" w:space="0" w:color="auto"/>
        <w:right w:val="none" w:sz="0" w:space="0" w:color="auto"/>
      </w:divBdr>
    </w:div>
    <w:div w:id="1730416413">
      <w:bodyDiv w:val="1"/>
      <w:marLeft w:val="0"/>
      <w:marRight w:val="0"/>
      <w:marTop w:val="0"/>
      <w:marBottom w:val="0"/>
      <w:divBdr>
        <w:top w:val="none" w:sz="0" w:space="0" w:color="auto"/>
        <w:left w:val="none" w:sz="0" w:space="0" w:color="auto"/>
        <w:bottom w:val="none" w:sz="0" w:space="0" w:color="auto"/>
        <w:right w:val="none" w:sz="0" w:space="0" w:color="auto"/>
      </w:divBdr>
    </w:div>
    <w:div w:id="1747456485">
      <w:bodyDiv w:val="1"/>
      <w:marLeft w:val="0"/>
      <w:marRight w:val="0"/>
      <w:marTop w:val="0"/>
      <w:marBottom w:val="0"/>
      <w:divBdr>
        <w:top w:val="none" w:sz="0" w:space="0" w:color="auto"/>
        <w:left w:val="none" w:sz="0" w:space="0" w:color="auto"/>
        <w:bottom w:val="none" w:sz="0" w:space="0" w:color="auto"/>
        <w:right w:val="none" w:sz="0" w:space="0" w:color="auto"/>
      </w:divBdr>
    </w:div>
    <w:div w:id="1805391495">
      <w:bodyDiv w:val="1"/>
      <w:marLeft w:val="0"/>
      <w:marRight w:val="0"/>
      <w:marTop w:val="0"/>
      <w:marBottom w:val="0"/>
      <w:divBdr>
        <w:top w:val="none" w:sz="0" w:space="0" w:color="auto"/>
        <w:left w:val="none" w:sz="0" w:space="0" w:color="auto"/>
        <w:bottom w:val="none" w:sz="0" w:space="0" w:color="auto"/>
        <w:right w:val="none" w:sz="0" w:space="0" w:color="auto"/>
      </w:divBdr>
    </w:div>
    <w:div w:id="1839148347">
      <w:bodyDiv w:val="1"/>
      <w:marLeft w:val="0"/>
      <w:marRight w:val="0"/>
      <w:marTop w:val="0"/>
      <w:marBottom w:val="0"/>
      <w:divBdr>
        <w:top w:val="none" w:sz="0" w:space="0" w:color="auto"/>
        <w:left w:val="none" w:sz="0" w:space="0" w:color="auto"/>
        <w:bottom w:val="none" w:sz="0" w:space="0" w:color="auto"/>
        <w:right w:val="none" w:sz="0" w:space="0" w:color="auto"/>
      </w:divBdr>
    </w:div>
    <w:div w:id="1839270077">
      <w:bodyDiv w:val="1"/>
      <w:marLeft w:val="0"/>
      <w:marRight w:val="0"/>
      <w:marTop w:val="0"/>
      <w:marBottom w:val="0"/>
      <w:divBdr>
        <w:top w:val="none" w:sz="0" w:space="0" w:color="auto"/>
        <w:left w:val="none" w:sz="0" w:space="0" w:color="auto"/>
        <w:bottom w:val="none" w:sz="0" w:space="0" w:color="auto"/>
        <w:right w:val="none" w:sz="0" w:space="0" w:color="auto"/>
      </w:divBdr>
    </w:div>
    <w:div w:id="1869637888">
      <w:bodyDiv w:val="1"/>
      <w:marLeft w:val="0"/>
      <w:marRight w:val="0"/>
      <w:marTop w:val="0"/>
      <w:marBottom w:val="0"/>
      <w:divBdr>
        <w:top w:val="none" w:sz="0" w:space="0" w:color="auto"/>
        <w:left w:val="none" w:sz="0" w:space="0" w:color="auto"/>
        <w:bottom w:val="none" w:sz="0" w:space="0" w:color="auto"/>
        <w:right w:val="none" w:sz="0" w:space="0" w:color="auto"/>
      </w:divBdr>
    </w:div>
    <w:div w:id="1891918674">
      <w:bodyDiv w:val="1"/>
      <w:marLeft w:val="0"/>
      <w:marRight w:val="0"/>
      <w:marTop w:val="0"/>
      <w:marBottom w:val="0"/>
      <w:divBdr>
        <w:top w:val="none" w:sz="0" w:space="0" w:color="auto"/>
        <w:left w:val="none" w:sz="0" w:space="0" w:color="auto"/>
        <w:bottom w:val="none" w:sz="0" w:space="0" w:color="auto"/>
        <w:right w:val="none" w:sz="0" w:space="0" w:color="auto"/>
      </w:divBdr>
    </w:div>
    <w:div w:id="2008633850">
      <w:bodyDiv w:val="1"/>
      <w:marLeft w:val="0"/>
      <w:marRight w:val="0"/>
      <w:marTop w:val="0"/>
      <w:marBottom w:val="0"/>
      <w:divBdr>
        <w:top w:val="none" w:sz="0" w:space="0" w:color="auto"/>
        <w:left w:val="none" w:sz="0" w:space="0" w:color="auto"/>
        <w:bottom w:val="none" w:sz="0" w:space="0" w:color="auto"/>
        <w:right w:val="none" w:sz="0" w:space="0" w:color="auto"/>
      </w:divBdr>
    </w:div>
    <w:div w:id="2043632963">
      <w:bodyDiv w:val="1"/>
      <w:marLeft w:val="0"/>
      <w:marRight w:val="0"/>
      <w:marTop w:val="0"/>
      <w:marBottom w:val="0"/>
      <w:divBdr>
        <w:top w:val="none" w:sz="0" w:space="0" w:color="auto"/>
        <w:left w:val="none" w:sz="0" w:space="0" w:color="auto"/>
        <w:bottom w:val="none" w:sz="0" w:space="0" w:color="auto"/>
        <w:right w:val="none" w:sz="0" w:space="0" w:color="auto"/>
      </w:divBdr>
    </w:div>
    <w:div w:id="2048332726">
      <w:bodyDiv w:val="1"/>
      <w:marLeft w:val="0"/>
      <w:marRight w:val="0"/>
      <w:marTop w:val="0"/>
      <w:marBottom w:val="0"/>
      <w:divBdr>
        <w:top w:val="none" w:sz="0" w:space="0" w:color="auto"/>
        <w:left w:val="none" w:sz="0" w:space="0" w:color="auto"/>
        <w:bottom w:val="none" w:sz="0" w:space="0" w:color="auto"/>
        <w:right w:val="none" w:sz="0" w:space="0" w:color="auto"/>
      </w:divBdr>
    </w:div>
    <w:div w:id="2087533656">
      <w:bodyDiv w:val="1"/>
      <w:marLeft w:val="0"/>
      <w:marRight w:val="0"/>
      <w:marTop w:val="0"/>
      <w:marBottom w:val="0"/>
      <w:divBdr>
        <w:top w:val="none" w:sz="0" w:space="0" w:color="auto"/>
        <w:left w:val="none" w:sz="0" w:space="0" w:color="auto"/>
        <w:bottom w:val="none" w:sz="0" w:space="0" w:color="auto"/>
        <w:right w:val="none" w:sz="0" w:space="0" w:color="auto"/>
      </w:divBdr>
    </w:div>
    <w:div w:id="2101102572">
      <w:bodyDiv w:val="1"/>
      <w:marLeft w:val="0"/>
      <w:marRight w:val="0"/>
      <w:marTop w:val="0"/>
      <w:marBottom w:val="0"/>
      <w:divBdr>
        <w:top w:val="none" w:sz="0" w:space="0" w:color="auto"/>
        <w:left w:val="none" w:sz="0" w:space="0" w:color="auto"/>
        <w:bottom w:val="none" w:sz="0" w:space="0" w:color="auto"/>
        <w:right w:val="none" w:sz="0" w:space="0" w:color="auto"/>
      </w:divBdr>
    </w:div>
    <w:div w:id="21062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avamanjina.gov.hr/nacionalne-manjine/ostvarivanje-prava-romske-nacionalne-manjine/povjerenstvo-za-pracenje-provedbe-nacionalnog-plana-za-ukljucivanje-roma-za-razdoblje-od-2021-do-2027-godine/1031"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pgi.gov.hr/o-ministarstvu/djelokrug-50/prostorno-uredjenje-3335/natjecaji-14722/05-09-2024-javni-poziv-za-dodjelu-financijske-potpore-za-prostorno-uredjenje-podrucja-naseljenog-romima-za-2024-godinu/178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iving-democracy.com/h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avamanjina.gov.hr/?id=1246&amp;pregled=1&amp;datum=Wed%20Sep%2011%202024%2016:37:16%20GMT+0200%20(srednjoeuropsko%20ljetno%20vrije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avamanjina.gov.hr/UserDocsImages/dokumenti/Operativni%20programi%20nacionalnih%20manjina%20za%20razdoblje%202024.-%2020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AZJMDCZ6QSYZ-12-9913</_dlc_DocId>
    <_dlc_DocIdUrl xmlns="a494813a-d0d8-4dad-94cb-0d196f36ba15">
      <Url>https://ekoordinacije.vlada.hr/sjednice-drustvo/_layouts/15/DocIdRedir.aspx?ID=AZJMDCZ6QSYZ-12-9913</Url>
      <Description>AZJMDCZ6QSYZ-12-9913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447B-3B8E-41EE-B3A3-93CDB8BE7451}">
  <ds:schemaRefs>
    <ds:schemaRef ds:uri="http://schemas.microsoft.com/sharepoint/v3/contenttype/forms"/>
  </ds:schemaRefs>
</ds:datastoreItem>
</file>

<file path=customXml/itemProps2.xml><?xml version="1.0" encoding="utf-8"?>
<ds:datastoreItem xmlns:ds="http://schemas.openxmlformats.org/officeDocument/2006/customXml" ds:itemID="{FB0E68C7-E36F-419A-A846-045A9A29476A}">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B00FF7D0-F370-468F-8D3F-6FC46C1C3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E5CEF-8109-46B9-A520-36F04A283111}">
  <ds:schemaRefs>
    <ds:schemaRef ds:uri="http://schemas.microsoft.com/sharepoint/events"/>
  </ds:schemaRefs>
</ds:datastoreItem>
</file>

<file path=customXml/itemProps5.xml><?xml version="1.0" encoding="utf-8"?>
<ds:datastoreItem xmlns:ds="http://schemas.openxmlformats.org/officeDocument/2006/customXml" ds:itemID="{F7CFB5F8-E62C-4D14-902F-7411FC4F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99</Pages>
  <Words>36743</Words>
  <Characters>209438</Characters>
  <Application>Microsoft Office Word</Application>
  <DocSecurity>0</DocSecurity>
  <Lines>1745</Lines>
  <Paragraphs>491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Bernardica Stipić</cp:lastModifiedBy>
  <cp:revision>10</cp:revision>
  <cp:lastPrinted>2025-05-09T06:03:00Z</cp:lastPrinted>
  <dcterms:created xsi:type="dcterms:W3CDTF">2025-08-19T10:27:00Z</dcterms:created>
  <dcterms:modified xsi:type="dcterms:W3CDTF">2025-08-20T12:27:00Z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6566269a-8844-4408-958f-3bbd022b5b35</vt:lpwstr>
  </property>
</Properties>
</file>